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09</w:t>
      </w:r>
    </w:p>
    <w:p>
      <w:pPr>
        <w:spacing w:before="240" w:after="80" w:line="312" w:lineRule="auto"/>
      </w:pPr>
      <w:r>
        <w:rPr>
          <w:rFonts w:ascii="Calibri" w:hAnsi="Calibri" w:cs="Calibri" w:eastAsia="PingFang SC"/>
          <w:b/>
          <w:color w:val="33302A"/>
          <w:sz w:val="32"/>
          <w:szCs w:val="32"/>
        </w:rPr>
        <w:t xml:space="preserve">PMGT1865 Week 09 - Procurement Planning</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covers how projects obtain goods and services from outside the performing organisation: deciding what to do internally and what to acquire, choosing a delivery relationship, choosing a contract type, and documenting all of it in a procurement plan and statement of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procurement is, and the Make / Team / Buy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Procurement strategies (how work is packaged and delivered) versus contract pricing types (how the supplier is paid).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four-phase procurement lifecycle: plan, conduct, administer and close procurements.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procurement plan or procurement schedule, and the statement of work (SOW, also called Scope of Supply).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elements of a contract and three contract types: fixed price, cost plus, and time and material.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Probity, ethics and transparency in supplier selection.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applications: an integrated water-utility delivery program, the global F-35 combat-aircraft enterprise, and a procurement schedule for the Riverside Sounds festival.</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Procurement and project procurement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Procurement</w:t>
      </w:r>
      <w:r>
        <w:rPr>
          <w:rFonts w:ascii="Calibri" w:hAnsi="Calibri" w:cs="Calibri" w:eastAsia="PingFang SC"/>
          <w:color w:val="3D3A33"/>
          <w:sz w:val="22"/>
          <w:szCs w:val="22"/>
        </w:rPr>
        <w:t xml:space="preserve"> means obtaining or buying goods or services.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procurement management</w:t>
      </w:r>
      <w:r>
        <w:rPr>
          <w:rFonts w:ascii="Calibri" w:hAnsi="Calibri" w:cs="Calibri" w:eastAsia="PingFang SC"/>
          <w:color w:val="3D3A33"/>
          <w:sz w:val="22"/>
          <w:szCs w:val="22"/>
        </w:rPr>
        <w:t xml:space="preserve"> is the process of acquiring products or services from outside the performing organisation to deliver project scope, where part of the work is performed by another organisation under contract. Reasons to acquire externally: lower cost or better value, and access to external capability and knowledge.</w:t>
      </w:r>
    </w:p>
    <w:p>
      <w:pPr>
        <w:spacing w:before="240" w:after="80" w:line="312" w:lineRule="auto"/>
      </w:pPr>
      <w:r>
        <w:rPr>
          <w:rFonts w:ascii="Calibri" w:hAnsi="Calibri" w:cs="Calibri" w:eastAsia="PingFang SC"/>
          <w:b/>
          <w:color w:val="175244"/>
          <w:sz w:val="22"/>
          <w:szCs w:val="22"/>
        </w:rPr>
        <w:t xml:space="preserve">Make, Team and Buy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Make</w:t>
      </w:r>
      <w:r>
        <w:rPr>
          <w:rFonts w:ascii="Calibri" w:hAnsi="Calibri" w:cs="Calibri" w:eastAsia="PingFang SC"/>
          <w:color w:val="3D3A33"/>
          <w:sz w:val="22"/>
          <w:szCs w:val="22"/>
        </w:rPr>
        <w:t xml:space="preserve">: develop the product or service with the organisation's own staff.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Team</w:t>
      </w:r>
      <w:r>
        <w:rPr>
          <w:rFonts w:ascii="Calibri" w:hAnsi="Calibri" w:cs="Calibri" w:eastAsia="PingFang SC"/>
          <w:color w:val="3D3A33"/>
          <w:sz w:val="22"/>
          <w:szCs w:val="22"/>
        </w:rPr>
        <w:t xml:space="preserve">: a formal collaborative arrangement between organisations for specific work - partnering, a joint venture, an alliance, or a corporate teaming arrangement (often documented in a memorandum of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Buy</w:t>
      </w:r>
      <w:r>
        <w:rPr>
          <w:rFonts w:ascii="Calibri" w:hAnsi="Calibri" w:cs="Calibri" w:eastAsia="PingFang SC"/>
          <w:color w:val="3D3A33"/>
          <w:sz w:val="22"/>
          <w:szCs w:val="22"/>
        </w:rPr>
        <w:t xml:space="preserve">: contract out the required goods or services to a supplier.</w:t>
      </w:r>
    </w:p>
    <w:p>
      <w:pPr>
        <w:spacing w:before="0" w:after="160" w:line="312" w:lineRule="auto"/>
      </w:pPr>
      <w:r>
        <w:rPr>
          <w:rFonts w:ascii="Calibri" w:hAnsi="Calibri" w:cs="Calibri" w:eastAsia="PingFang SC"/>
          <w:color w:val="3D3A33"/>
          <w:sz w:val="22"/>
          <w:szCs w:val="22"/>
        </w:rPr>
        <w:t xml:space="preserve">Both Team and Buy require procurement planning: each needs selection, agreements, and contract administration. Whether a choice counts as Make, Team or Buy depends on which organisation's boundary you are drawing and what kind of relationship is created, so the same activity can be a Buy from one party's viewpoint and part of a Team arrangement from another's.</w:t>
      </w:r>
    </w:p>
    <w:p>
      <w:pPr>
        <w:spacing w:before="240" w:after="80" w:line="312" w:lineRule="auto"/>
      </w:pPr>
      <w:r>
        <w:rPr>
          <w:rFonts w:ascii="Calibri" w:hAnsi="Calibri" w:cs="Calibri" w:eastAsia="PingFang SC"/>
          <w:b/>
          <w:color w:val="175244"/>
          <w:sz w:val="22"/>
          <w:szCs w:val="22"/>
        </w:rPr>
        <w:t xml:space="preserve">Procurement strategies (how work is packaged)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98"/>
        <w:gridCol w:w="6662"/>
      </w:tblGrid>
      <w:tr>
        <w:trPr>
          <w:tblHeader/>
        </w:trPr>
        <w:tc>
          <w:tcPr>
            <w:tcW w:w="2698" w:type="dxa"/>
            <w:shd w:val="clear" w:color="auto" w:fill="EAE7DD"/>
          </w:tcPr>
          <w:p>
            <w:pPr>
              <w:spacing w:before="0" w:after="0" w:line="312" w:lineRule="auto"/>
            </w:pPr>
            <w:r>
              <w:rPr>
                <w:rFonts w:ascii="Calibri" w:hAnsi="Calibri" w:cs="Calibri" w:eastAsia="PingFang SC"/>
                <w:b/>
                <w:color w:val="3D3A33"/>
                <w:sz w:val="22"/>
                <w:szCs w:val="22"/>
              </w:rPr>
              <w:t xml:space="preserve">Strategy</w:t>
            </w:r>
          </w:p>
        </w:tc>
        <w:tc>
          <w:tcPr>
            <w:tcW w:w="6662"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698" w:type="dxa"/>
          </w:tcPr>
          <w:p>
            <w:pPr>
              <w:spacing w:before="0" w:after="0" w:line="312" w:lineRule="auto"/>
            </w:pPr>
            <w:r>
              <w:rPr>
                <w:rFonts w:ascii="Calibri" w:hAnsi="Calibri" w:cs="Calibri" w:eastAsia="PingFang SC"/>
                <w:color w:val="3D3A33"/>
                <w:sz w:val="22"/>
                <w:szCs w:val="22"/>
              </w:rPr>
              <w:t xml:space="preserve">Design and Build</w:t>
            </w:r>
          </w:p>
        </w:tc>
        <w:tc>
          <w:tcPr>
            <w:tcW w:w="6662" w:type="dxa"/>
          </w:tcPr>
          <w:p>
            <w:pPr>
              <w:spacing w:before="0" w:after="0" w:line="312" w:lineRule="auto"/>
            </w:pPr>
            <w:r>
              <w:rPr>
                <w:rFonts w:ascii="Calibri" w:hAnsi="Calibri" w:cs="Calibri" w:eastAsia="PingFang SC"/>
                <w:color w:val="3D3A33"/>
                <w:sz w:val="22"/>
                <w:szCs w:val="22"/>
              </w:rPr>
              <w:t xml:space="preserve">A single contract delivers a specified product or facility; the prime contractor may subcontract parts to third parties</w:t>
            </w:r>
          </w:p>
        </w:tc>
      </w:tr>
      <w:tr>
        <w:tc>
          <w:tcPr>
            <w:tcW w:w="2698" w:type="dxa"/>
          </w:tcPr>
          <w:p>
            <w:pPr>
              <w:spacing w:before="0" w:after="0" w:line="312" w:lineRule="auto"/>
            </w:pPr>
            <w:r>
              <w:rPr>
                <w:rFonts w:ascii="Calibri" w:hAnsi="Calibri" w:cs="Calibri" w:eastAsia="PingFang SC"/>
                <w:color w:val="3D3A33"/>
                <w:sz w:val="22"/>
                <w:szCs w:val="22"/>
              </w:rPr>
              <w:t xml:space="preserve">Design, Build and Operate</w:t>
            </w:r>
          </w:p>
        </w:tc>
        <w:tc>
          <w:tcPr>
            <w:tcW w:w="6662" w:type="dxa"/>
          </w:tcPr>
          <w:p>
            <w:pPr>
              <w:spacing w:before="0" w:after="0" w:line="312" w:lineRule="auto"/>
            </w:pPr>
            <w:r>
              <w:rPr>
                <w:rFonts w:ascii="Calibri" w:hAnsi="Calibri" w:cs="Calibri" w:eastAsia="PingFang SC"/>
                <w:color w:val="3D3A33"/>
                <w:sz w:val="22"/>
                <w:szCs w:val="22"/>
              </w:rPr>
              <w:t xml:space="preserve">As above, plus the prime operates the delivered facility or product against contracted performance targets, often with a service level agreement (a contract specifying measurable service standards)</w:t>
            </w:r>
          </w:p>
        </w:tc>
      </w:tr>
      <w:tr>
        <w:tc>
          <w:tcPr>
            <w:tcW w:w="2698" w:type="dxa"/>
          </w:tcPr>
          <w:p>
            <w:pPr>
              <w:spacing w:before="0" w:after="0" w:line="312" w:lineRule="auto"/>
            </w:pPr>
            <w:r>
              <w:rPr>
                <w:rFonts w:ascii="Calibri" w:hAnsi="Calibri" w:cs="Calibri" w:eastAsia="PingFang SC"/>
                <w:color w:val="3D3A33"/>
                <w:sz w:val="22"/>
                <w:szCs w:val="22"/>
              </w:rPr>
              <w:t xml:space="preserve">Management Contracting</w:t>
            </w:r>
          </w:p>
        </w:tc>
        <w:tc>
          <w:tcPr>
            <w:tcW w:w="6662" w:type="dxa"/>
          </w:tcPr>
          <w:p>
            <w:pPr>
              <w:spacing w:before="0" w:after="0" w:line="312" w:lineRule="auto"/>
            </w:pPr>
            <w:r>
              <w:rPr>
                <w:rFonts w:ascii="Calibri" w:hAnsi="Calibri" w:cs="Calibri" w:eastAsia="PingFang SC"/>
                <w:color w:val="3D3A33"/>
                <w:sz w:val="22"/>
                <w:szCs w:val="22"/>
              </w:rPr>
              <w:t xml:space="preserve">A contract to provide management services for a specified outcome</w:t>
            </w:r>
          </w:p>
        </w:tc>
      </w:tr>
      <w:tr>
        <w:tc>
          <w:tcPr>
            <w:tcW w:w="2698" w:type="dxa"/>
          </w:tcPr>
          <w:p>
            <w:pPr>
              <w:spacing w:before="0" w:after="0" w:line="312" w:lineRule="auto"/>
            </w:pPr>
            <w:r>
              <w:rPr>
                <w:rFonts w:ascii="Calibri" w:hAnsi="Calibri" w:cs="Calibri" w:eastAsia="PingFang SC"/>
                <w:color w:val="3D3A33"/>
                <w:sz w:val="22"/>
                <w:szCs w:val="22"/>
              </w:rPr>
              <w:t xml:space="preserve">Partnerships</w:t>
            </w:r>
          </w:p>
        </w:tc>
        <w:tc>
          <w:tcPr>
            <w:tcW w:w="6662" w:type="dxa"/>
          </w:tcPr>
          <w:p>
            <w:pPr>
              <w:spacing w:before="0" w:after="0" w:line="312" w:lineRule="auto"/>
            </w:pPr>
            <w:r>
              <w:rPr>
                <w:rFonts w:ascii="Calibri" w:hAnsi="Calibri" w:cs="Calibri" w:eastAsia="PingFang SC"/>
                <w:color w:val="3D3A33"/>
                <w:sz w:val="22"/>
                <w:szCs w:val="22"/>
              </w:rPr>
              <w:t xml:space="preserve">A contractual agreement to provide specified services and share costs and profits by an agreed formula</w:t>
            </w:r>
          </w:p>
        </w:tc>
      </w:tr>
      <w:tr>
        <w:tc>
          <w:tcPr>
            <w:tcW w:w="2698" w:type="dxa"/>
          </w:tcPr>
          <w:p>
            <w:pPr>
              <w:spacing w:before="0" w:after="0" w:line="312" w:lineRule="auto"/>
            </w:pPr>
            <w:r>
              <w:rPr>
                <w:rFonts w:ascii="Calibri" w:hAnsi="Calibri" w:cs="Calibri" w:eastAsia="PingFang SC"/>
                <w:color w:val="3D3A33"/>
                <w:sz w:val="22"/>
                <w:szCs w:val="22"/>
              </w:rPr>
              <w:t xml:space="preserve">Joint Ventures</w:t>
            </w:r>
          </w:p>
        </w:tc>
        <w:tc>
          <w:tcPr>
            <w:tcW w:w="6662" w:type="dxa"/>
          </w:tcPr>
          <w:p>
            <w:pPr>
              <w:spacing w:before="0" w:after="0" w:line="312" w:lineRule="auto"/>
            </w:pPr>
            <w:r>
              <w:rPr>
                <w:rFonts w:ascii="Calibri" w:hAnsi="Calibri" w:cs="Calibri" w:eastAsia="PingFang SC"/>
                <w:color w:val="3D3A33"/>
                <w:sz w:val="22"/>
                <w:szCs w:val="22"/>
              </w:rPr>
              <w:t xml:space="preserve">A temporary entity created for a commercial objective; participants contribute equity and share risk and profit</w:t>
            </w:r>
          </w:p>
        </w:tc>
      </w:tr>
    </w:tbl>
    <w:p>
      <w:pPr>
        <w:spacing w:before="0" w:after="160" w:line="312" w:lineRule="auto"/>
      </w:pPr>
      <w:r>
        <w:rPr>
          <w:rFonts w:ascii="Calibri" w:hAnsi="Calibri" w:cs="Calibri" w:eastAsia="PingFang SC"/>
          <w:color w:val="3D3A33"/>
          <w:sz w:val="22"/>
          <w:szCs w:val="22"/>
        </w:rPr>
        <w:t xml:space="preserve">Procurement strategy (how the work is organised and packaged) is not the same thing as contract pricing type (how the supplier is paid). Do not mix the two lists.</w:t>
      </w:r>
    </w:p>
    <w:p>
      <w:pPr>
        <w:spacing w:before="240" w:after="80" w:line="312" w:lineRule="auto"/>
      </w:pPr>
      <w:r>
        <w:rPr>
          <w:rFonts w:ascii="Calibri" w:hAnsi="Calibri" w:cs="Calibri" w:eastAsia="PingFang SC"/>
          <w:b/>
          <w:color w:val="175244"/>
          <w:sz w:val="22"/>
          <w:szCs w:val="22"/>
        </w:rPr>
        <w:t xml:space="preserve">The four-phase procurement lifecycle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82"/>
        <w:gridCol w:w="2163"/>
        <w:gridCol w:w="5916"/>
      </w:tblGrid>
      <w:tr>
        <w:trPr>
          <w:tblHeader/>
        </w:trPr>
        <w:tc>
          <w:tcPr>
            <w:tcW w:w="1282" w:type="dxa"/>
            <w:shd w:val="clear" w:color="auto" w:fill="EAE7DD"/>
          </w:tcPr>
          <w:p>
            <w:pPr>
              <w:spacing w:before="0" w:after="0" w:line="312" w:lineRule="auto"/>
            </w:pPr>
            <w:r>
              <w:rPr>
                <w:rFonts w:ascii="Calibri" w:hAnsi="Calibri" w:cs="Calibri" w:eastAsia="PingFang SC"/>
                <w:b/>
                <w:color w:val="3D3A33"/>
                <w:sz w:val="22"/>
                <w:szCs w:val="22"/>
              </w:rPr>
              <w:t xml:space="preserve">Phase</w:t>
            </w:r>
          </w:p>
        </w:tc>
        <w:tc>
          <w:tcPr>
            <w:tcW w:w="2163" w:type="dxa"/>
            <w:shd w:val="clear" w:color="auto" w:fill="EAE7DD"/>
          </w:tcPr>
          <w:p>
            <w:pPr>
              <w:spacing w:before="0" w:after="0" w:line="312" w:lineRule="auto"/>
            </w:pPr>
            <w:r>
              <w:rPr>
                <w:rFonts w:ascii="Calibri" w:hAnsi="Calibri" w:cs="Calibri" w:eastAsia="PingFang SC"/>
                <w:b/>
                <w:color w:val="3D3A33"/>
                <w:sz w:val="22"/>
                <w:szCs w:val="22"/>
              </w:rPr>
              <w:t xml:space="preserve">Process</w:t>
            </w:r>
          </w:p>
        </w:tc>
        <w:tc>
          <w:tcPr>
            <w:tcW w:w="5916" w:type="dxa"/>
            <w:shd w:val="clear" w:color="auto" w:fill="EAE7DD"/>
          </w:tcPr>
          <w:p>
            <w:pPr>
              <w:spacing w:before="0" w:after="0" w:line="312" w:lineRule="auto"/>
            </w:pPr>
            <w:r>
              <w:rPr>
                <w:rFonts w:ascii="Calibri" w:hAnsi="Calibri" w:cs="Calibri" w:eastAsia="PingFang SC"/>
                <w:b/>
                <w:color w:val="3D3A33"/>
                <w:sz w:val="22"/>
                <w:szCs w:val="22"/>
              </w:rPr>
              <w:t xml:space="preserve">Main content and output</w:t>
            </w:r>
          </w:p>
        </w:tc>
      </w:tr>
      <w:tr>
        <w:tc>
          <w:tcPr>
            <w:tcW w:w="1282" w:type="dxa"/>
          </w:tcPr>
          <w:p>
            <w:pPr>
              <w:spacing w:before="0" w:after="0" w:line="312" w:lineRule="auto"/>
            </w:pPr>
            <w:r>
              <w:rPr>
                <w:rFonts w:ascii="Calibri" w:hAnsi="Calibri" w:cs="Calibri" w:eastAsia="PingFang SC"/>
                <w:color w:val="3D3A33"/>
                <w:sz w:val="22"/>
                <w:szCs w:val="22"/>
              </w:rPr>
              <w:t xml:space="preserve">Planning</w:t>
            </w:r>
          </w:p>
        </w:tc>
        <w:tc>
          <w:tcPr>
            <w:tcW w:w="2163" w:type="dxa"/>
          </w:tcPr>
          <w:p>
            <w:pPr>
              <w:spacing w:before="0" w:after="0" w:line="312" w:lineRule="auto"/>
            </w:pPr>
            <w:r>
              <w:rPr>
                <w:rFonts w:ascii="Calibri" w:hAnsi="Calibri" w:cs="Calibri" w:eastAsia="PingFang SC"/>
                <w:color w:val="3D3A33"/>
                <w:sz w:val="22"/>
                <w:szCs w:val="22"/>
              </w:rPr>
              <w:t xml:space="preserve">Plan Procurement</w:t>
            </w:r>
          </w:p>
        </w:tc>
        <w:tc>
          <w:tcPr>
            <w:tcW w:w="5916" w:type="dxa"/>
          </w:tcPr>
          <w:p>
            <w:pPr>
              <w:spacing w:before="0" w:after="0" w:line="312" w:lineRule="auto"/>
            </w:pPr>
            <w:r>
              <w:rPr>
                <w:rFonts w:ascii="Calibri" w:hAnsi="Calibri" w:cs="Calibri" w:eastAsia="PingFang SC"/>
                <w:color w:val="3D3A33"/>
                <w:sz w:val="22"/>
                <w:szCs w:val="22"/>
              </w:rPr>
              <w:t xml:space="preserve">Decide the external scope, the acquisition method and timing, and estimate cost; prepare the plan and the request for proposal</w:t>
            </w:r>
          </w:p>
        </w:tc>
      </w:tr>
      <w:tr>
        <w:tc>
          <w:tcPr>
            <w:tcW w:w="1282" w:type="dxa"/>
          </w:tcPr>
          <w:p>
            <w:pPr>
              <w:spacing w:before="0" w:after="0" w:line="312" w:lineRule="auto"/>
            </w:pPr>
            <w:r>
              <w:rPr>
                <w:rFonts w:ascii="Calibri" w:hAnsi="Calibri" w:cs="Calibri" w:eastAsia="PingFang SC"/>
                <w:color w:val="3D3A33"/>
                <w:sz w:val="22"/>
                <w:szCs w:val="22"/>
              </w:rPr>
              <w:t xml:space="preserve">Execution</w:t>
            </w:r>
          </w:p>
        </w:tc>
        <w:tc>
          <w:tcPr>
            <w:tcW w:w="2163" w:type="dxa"/>
          </w:tcPr>
          <w:p>
            <w:pPr>
              <w:spacing w:before="0" w:after="0" w:line="312" w:lineRule="auto"/>
            </w:pPr>
            <w:r>
              <w:rPr>
                <w:rFonts w:ascii="Calibri" w:hAnsi="Calibri" w:cs="Calibri" w:eastAsia="PingFang SC"/>
                <w:color w:val="3D3A33"/>
                <w:sz w:val="22"/>
                <w:szCs w:val="22"/>
              </w:rPr>
              <w:t xml:space="preserve">Conduct Procurement</w:t>
            </w:r>
          </w:p>
        </w:tc>
        <w:tc>
          <w:tcPr>
            <w:tcW w:w="5916" w:type="dxa"/>
          </w:tcPr>
          <w:p>
            <w:pPr>
              <w:spacing w:before="0" w:after="0" w:line="312" w:lineRule="auto"/>
            </w:pPr>
            <w:r>
              <w:rPr>
                <w:rFonts w:ascii="Calibri" w:hAnsi="Calibri" w:cs="Calibri" w:eastAsia="PingFang SC"/>
                <w:color w:val="3D3A33"/>
                <w:sz w:val="22"/>
                <w:szCs w:val="22"/>
              </w:rPr>
              <w:t xml:space="preserve">Prepare the request for proposal, receive and evaluate sellers' proposals, award and sign the contract</w:t>
            </w:r>
          </w:p>
        </w:tc>
      </w:tr>
      <w:tr>
        <w:tc>
          <w:tcPr>
            <w:tcW w:w="1282" w:type="dxa"/>
          </w:tcPr>
          <w:p>
            <w:pPr>
              <w:spacing w:before="0" w:after="0" w:line="312" w:lineRule="auto"/>
            </w:pPr>
            <w:r>
              <w:rPr>
                <w:rFonts w:ascii="Calibri" w:hAnsi="Calibri" w:cs="Calibri" w:eastAsia="PingFang SC"/>
                <w:color w:val="3D3A33"/>
                <w:sz w:val="22"/>
                <w:szCs w:val="22"/>
              </w:rPr>
              <w:t xml:space="preserve">Monitoring and control</w:t>
            </w:r>
          </w:p>
        </w:tc>
        <w:tc>
          <w:tcPr>
            <w:tcW w:w="2163" w:type="dxa"/>
          </w:tcPr>
          <w:p>
            <w:pPr>
              <w:spacing w:before="0" w:after="0" w:line="312" w:lineRule="auto"/>
            </w:pPr>
            <w:r>
              <w:rPr>
                <w:rFonts w:ascii="Calibri" w:hAnsi="Calibri" w:cs="Calibri" w:eastAsia="PingFang SC"/>
                <w:color w:val="3D3A33"/>
                <w:sz w:val="22"/>
                <w:szCs w:val="22"/>
              </w:rPr>
              <w:t xml:space="preserve">Administer Procurement</w:t>
            </w:r>
          </w:p>
        </w:tc>
        <w:tc>
          <w:tcPr>
            <w:tcW w:w="5916" w:type="dxa"/>
          </w:tcPr>
          <w:p>
            <w:pPr>
              <w:spacing w:before="0" w:after="0" w:line="312" w:lineRule="auto"/>
            </w:pPr>
            <w:r>
              <w:rPr>
                <w:rFonts w:ascii="Calibri" w:hAnsi="Calibri" w:cs="Calibri" w:eastAsia="PingFang SC"/>
                <w:color w:val="3D3A33"/>
                <w:sz w:val="22"/>
                <w:szCs w:val="22"/>
              </w:rPr>
              <w:t xml:space="preserve">Monitor seller performance; manage changes to the authorised scope and deliverables</w:t>
            </w:r>
          </w:p>
        </w:tc>
      </w:tr>
      <w:tr>
        <w:tc>
          <w:tcPr>
            <w:tcW w:w="1282" w:type="dxa"/>
          </w:tcPr>
          <w:p>
            <w:pPr>
              <w:spacing w:before="0" w:after="0" w:line="312" w:lineRule="auto"/>
            </w:pPr>
            <w:r>
              <w:rPr>
                <w:rFonts w:ascii="Calibri" w:hAnsi="Calibri" w:cs="Calibri" w:eastAsia="PingFang SC"/>
                <w:color w:val="3D3A33"/>
                <w:sz w:val="22"/>
                <w:szCs w:val="22"/>
              </w:rPr>
              <w:t xml:space="preserve">Closure</w:t>
            </w:r>
          </w:p>
        </w:tc>
        <w:tc>
          <w:tcPr>
            <w:tcW w:w="2163" w:type="dxa"/>
          </w:tcPr>
          <w:p>
            <w:pPr>
              <w:spacing w:before="0" w:after="0" w:line="312" w:lineRule="auto"/>
            </w:pPr>
            <w:r>
              <w:rPr>
                <w:rFonts w:ascii="Calibri" w:hAnsi="Calibri" w:cs="Calibri" w:eastAsia="PingFang SC"/>
                <w:color w:val="3D3A33"/>
                <w:sz w:val="22"/>
                <w:szCs w:val="22"/>
              </w:rPr>
              <w:t xml:space="preserve">Close Procurement</w:t>
            </w:r>
          </w:p>
        </w:tc>
        <w:tc>
          <w:tcPr>
            <w:tcW w:w="5916" w:type="dxa"/>
          </w:tcPr>
          <w:p>
            <w:pPr>
              <w:spacing w:before="0" w:after="0" w:line="312" w:lineRule="auto"/>
            </w:pPr>
            <w:r>
              <w:rPr>
                <w:rFonts w:ascii="Calibri" w:hAnsi="Calibri" w:cs="Calibri" w:eastAsia="PingFang SC"/>
                <w:color w:val="3D3A33"/>
                <w:sz w:val="22"/>
                <w:szCs w:val="22"/>
              </w:rPr>
              <w:t xml:space="preserve">Resolve outstanding contract issues, close each procurement, keep records, capture lessons learned</w:t>
            </w:r>
          </w:p>
        </w:tc>
      </w:tr>
    </w:tbl>
    <w:p>
      <w:pPr>
        <w:spacing w:before="0" w:after="160" w:line="312" w:lineRule="auto"/>
      </w:pPr>
      <w:r>
        <w:rPr>
          <w:rFonts w:ascii="Calibri" w:hAnsi="Calibri" w:cs="Calibri" w:eastAsia="PingFang SC"/>
          <w:color w:val="3D3A33"/>
          <w:sz w:val="22"/>
          <w:szCs w:val="22"/>
        </w:rPr>
        <w:t xml:space="preserve">Support from a procurement department does not remove the project team's responsibility or its legal exposure.</w:t>
      </w:r>
    </w:p>
    <w:p>
      <w:pPr>
        <w:spacing w:before="240" w:after="80" w:line="312" w:lineRule="auto"/>
      </w:pPr>
      <w:r>
        <w:rPr>
          <w:rFonts w:ascii="Calibri" w:hAnsi="Calibri" w:cs="Calibri" w:eastAsia="PingFang SC"/>
          <w:b/>
          <w:color w:val="175244"/>
          <w:sz w:val="22"/>
          <w:szCs w:val="22"/>
        </w:rPr>
        <w:t xml:space="preserve">Procurement plan and procurement schedule</w:t>
      </w:r>
    </w:p>
    <w:p>
      <w:pPr>
        <w:spacing w:before="0" w:after="160" w:line="312" w:lineRule="auto"/>
      </w:pPr>
      <w:r>
        <w:rPr>
          <w:rFonts w:ascii="Calibri" w:hAnsi="Calibri" w:cs="Calibri" w:eastAsia="PingFang SC"/>
          <w:color w:val="3D3A33"/>
          <w:sz w:val="22"/>
          <w:szCs w:val="22"/>
        </w:rPr>
        <w:t xml:space="preserve">A large stand-alone document is a </w:t>
      </w:r>
      <w:r>
        <w:rPr>
          <w:rFonts w:ascii="Calibri" w:hAnsi="Calibri" w:cs="Calibri" w:eastAsia="PingFang SC"/>
          <w:b/>
          <w:color w:val="3D3A33"/>
          <w:sz w:val="22"/>
          <w:szCs w:val="22"/>
        </w:rPr>
        <w:t xml:space="preserve">Procurement Plan</w:t>
      </w:r>
      <w:r>
        <w:rPr>
          <w:rFonts w:ascii="Calibri" w:hAnsi="Calibri" w:cs="Calibri" w:eastAsia="PingFang SC"/>
          <w:color w:val="3D3A33"/>
          <w:sz w:val="22"/>
          <w:szCs w:val="22"/>
        </w:rPr>
        <w:t xml:space="preserve">; a short table embedded in the project plan is a </w:t>
      </w:r>
      <w:r>
        <w:rPr>
          <w:rFonts w:ascii="Calibri" w:hAnsi="Calibri" w:cs="Calibri" w:eastAsia="PingFang SC"/>
          <w:b/>
          <w:color w:val="3D3A33"/>
          <w:sz w:val="22"/>
          <w:szCs w:val="22"/>
        </w:rPr>
        <w:t xml:space="preserve">Procurement Schedule</w:t>
      </w:r>
      <w:r>
        <w:rPr>
          <w:rFonts w:ascii="Calibri" w:hAnsi="Calibri" w:cs="Calibri" w:eastAsia="PingFang SC"/>
          <w:color w:val="3D3A33"/>
          <w:sz w:val="22"/>
          <w:szCs w:val="22"/>
        </w:rPr>
        <w:t xml:space="preserve">. Either way the rows are the goods and services to be acquired, with these fields: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964"/>
        <w:gridCol w:w="6396"/>
      </w:tblGrid>
      <w:tr>
        <w:trPr>
          <w:tblHeader/>
        </w:trPr>
        <w:tc>
          <w:tcPr>
            <w:tcW w:w="2964" w:type="dxa"/>
            <w:shd w:val="clear" w:color="auto" w:fill="EAE7DD"/>
          </w:tcPr>
          <w:p>
            <w:pPr>
              <w:spacing w:before="0" w:after="0" w:line="312" w:lineRule="auto"/>
            </w:pPr>
            <w:r>
              <w:rPr>
                <w:rFonts w:ascii="Calibri" w:hAnsi="Calibri" w:cs="Calibri" w:eastAsia="PingFang SC"/>
                <w:b/>
                <w:color w:val="3D3A33"/>
                <w:sz w:val="22"/>
                <w:szCs w:val="22"/>
              </w:rPr>
              <w:t xml:space="preserve">Field</w:t>
            </w:r>
          </w:p>
        </w:tc>
        <w:tc>
          <w:tcPr>
            <w:tcW w:w="6396" w:type="dxa"/>
            <w:shd w:val="clear" w:color="auto" w:fill="EAE7DD"/>
          </w:tcPr>
          <w:p>
            <w:pPr>
              <w:spacing w:before="0" w:after="0" w:line="312" w:lineRule="auto"/>
            </w:pPr>
            <w:r>
              <w:rPr>
                <w:rFonts w:ascii="Calibri" w:hAnsi="Calibri" w:cs="Calibri" w:eastAsia="PingFang SC"/>
                <w:b/>
                <w:color w:val="3D3A33"/>
                <w:sz w:val="22"/>
                <w:szCs w:val="22"/>
              </w:rPr>
              <w:t xml:space="preserve">Content</w:t>
            </w:r>
          </w:p>
        </w:tc>
      </w:tr>
      <w:tr>
        <w:tc>
          <w:tcPr>
            <w:tcW w:w="2964" w:type="dxa"/>
          </w:tcPr>
          <w:p>
            <w:pPr>
              <w:spacing w:before="0" w:after="0" w:line="312" w:lineRule="auto"/>
            </w:pPr>
            <w:r>
              <w:rPr>
                <w:rFonts w:ascii="Calibri" w:hAnsi="Calibri" w:cs="Calibri" w:eastAsia="PingFang SC"/>
                <w:color w:val="3D3A33"/>
                <w:sz w:val="22"/>
                <w:szCs w:val="22"/>
              </w:rPr>
              <w:t xml:space="preserve">Goods or services</w:t>
            </w:r>
          </w:p>
        </w:tc>
        <w:tc>
          <w:tcPr>
            <w:tcW w:w="6396" w:type="dxa"/>
          </w:tcPr>
          <w:p>
            <w:pPr>
              <w:spacing w:before="0" w:after="0" w:line="312" w:lineRule="auto"/>
            </w:pPr>
            <w:r>
              <w:rPr>
                <w:rFonts w:ascii="Calibri" w:hAnsi="Calibri" w:cs="Calibri" w:eastAsia="PingFang SC"/>
                <w:color w:val="3D3A33"/>
                <w:sz w:val="22"/>
                <w:szCs w:val="22"/>
              </w:rPr>
              <w:t xml:space="preserve">What is being acquired</w:t>
            </w:r>
          </w:p>
        </w:tc>
      </w:tr>
      <w:tr>
        <w:tc>
          <w:tcPr>
            <w:tcW w:w="2964" w:type="dxa"/>
          </w:tcPr>
          <w:p>
            <w:pPr>
              <w:spacing w:before="0" w:after="0" w:line="312" w:lineRule="auto"/>
            </w:pPr>
            <w:r>
              <w:rPr>
                <w:rFonts w:ascii="Calibri" w:hAnsi="Calibri" w:cs="Calibri" w:eastAsia="PingFang SC"/>
                <w:color w:val="3D3A33"/>
                <w:sz w:val="22"/>
                <w:szCs w:val="22"/>
              </w:rPr>
              <w:t xml:space="preserve">Budgeted cost</w:t>
            </w:r>
          </w:p>
        </w:tc>
        <w:tc>
          <w:tcPr>
            <w:tcW w:w="6396" w:type="dxa"/>
          </w:tcPr>
          <w:p>
            <w:pPr>
              <w:spacing w:before="0" w:after="0" w:line="312" w:lineRule="auto"/>
            </w:pPr>
            <w:r>
              <w:rPr>
                <w:rFonts w:ascii="Calibri" w:hAnsi="Calibri" w:cs="Calibri" w:eastAsia="PingFang SC"/>
                <w:color w:val="3D3A33"/>
                <w:sz w:val="22"/>
                <w:szCs w:val="22"/>
              </w:rPr>
              <w:t xml:space="preserve">The planned amount</w:t>
            </w:r>
          </w:p>
        </w:tc>
      </w:tr>
      <w:tr>
        <w:tc>
          <w:tcPr>
            <w:tcW w:w="2964" w:type="dxa"/>
          </w:tcPr>
          <w:p>
            <w:pPr>
              <w:spacing w:before="0" w:after="0" w:line="312" w:lineRule="auto"/>
            </w:pPr>
            <w:r>
              <w:rPr>
                <w:rFonts w:ascii="Calibri" w:hAnsi="Calibri" w:cs="Calibri" w:eastAsia="PingFang SC"/>
                <w:color w:val="3D3A33"/>
                <w:sz w:val="22"/>
                <w:szCs w:val="22"/>
              </w:rPr>
              <w:t xml:space="preserve">Date required</w:t>
            </w:r>
          </w:p>
        </w:tc>
        <w:tc>
          <w:tcPr>
            <w:tcW w:w="6396" w:type="dxa"/>
          </w:tcPr>
          <w:p>
            <w:pPr>
              <w:spacing w:before="0" w:after="0" w:line="312" w:lineRule="auto"/>
            </w:pPr>
            <w:r>
              <w:rPr>
                <w:rFonts w:ascii="Calibri" w:hAnsi="Calibri" w:cs="Calibri" w:eastAsia="PingFang SC"/>
                <w:color w:val="3D3A33"/>
                <w:sz w:val="22"/>
                <w:szCs w:val="22"/>
              </w:rPr>
              <w:t xml:space="preserve">When the item must be available</w:t>
            </w:r>
          </w:p>
        </w:tc>
      </w:tr>
      <w:tr>
        <w:tc>
          <w:tcPr>
            <w:tcW w:w="2964" w:type="dxa"/>
          </w:tcPr>
          <w:p>
            <w:pPr>
              <w:spacing w:before="0" w:after="0" w:line="312" w:lineRule="auto"/>
            </w:pPr>
            <w:r>
              <w:rPr>
                <w:rFonts w:ascii="Calibri" w:hAnsi="Calibri" w:cs="Calibri" w:eastAsia="PingFang SC"/>
                <w:color w:val="3D3A33"/>
                <w:sz w:val="22"/>
                <w:szCs w:val="22"/>
              </w:rPr>
              <w:t xml:space="preserve">R/A/C/I</w:t>
            </w:r>
          </w:p>
        </w:tc>
        <w:tc>
          <w:tcPr>
            <w:tcW w:w="6396" w:type="dxa"/>
          </w:tcPr>
          <w:p>
            <w:pPr>
              <w:spacing w:before="0" w:after="0" w:line="312" w:lineRule="auto"/>
            </w:pPr>
            <w:r>
              <w:rPr>
                <w:rFonts w:ascii="Calibri" w:hAnsi="Calibri" w:cs="Calibri" w:eastAsia="PingFang SC"/>
                <w:color w:val="3D3A33"/>
                <w:sz w:val="22"/>
                <w:szCs w:val="22"/>
              </w:rPr>
              <w:t xml:space="preserve">Responsibility mapping: Responsible, Accountable, Consulted, Informed</w:t>
            </w:r>
          </w:p>
        </w:tc>
      </w:tr>
      <w:tr>
        <w:tc>
          <w:tcPr>
            <w:tcW w:w="2964" w:type="dxa"/>
          </w:tcPr>
          <w:p>
            <w:pPr>
              <w:spacing w:before="0" w:after="0" w:line="312" w:lineRule="auto"/>
            </w:pPr>
            <w:r>
              <w:rPr>
                <w:rFonts w:ascii="Calibri" w:hAnsi="Calibri" w:cs="Calibri" w:eastAsia="PingFang SC"/>
                <w:color w:val="3D3A33"/>
                <w:sz w:val="22"/>
                <w:szCs w:val="22"/>
              </w:rPr>
              <w:t xml:space="preserve">Make / Team / Buy decision</w:t>
            </w:r>
          </w:p>
        </w:tc>
        <w:tc>
          <w:tcPr>
            <w:tcW w:w="6396" w:type="dxa"/>
          </w:tcPr>
          <w:p>
            <w:pPr>
              <w:spacing w:before="0" w:after="0" w:line="312" w:lineRule="auto"/>
            </w:pPr>
            <w:r>
              <w:rPr>
                <w:rFonts w:ascii="Calibri" w:hAnsi="Calibri" w:cs="Calibri" w:eastAsia="PingFang SC"/>
                <w:color w:val="3D3A33"/>
                <w:sz w:val="22"/>
                <w:szCs w:val="22"/>
              </w:rPr>
              <w:t xml:space="preserve">How the work will be delivered (for Team and Buy rows)</w:t>
            </w:r>
          </w:p>
        </w:tc>
      </w:tr>
      <w:tr>
        <w:tc>
          <w:tcPr>
            <w:tcW w:w="2964" w:type="dxa"/>
          </w:tcPr>
          <w:p>
            <w:pPr>
              <w:spacing w:before="0" w:after="0" w:line="312" w:lineRule="auto"/>
            </w:pPr>
            <w:r>
              <w:rPr>
                <w:rFonts w:ascii="Calibri" w:hAnsi="Calibri" w:cs="Calibri" w:eastAsia="PingFang SC"/>
                <w:color w:val="3D3A33"/>
                <w:sz w:val="22"/>
                <w:szCs w:val="22"/>
              </w:rPr>
              <w:t xml:space="preserve">Contract type</w:t>
            </w:r>
          </w:p>
        </w:tc>
        <w:tc>
          <w:tcPr>
            <w:tcW w:w="6396" w:type="dxa"/>
          </w:tcPr>
          <w:p>
            <w:pPr>
              <w:spacing w:before="0" w:after="0" w:line="312" w:lineRule="auto"/>
            </w:pPr>
            <w:r>
              <w:rPr>
                <w:rFonts w:ascii="Calibri" w:hAnsi="Calibri" w:cs="Calibri" w:eastAsia="PingFang SC"/>
                <w:color w:val="3D3A33"/>
                <w:sz w:val="22"/>
                <w:szCs w:val="22"/>
              </w:rPr>
              <w:t xml:space="preserve">Fixed Price, Cost Plus, or Time and Material</w:t>
            </w:r>
          </w:p>
        </w:tc>
      </w:tr>
      <w:tr>
        <w:tc>
          <w:tcPr>
            <w:tcW w:w="2964" w:type="dxa"/>
          </w:tcPr>
          <w:p>
            <w:pPr>
              <w:spacing w:before="0" w:after="0" w:line="312" w:lineRule="auto"/>
            </w:pPr>
            <w:r>
              <w:rPr>
                <w:rFonts w:ascii="Calibri" w:hAnsi="Calibri" w:cs="Calibri" w:eastAsia="PingFang SC"/>
                <w:color w:val="3D3A33"/>
                <w:sz w:val="22"/>
                <w:szCs w:val="22"/>
              </w:rPr>
              <w:t xml:space="preserve">Supplier, or published evaluation criteria</w:t>
            </w:r>
          </w:p>
        </w:tc>
        <w:tc>
          <w:tcPr>
            <w:tcW w:w="6396" w:type="dxa"/>
          </w:tcPr>
          <w:p>
            <w:pPr>
              <w:spacing w:before="0" w:after="0" w:line="312" w:lineRule="auto"/>
            </w:pPr>
            <w:r>
              <w:rPr>
                <w:rFonts w:ascii="Calibri" w:hAnsi="Calibri" w:cs="Calibri" w:eastAsia="PingFang SC"/>
                <w:color w:val="3D3A33"/>
                <w:sz w:val="22"/>
                <w:szCs w:val="22"/>
              </w:rPr>
              <w:t xml:space="preserve">Who will supply it, or how proposals will be judged</w:t>
            </w:r>
          </w:p>
        </w:tc>
      </w:tr>
    </w:tbl>
    <w:p>
      <w:pPr>
        <w:spacing w:before="0" w:after="160" w:line="312" w:lineRule="auto"/>
      </w:pPr>
      <w:r>
        <w:rPr>
          <w:rFonts w:ascii="Calibri" w:hAnsi="Calibri" w:cs="Calibri" w:eastAsia="PingFang SC"/>
          <w:color w:val="3D3A33"/>
          <w:sz w:val="22"/>
          <w:szCs w:val="22"/>
        </w:rPr>
        <w:t xml:space="preserve">Keep the decision (Make/Team/Buy) separate from the tendering method, and keep the chosen supplier separate from the published evaluation criteria.</w:t>
      </w:r>
    </w:p>
    <w:p>
      <w:pPr>
        <w:spacing w:before="240" w:after="80" w:line="312" w:lineRule="auto"/>
      </w:pPr>
      <w:r>
        <w:rPr>
          <w:rFonts w:ascii="Calibri" w:hAnsi="Calibri" w:cs="Calibri" w:eastAsia="PingFang SC"/>
          <w:b/>
          <w:color w:val="175244"/>
          <w:sz w:val="22"/>
          <w:szCs w:val="22"/>
        </w:rPr>
        <w:t xml:space="preserve">Statement of work (SOW / Scope of Supply)</w:t>
      </w:r>
    </w:p>
    <w:p>
      <w:pPr>
        <w:spacing w:before="0" w:after="160" w:line="312" w:lineRule="auto"/>
      </w:pPr>
      <w:r>
        <w:rPr>
          <w:rFonts w:ascii="Calibri" w:hAnsi="Calibri" w:cs="Calibri" w:eastAsia="PingFang SC"/>
          <w:color w:val="3D3A33"/>
          <w:sz w:val="22"/>
          <w:szCs w:val="22"/>
        </w:rPr>
        <w:t xml:space="preserve">The statement of work tells a potential supplier exactly what is required. It contains: the objective or purpose; inclusions and exclusions; quantity; quality and performance requirements; location; interfaces with other suppliers; budget, time and resource constraints; and references to the specifications or business requirements. Clear requirements support meaningful proposal evaluation, acceptance and contract control. Procurement activities must start early enough for supplier lead times - the time between placing an order and delivery - rather than beginning when the item is needed on site.</w:t>
      </w:r>
    </w:p>
    <w:p>
      <w:pPr>
        <w:spacing w:before="240" w:after="80" w:line="312" w:lineRule="auto"/>
      </w:pPr>
      <w:r>
        <w:rPr>
          <w:rFonts w:ascii="Calibri" w:hAnsi="Calibri" w:cs="Calibri" w:eastAsia="PingFang SC"/>
          <w:b/>
          <w:color w:val="175244"/>
          <w:sz w:val="22"/>
          <w:szCs w:val="22"/>
        </w:rPr>
        <w:t xml:space="preserve">Elements of a contract</w:t>
      </w:r>
    </w:p>
    <w:p>
      <w:pPr>
        <w:spacing w:before="0" w:after="160" w:line="312" w:lineRule="auto"/>
      </w:pPr>
      <w:r>
        <w:rPr>
          <w:rFonts w:ascii="Calibri" w:hAnsi="Calibri" w:cs="Calibri" w:eastAsia="PingFang SC"/>
          <w:color w:val="3D3A33"/>
          <w:sz w:val="22"/>
          <w:szCs w:val="22"/>
        </w:rPr>
        <w:t xml:space="preserve">A contract is a legally binding agreement between two or more parties. The commonly listed elements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Offer and acceptance</w:t>
      </w:r>
      <w:r>
        <w:rPr>
          <w:rFonts w:ascii="Calibri" w:hAnsi="Calibri" w:cs="Calibri" w:eastAsia="PingFang SC"/>
          <w:color w:val="3D3A33"/>
          <w:sz w:val="22"/>
          <w:szCs w:val="22"/>
        </w:rPr>
        <w:t xml:space="preserve">: one party offers terms, the other accepts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Form and consideration</w:t>
      </w:r>
      <w:r>
        <w:rPr>
          <w:rFonts w:ascii="Calibri" w:hAnsi="Calibri" w:cs="Calibri" w:eastAsia="PingFang SC"/>
          <w:color w:val="3D3A33"/>
          <w:sz w:val="22"/>
          <w:szCs w:val="22"/>
        </w:rPr>
        <w:t xml:space="preserve">: each party receives value, usually services for money.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Intention to create a binding agreement</w:t>
      </w:r>
      <w:r>
        <w:rPr>
          <w:rFonts w:ascii="Calibri" w:hAnsi="Calibri" w:cs="Calibri" w:eastAsia="PingFang SC"/>
          <w:color w:val="3D3A33"/>
          <w:sz w:val="22"/>
          <w:szCs w:val="22"/>
        </w:rPr>
        <w:t xml:space="preserve">: the parties mean to be legally bound.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Legal capacity</w:t>
      </w:r>
      <w:r>
        <w:rPr>
          <w:rFonts w:ascii="Calibri" w:hAnsi="Calibri" w:cs="Calibri" w:eastAsia="PingFang SC"/>
          <w:color w:val="3D3A33"/>
          <w:sz w:val="22"/>
          <w:szCs w:val="22"/>
        </w:rPr>
        <w:t xml:space="preserve">: the parties are legally able to enter a contract.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Legality of object</w:t>
      </w:r>
      <w:r>
        <w:rPr>
          <w:rFonts w:ascii="Calibri" w:hAnsi="Calibri" w:cs="Calibri" w:eastAsia="PingFang SC"/>
          <w:color w:val="3D3A33"/>
          <w:sz w:val="22"/>
          <w:szCs w:val="22"/>
        </w:rPr>
        <w:t xml:space="preserve">: the purpose of the contract is lawful.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Freely given consent</w:t>
      </w:r>
      <w:r>
        <w:rPr>
          <w:rFonts w:ascii="Calibri" w:hAnsi="Calibri" w:cs="Calibri" w:eastAsia="PingFang SC"/>
          <w:color w:val="3D3A33"/>
          <w:sz w:val="22"/>
          <w:szCs w:val="22"/>
        </w:rPr>
        <w:t xml:space="preserve">: consent is not obtained through mistake, duress, fraud or coercion.</w:t>
      </w:r>
    </w:p>
    <w:p>
      <w:pPr>
        <w:spacing w:before="0" w:after="160" w:line="312" w:lineRule="auto"/>
      </w:pPr>
      <w:r>
        <w:rPr>
          <w:rFonts w:ascii="Calibri" w:hAnsi="Calibri" w:cs="Calibri" w:eastAsia="PingFang SC"/>
          <w:color w:val="3D3A33"/>
          <w:sz w:val="22"/>
          <w:szCs w:val="22"/>
        </w:rPr>
        <w:t xml:space="preserve">Caution: simplified classroom examples of capacity (for instance a list of categories of persons said to lack capacity) are illustrations, not statements of current law. Capacity, enforceability, form requirements and remedies depend on the jurisdiction, the transaction and the circumstances; real contracting needs qualified legal advice. Likewise, calling a document a memorandum of understanding does not by itself determine which of its clauses are legally binding.</w:t>
      </w:r>
    </w:p>
    <w:p>
      <w:pPr>
        <w:spacing w:before="240" w:after="80" w:line="312" w:lineRule="auto"/>
      </w:pPr>
      <w:r>
        <w:rPr>
          <w:rFonts w:ascii="Calibri" w:hAnsi="Calibri" w:cs="Calibri" w:eastAsia="PingFang SC"/>
          <w:b/>
          <w:color w:val="175244"/>
          <w:sz w:val="22"/>
          <w:szCs w:val="22"/>
        </w:rPr>
        <w:t xml:space="preserve">Three contract types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47"/>
        <w:gridCol w:w="2997"/>
        <w:gridCol w:w="2619"/>
        <w:gridCol w:w="2997"/>
      </w:tblGrid>
      <w:tr>
        <w:trPr>
          <w:tblHeader/>
        </w:trPr>
        <w:tc>
          <w:tcPr>
            <w:tcW w:w="747"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2997" w:type="dxa"/>
            <w:shd w:val="clear" w:color="auto" w:fill="EAE7DD"/>
          </w:tcPr>
          <w:p>
            <w:pPr>
              <w:spacing w:before="0" w:after="0" w:line="312" w:lineRule="auto"/>
            </w:pPr>
            <w:r>
              <w:rPr>
                <w:rFonts w:ascii="Calibri" w:hAnsi="Calibri" w:cs="Calibri" w:eastAsia="PingFang SC"/>
                <w:b/>
                <w:color w:val="3D3A33"/>
                <w:sz w:val="22"/>
                <w:szCs w:val="22"/>
              </w:rPr>
              <w:t xml:space="preserve">Price and payment basis</w:t>
            </w:r>
          </w:p>
        </w:tc>
        <w:tc>
          <w:tcPr>
            <w:tcW w:w="2619" w:type="dxa"/>
            <w:shd w:val="clear" w:color="auto" w:fill="EAE7DD"/>
          </w:tcPr>
          <w:p>
            <w:pPr>
              <w:spacing w:before="0" w:after="0" w:line="312" w:lineRule="auto"/>
            </w:pPr>
            <w:r>
              <w:rPr>
                <w:rFonts w:ascii="Calibri" w:hAnsi="Calibri" w:cs="Calibri" w:eastAsia="PingFang SC"/>
                <w:b/>
                <w:color w:val="3D3A33"/>
                <w:sz w:val="22"/>
                <w:szCs w:val="22"/>
              </w:rPr>
              <w:t xml:space="preserve">Scope and risk fit</w:t>
            </w:r>
          </w:p>
        </w:tc>
        <w:tc>
          <w:tcPr>
            <w:tcW w:w="2997" w:type="dxa"/>
            <w:shd w:val="clear" w:color="auto" w:fill="EAE7DD"/>
          </w:tcPr>
          <w:p>
            <w:pPr>
              <w:spacing w:before="0" w:after="0" w:line="312" w:lineRule="auto"/>
            </w:pPr>
            <w:r>
              <w:rPr>
                <w:rFonts w:ascii="Calibri" w:hAnsi="Calibri" w:cs="Calibri" w:eastAsia="PingFang SC"/>
                <w:b/>
                <w:color w:val="3D3A33"/>
                <w:sz w:val="22"/>
                <w:szCs w:val="22"/>
              </w:rPr>
              <w:t xml:space="preserve">Control and incentives</w:t>
            </w:r>
          </w:p>
        </w:tc>
      </w:tr>
      <w:tr>
        <w:tc>
          <w:tcPr>
            <w:tcW w:w="747" w:type="dxa"/>
          </w:tcPr>
          <w:p>
            <w:pPr>
              <w:spacing w:before="0" w:after="0" w:line="312" w:lineRule="auto"/>
            </w:pPr>
            <w:r>
              <w:rPr>
                <w:rFonts w:ascii="Calibri" w:hAnsi="Calibri" w:cs="Calibri" w:eastAsia="PingFang SC"/>
                <w:color w:val="3D3A33"/>
                <w:sz w:val="22"/>
                <w:szCs w:val="22"/>
              </w:rPr>
              <w:t xml:space="preserve">Fixed Price</w:t>
            </w:r>
          </w:p>
        </w:tc>
        <w:tc>
          <w:tcPr>
            <w:tcW w:w="2997" w:type="dxa"/>
          </w:tcPr>
          <w:p>
            <w:pPr>
              <w:spacing w:before="0" w:after="0" w:line="312" w:lineRule="auto"/>
            </w:pPr>
            <w:r>
              <w:rPr>
                <w:rFonts w:ascii="Calibri" w:hAnsi="Calibri" w:cs="Calibri" w:eastAsia="PingFang SC"/>
                <w:color w:val="3D3A33"/>
                <w:sz w:val="22"/>
                <w:szCs w:val="22"/>
              </w:rPr>
              <w:t xml:space="preserve">A fixed total price for a defined product or service, usually paid by milestone</w:t>
            </w:r>
          </w:p>
        </w:tc>
        <w:tc>
          <w:tcPr>
            <w:tcW w:w="2619" w:type="dxa"/>
          </w:tcPr>
          <w:p>
            <w:pPr>
              <w:spacing w:before="0" w:after="0" w:line="312" w:lineRule="auto"/>
            </w:pPr>
            <w:r>
              <w:rPr>
                <w:rFonts w:ascii="Calibri" w:hAnsi="Calibri" w:cs="Calibri" w:eastAsia="PingFang SC"/>
                <w:color w:val="3D3A33"/>
                <w:sz w:val="22"/>
                <w:szCs w:val="22"/>
              </w:rPr>
              <w:t xml:space="preserve">Well-defined scope, low risk; the buyer specifies scope and quality precisely</w:t>
            </w:r>
          </w:p>
        </w:tc>
        <w:tc>
          <w:tcPr>
            <w:tcW w:w="2997" w:type="dxa"/>
          </w:tcPr>
          <w:p>
            <w:pPr>
              <w:spacing w:before="0" w:after="0" w:line="312" w:lineRule="auto"/>
            </w:pPr>
            <w:r>
              <w:rPr>
                <w:rFonts w:ascii="Calibri" w:hAnsi="Calibri" w:cs="Calibri" w:eastAsia="PingFang SC"/>
                <w:color w:val="3D3A33"/>
                <w:sz w:val="22"/>
                <w:szCs w:val="22"/>
              </w:rPr>
              <w:t xml:space="preserve">Can include milestone, time or quality incentives or penalties; within a defined scope the supplier usually carries more of the overrun risk</w:t>
            </w:r>
          </w:p>
        </w:tc>
      </w:tr>
      <w:tr>
        <w:tc>
          <w:tcPr>
            <w:tcW w:w="747" w:type="dxa"/>
          </w:tcPr>
          <w:p>
            <w:pPr>
              <w:spacing w:before="0" w:after="0" w:line="312" w:lineRule="auto"/>
            </w:pPr>
            <w:r>
              <w:rPr>
                <w:rFonts w:ascii="Calibri" w:hAnsi="Calibri" w:cs="Calibri" w:eastAsia="PingFang SC"/>
                <w:color w:val="3D3A33"/>
                <w:sz w:val="22"/>
                <w:szCs w:val="22"/>
              </w:rPr>
              <w:t xml:space="preserve">Cost Plus</w:t>
            </w:r>
          </w:p>
        </w:tc>
        <w:tc>
          <w:tcPr>
            <w:tcW w:w="2997" w:type="dxa"/>
          </w:tcPr>
          <w:p>
            <w:pPr>
              <w:spacing w:before="0" w:after="0" w:line="312" w:lineRule="auto"/>
            </w:pPr>
            <w:r>
              <w:rPr>
                <w:rFonts w:ascii="Calibri" w:hAnsi="Calibri" w:cs="Calibri" w:eastAsia="PingFang SC"/>
                <w:color w:val="3D3A33"/>
                <w:sz w:val="22"/>
                <w:szCs w:val="22"/>
              </w:rPr>
              <w:t xml:space="preserve">The actual cost of the work is reimbursed plus a seller's profit fee, usually paid periodically</w:t>
            </w:r>
          </w:p>
        </w:tc>
        <w:tc>
          <w:tcPr>
            <w:tcW w:w="2619" w:type="dxa"/>
          </w:tcPr>
          <w:p>
            <w:pPr>
              <w:spacing w:before="0" w:after="0" w:line="312" w:lineRule="auto"/>
            </w:pPr>
            <w:r>
              <w:rPr>
                <w:rFonts w:ascii="Calibri" w:hAnsi="Calibri" w:cs="Calibri" w:eastAsia="PingFang SC"/>
                <w:color w:val="3D3A33"/>
                <w:sz w:val="22"/>
                <w:szCs w:val="22"/>
              </w:rPr>
              <w:t xml:space="preserve">Unclear or dynamic scope, high risk; for example prototypes</w:t>
            </w:r>
          </w:p>
        </w:tc>
        <w:tc>
          <w:tcPr>
            <w:tcW w:w="2997" w:type="dxa"/>
          </w:tcPr>
          <w:p>
            <w:pPr>
              <w:spacing w:before="0" w:after="0" w:line="312" w:lineRule="auto"/>
            </w:pPr>
            <w:r>
              <w:rPr>
                <w:rFonts w:ascii="Calibri" w:hAnsi="Calibri" w:cs="Calibri" w:eastAsia="PingFang SC"/>
                <w:color w:val="3D3A33"/>
                <w:sz w:val="22"/>
                <w:szCs w:val="22"/>
              </w:rPr>
              <w:t xml:space="preserve">The buyer monitors work, progress and cost closely; cost, schedule or quality incentives can be added</w:t>
            </w:r>
          </w:p>
        </w:tc>
      </w:tr>
      <w:tr>
        <w:tc>
          <w:tcPr>
            <w:tcW w:w="747" w:type="dxa"/>
          </w:tcPr>
          <w:p>
            <w:pPr>
              <w:spacing w:before="0" w:after="0" w:line="312" w:lineRule="auto"/>
            </w:pPr>
            <w:r>
              <w:rPr>
                <w:rFonts w:ascii="Calibri" w:hAnsi="Calibri" w:cs="Calibri" w:eastAsia="PingFang SC"/>
                <w:color w:val="3D3A33"/>
                <w:sz w:val="22"/>
                <w:szCs w:val="22"/>
              </w:rPr>
              <w:t xml:space="preserve">Time and Material</w:t>
            </w:r>
          </w:p>
        </w:tc>
        <w:tc>
          <w:tcPr>
            <w:tcW w:w="2997" w:type="dxa"/>
          </w:tcPr>
          <w:p>
            <w:pPr>
              <w:spacing w:before="0" w:after="0" w:line="312" w:lineRule="auto"/>
            </w:pPr>
            <w:r>
              <w:rPr>
                <w:rFonts w:ascii="Calibri" w:hAnsi="Calibri" w:cs="Calibri" w:eastAsia="PingFang SC"/>
                <w:color w:val="3D3A33"/>
                <w:sz w:val="22"/>
                <w:szCs w:val="22"/>
              </w:rPr>
              <w:t xml:space="preserve">Costs and materials are reimbursed, and time is charged at agreed rates that include the seller's margin</w:t>
            </w:r>
          </w:p>
        </w:tc>
        <w:tc>
          <w:tcPr>
            <w:tcW w:w="2619" w:type="dxa"/>
          </w:tcPr>
          <w:p>
            <w:pPr>
              <w:spacing w:before="0" w:after="0" w:line="312" w:lineRule="auto"/>
            </w:pPr>
            <w:r>
              <w:rPr>
                <w:rFonts w:ascii="Calibri" w:hAnsi="Calibri" w:cs="Calibri" w:eastAsia="PingFang SC"/>
                <w:color w:val="3D3A33"/>
                <w:sz w:val="22"/>
                <w:szCs w:val="22"/>
              </w:rPr>
              <w:t xml:space="preserve">Similar constraints and risk to Cost Plus; for example consultancy</w:t>
            </w:r>
          </w:p>
        </w:tc>
        <w:tc>
          <w:tcPr>
            <w:tcW w:w="2997" w:type="dxa"/>
          </w:tcPr>
          <w:p>
            <w:pPr>
              <w:spacing w:before="0" w:after="0" w:line="312" w:lineRule="auto"/>
            </w:pPr>
            <w:r>
              <w:rPr>
                <w:rFonts w:ascii="Calibri" w:hAnsi="Calibri" w:cs="Calibri" w:eastAsia="PingFang SC"/>
                <w:color w:val="3D3A33"/>
                <w:sz w:val="22"/>
                <w:szCs w:val="22"/>
              </w:rPr>
              <w:t xml:space="preserve">Monitor actual hours, materials and the authorised scope; agreed rates do not guarantee the final total price</w:t>
            </w:r>
          </w:p>
        </w:tc>
      </w:tr>
    </w:tbl>
    <w:p>
      <w:pPr>
        <w:spacing w:before="0" w:after="160" w:line="312" w:lineRule="auto"/>
      </w:pPr>
      <w:r>
        <w:rPr>
          <w:rFonts w:ascii="Calibri" w:hAnsi="Calibri" w:cs="Calibri" w:eastAsia="PingFang SC"/>
          <w:color w:val="3D3A33"/>
          <w:sz w:val="22"/>
          <w:szCs w:val="22"/>
        </w:rPr>
        <w:t xml:space="preserve">Risk positioning here is comparative teaching guidance. Actual risk, payment and rework responsibility depend on the contract clauses, the change mechanism and causation. A fixed-price contract does not mean the supplier pays for every extra request, and a cost-plus contract does not mean every cost is automatically reimbursable. Where a time-and-material rate already includes a margin, do not add profit again.</w:t>
      </w:r>
    </w:p>
    <w:p>
      <w:pPr>
        <w:spacing w:before="240" w:after="80" w:line="312" w:lineRule="auto"/>
      </w:pPr>
      <w:r>
        <w:rPr>
          <w:rFonts w:ascii="Calibri" w:hAnsi="Calibri" w:cs="Calibri" w:eastAsia="PingFang SC"/>
          <w:b/>
          <w:color w:val="175244"/>
          <w:sz w:val="22"/>
          <w:szCs w:val="22"/>
        </w:rPr>
        <w:t xml:space="preserve">Probity, ethics and transparency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Anyone committing the organisation to a supplier may bind it legally, so authority must be verified before making commitments.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Supplier selection is legally constrained. Follow the published evaluation criteria; describe the requirement rather than over-specifying the solution; and do not change criteria after seeing prices. Where no criteria were published, the lowest price is not automatically the best value.</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Make / Team / Buy applied to a work breakdown structure</w:t>
      </w:r>
    </w:p>
    <w:p>
      <w:pPr>
        <w:spacing w:before="0" w:after="160" w:line="312" w:lineRule="auto"/>
      </w:pPr>
      <w:r>
        <w:rPr>
          <w:rFonts w:ascii="Calibri" w:hAnsi="Calibri" w:cs="Calibri" w:eastAsia="PingFang SC"/>
          <w:color w:val="3D3A33"/>
          <w:sz w:val="22"/>
          <w:szCs w:val="22"/>
        </w:rPr>
        <w:t xml:space="preserve">Worked example: a house-building project with a work breakdown structure of Planning (client meeting, develop plans, apply for development approval, engage builder), Implementation (Exterior: prepare site, pour foundations, build frame, install roof; Interior: install walls, floors and ceilings, plumbing, electrical work, install fittings; Finishes: paint, landscaping, inspection, move in) and Closure (team celebration, administrative closure: close cost accounts, finalise contracts, inform stakeholders, archive project documentation; post-implementation review).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62"/>
        <w:gridCol w:w="1063"/>
        <w:gridCol w:w="6334"/>
      </w:tblGrid>
      <w:tr>
        <w:trPr>
          <w:tblHeader/>
        </w:trPr>
        <w:tc>
          <w:tcPr>
            <w:tcW w:w="1962" w:type="dxa"/>
            <w:shd w:val="clear" w:color="auto" w:fill="EAE7DD"/>
          </w:tcPr>
          <w:p>
            <w:pPr>
              <w:spacing w:before="0" w:after="0" w:line="312" w:lineRule="auto"/>
            </w:pPr>
            <w:r>
              <w:rPr>
                <w:rFonts w:ascii="Calibri" w:hAnsi="Calibri" w:cs="Calibri" w:eastAsia="PingFang SC"/>
                <w:b/>
                <w:color w:val="3D3A33"/>
                <w:sz w:val="22"/>
                <w:szCs w:val="22"/>
              </w:rPr>
              <w:t xml:space="preserve">WBS item</w:t>
            </w:r>
          </w:p>
        </w:tc>
        <w:tc>
          <w:tcPr>
            <w:tcW w:w="1063" w:type="dxa"/>
            <w:shd w:val="clear" w:color="auto" w:fill="EAE7DD"/>
          </w:tcPr>
          <w:p>
            <w:pPr>
              <w:spacing w:before="0" w:after="0" w:line="312" w:lineRule="auto"/>
            </w:pPr>
            <w:r>
              <w:rPr>
                <w:rFonts w:ascii="Calibri" w:hAnsi="Calibri" w:cs="Calibri" w:eastAsia="PingFang SC"/>
                <w:b/>
                <w:color w:val="3D3A33"/>
                <w:sz w:val="22"/>
                <w:szCs w:val="22"/>
              </w:rPr>
              <w:t xml:space="preserve">Delivery mode</w:t>
            </w:r>
          </w:p>
        </w:tc>
        <w:tc>
          <w:tcPr>
            <w:tcW w:w="6334" w:type="dxa"/>
            <w:shd w:val="clear" w:color="auto" w:fill="EAE7DD"/>
          </w:tcPr>
          <w:p>
            <w:pPr>
              <w:spacing w:before="0" w:after="0" w:line="312" w:lineRule="auto"/>
            </w:pPr>
            <w:r>
              <w:rPr>
                <w:rFonts w:ascii="Calibri" w:hAnsi="Calibri" w:cs="Calibri" w:eastAsia="PingFang SC"/>
                <w:b/>
                <w:color w:val="3D3A33"/>
                <w:sz w:val="22"/>
                <w:szCs w:val="22"/>
              </w:rPr>
              <w:t xml:space="preserve">What follows from the choice</w:t>
            </w:r>
          </w:p>
        </w:tc>
      </w:tr>
      <w:tr>
        <w:tc>
          <w:tcPr>
            <w:tcW w:w="1962" w:type="dxa"/>
          </w:tcPr>
          <w:p>
            <w:pPr>
              <w:spacing w:before="0" w:after="0" w:line="312" w:lineRule="auto"/>
            </w:pPr>
            <w:r>
              <w:rPr>
                <w:rFonts w:ascii="Calibri" w:hAnsi="Calibri" w:cs="Calibri" w:eastAsia="PingFang SC"/>
                <w:color w:val="3D3A33"/>
                <w:sz w:val="22"/>
                <w:szCs w:val="22"/>
              </w:rPr>
              <w:t xml:space="preserve">Develop plans</w:t>
            </w:r>
          </w:p>
        </w:tc>
        <w:tc>
          <w:tcPr>
            <w:tcW w:w="1063" w:type="dxa"/>
          </w:tcPr>
          <w:p>
            <w:pPr>
              <w:spacing w:before="0" w:after="0" w:line="312" w:lineRule="auto"/>
            </w:pPr>
            <w:r>
              <w:rPr>
                <w:rFonts w:ascii="Calibri" w:hAnsi="Calibri" w:cs="Calibri" w:eastAsia="PingFang SC"/>
                <w:color w:val="3D3A33"/>
                <w:sz w:val="22"/>
                <w:szCs w:val="22"/>
              </w:rPr>
              <w:t xml:space="preserve">Make</w:t>
            </w:r>
          </w:p>
        </w:tc>
        <w:tc>
          <w:tcPr>
            <w:tcW w:w="6334" w:type="dxa"/>
          </w:tcPr>
          <w:p>
            <w:pPr>
              <w:spacing w:before="0" w:after="0" w:line="312" w:lineRule="auto"/>
            </w:pPr>
            <w:r>
              <w:rPr>
                <w:rFonts w:ascii="Calibri" w:hAnsi="Calibri" w:cs="Calibri" w:eastAsia="PingFang SC"/>
                <w:color w:val="3D3A33"/>
                <w:sz w:val="22"/>
                <w:szCs w:val="22"/>
              </w:rPr>
              <w:t xml:space="preserve">The work expands into in-house technical activities</w:t>
            </w:r>
          </w:p>
        </w:tc>
      </w:tr>
      <w:tr>
        <w:tc>
          <w:tcPr>
            <w:tcW w:w="1962" w:type="dxa"/>
          </w:tcPr>
          <w:p>
            <w:pPr>
              <w:spacing w:before="0" w:after="0" w:line="312" w:lineRule="auto"/>
            </w:pPr>
            <w:r>
              <w:rPr>
                <w:rFonts w:ascii="Calibri" w:hAnsi="Calibri" w:cs="Calibri" w:eastAsia="PingFang SC"/>
                <w:color w:val="3D3A33"/>
                <w:sz w:val="22"/>
                <w:szCs w:val="22"/>
              </w:rPr>
              <w:t xml:space="preserve">Install roof</w:t>
            </w:r>
          </w:p>
        </w:tc>
        <w:tc>
          <w:tcPr>
            <w:tcW w:w="1063" w:type="dxa"/>
          </w:tcPr>
          <w:p>
            <w:pPr>
              <w:spacing w:before="0" w:after="0" w:line="312" w:lineRule="auto"/>
            </w:pPr>
            <w:r>
              <w:rPr>
                <w:rFonts w:ascii="Calibri" w:hAnsi="Calibri" w:cs="Calibri" w:eastAsia="PingFang SC"/>
                <w:color w:val="3D3A33"/>
                <w:sz w:val="22"/>
                <w:szCs w:val="22"/>
              </w:rPr>
              <w:t xml:space="preserve">Team</w:t>
            </w:r>
          </w:p>
        </w:tc>
        <w:tc>
          <w:tcPr>
            <w:tcW w:w="6334" w:type="dxa"/>
          </w:tcPr>
          <w:p>
            <w:pPr>
              <w:spacing w:before="0" w:after="0" w:line="312" w:lineRule="auto"/>
            </w:pPr>
            <w:r>
              <w:rPr>
                <w:rFonts w:ascii="Calibri" w:hAnsi="Calibri" w:cs="Calibri" w:eastAsia="PingFang SC"/>
                <w:color w:val="3D3A33"/>
                <w:sz w:val="22"/>
                <w:szCs w:val="22"/>
              </w:rPr>
              <w:t xml:space="preserve">Part technical work, part procurement and partnering activity (joint venture, partnership, alliance contract, memorandum of understanding)</w:t>
            </w:r>
          </w:p>
        </w:tc>
      </w:tr>
      <w:tr>
        <w:tc>
          <w:tcPr>
            <w:tcW w:w="1962" w:type="dxa"/>
          </w:tcPr>
          <w:p>
            <w:pPr>
              <w:spacing w:before="0" w:after="0" w:line="312" w:lineRule="auto"/>
            </w:pPr>
            <w:r>
              <w:rPr>
                <w:rFonts w:ascii="Calibri" w:hAnsi="Calibri" w:cs="Calibri" w:eastAsia="PingFang SC"/>
                <w:color w:val="3D3A33"/>
                <w:sz w:val="22"/>
                <w:szCs w:val="22"/>
              </w:rPr>
              <w:t xml:space="preserve">Paint</w:t>
            </w:r>
          </w:p>
        </w:tc>
        <w:tc>
          <w:tcPr>
            <w:tcW w:w="1063" w:type="dxa"/>
          </w:tcPr>
          <w:p>
            <w:pPr>
              <w:spacing w:before="0" w:after="0" w:line="312" w:lineRule="auto"/>
            </w:pPr>
            <w:r>
              <w:rPr>
                <w:rFonts w:ascii="Calibri" w:hAnsi="Calibri" w:cs="Calibri" w:eastAsia="PingFang SC"/>
                <w:color w:val="3D3A33"/>
                <w:sz w:val="22"/>
                <w:szCs w:val="22"/>
              </w:rPr>
              <w:t xml:space="preserve">Buy</w:t>
            </w:r>
          </w:p>
        </w:tc>
        <w:tc>
          <w:tcPr>
            <w:tcW w:w="6334" w:type="dxa"/>
          </w:tcPr>
          <w:p>
            <w:pPr>
              <w:spacing w:before="0" w:after="0" w:line="312" w:lineRule="auto"/>
            </w:pPr>
            <w:r>
              <w:rPr>
                <w:rFonts w:ascii="Calibri" w:hAnsi="Calibri" w:cs="Calibri" w:eastAsia="PingFang SC"/>
                <w:color w:val="3D3A33"/>
                <w:sz w:val="22"/>
                <w:szCs w:val="22"/>
              </w:rPr>
              <w:t xml:space="preserve">Find and select a supplier, form a contract, monitor performance</w:t>
            </w:r>
          </w:p>
        </w:tc>
      </w:tr>
    </w:tbl>
    <w:p>
      <w:pPr>
        <w:spacing w:before="0" w:after="160" w:line="312" w:lineRule="auto"/>
      </w:pPr>
      <w:r>
        <w:rPr>
          <w:rFonts w:ascii="Calibri" w:hAnsi="Calibri" w:cs="Calibri" w:eastAsia="PingFang SC"/>
          <w:color w:val="3D3A33"/>
          <w:sz w:val="22"/>
          <w:szCs w:val="22"/>
        </w:rPr>
        <w:t xml:space="preserve">These are illustrative choices; such tasks are not inherently limited to one mode.</w:t>
      </w:r>
    </w:p>
    <w:p>
      <w:pPr>
        <w:spacing w:before="240" w:after="80" w:line="312" w:lineRule="auto"/>
      </w:pPr>
      <w:r>
        <w:rPr>
          <w:rFonts w:ascii="Calibri" w:hAnsi="Calibri" w:cs="Calibri" w:eastAsia="PingFang SC"/>
          <w:b/>
          <w:color w:val="175244"/>
          <w:sz w:val="22"/>
          <w:szCs w:val="22"/>
        </w:rPr>
        <w:t xml:space="preserve">Choosing a relationship: the four tests</w:t>
      </w:r>
    </w:p>
    <w:p>
      <w:pPr>
        <w:spacing w:before="0" w:after="160" w:line="312" w:lineRule="auto"/>
      </w:pPr>
      <w:r>
        <w:rPr>
          <w:rFonts w:ascii="Calibri" w:hAnsi="Calibri" w:cs="Calibri" w:eastAsia="PingFang SC"/>
          <w:color w:val="3D3A33"/>
          <w:sz w:val="22"/>
          <w:szCs w:val="22"/>
        </w:rPr>
        <w:t xml:space="preserve">Classify each candidate work package against four tests:</w:t>
      </w:r>
    </w:p>
    <w:p>
      <w:pPr>
        <w:numPr>
          <w:ilvl w:val="0"/>
          <w:numId w:val="101"/>
        </w:numPr>
        <w:spacing w:after="80" w:line="312" w:lineRule="auto"/>
      </w:pPr>
      <w:r>
        <w:rPr>
          <w:rFonts w:ascii="Calibri" w:hAnsi="Calibri" w:cs="Calibri" w:eastAsia="PingFang SC"/>
          <w:b/>
          <w:color w:val="3D3A33"/>
          <w:sz w:val="22"/>
          <w:szCs w:val="22"/>
        </w:rPr>
        <w:t xml:space="preserve">Scope certainty</w:t>
      </w:r>
      <w:r>
        <w:rPr>
          <w:rFonts w:ascii="Calibri" w:hAnsi="Calibri" w:cs="Calibri" w:eastAsia="PingFang SC"/>
          <w:color w:val="3D3A33"/>
          <w:sz w:val="22"/>
          <w:szCs w:val="22"/>
        </w:rPr>
        <w:t xml:space="preserve">: how precisely can the required output be specified?</w:t>
      </w:r>
    </w:p>
    <w:p>
      <w:pPr>
        <w:numPr>
          <w:ilvl w:val="0"/>
          <w:numId w:val="101"/>
        </w:numPr>
        <w:spacing w:after="80" w:line="312" w:lineRule="auto"/>
      </w:pPr>
      <w:r>
        <w:rPr>
          <w:rFonts w:ascii="Calibri" w:hAnsi="Calibri" w:cs="Calibri" w:eastAsia="PingFang SC"/>
          <w:b/>
          <w:color w:val="3D3A33"/>
          <w:sz w:val="22"/>
          <w:szCs w:val="22"/>
        </w:rPr>
        <w:t xml:space="preserve">Repetition and frequency</w:t>
      </w:r>
      <w:r>
        <w:rPr>
          <w:rFonts w:ascii="Calibri" w:hAnsi="Calibri" w:cs="Calibri" w:eastAsia="PingFang SC"/>
          <w:color w:val="3D3A33"/>
          <w:sz w:val="22"/>
          <w:szCs w:val="22"/>
        </w:rPr>
        <w:t xml:space="preserve">: is this a one-off or a recurring stream of similar work?</w:t>
      </w:r>
    </w:p>
    <w:p>
      <w:pPr>
        <w:numPr>
          <w:ilvl w:val="0"/>
          <w:numId w:val="101"/>
        </w:numPr>
        <w:spacing w:after="80" w:line="312" w:lineRule="auto"/>
      </w:pPr>
      <w:r>
        <w:rPr>
          <w:rFonts w:ascii="Calibri" w:hAnsi="Calibri" w:cs="Calibri" w:eastAsia="PingFang SC"/>
          <w:b/>
          <w:color w:val="3D3A33"/>
          <w:sz w:val="22"/>
          <w:szCs w:val="22"/>
        </w:rPr>
        <w:t xml:space="preserve">Core capability</w:t>
      </w:r>
      <w:r>
        <w:rPr>
          <w:rFonts w:ascii="Calibri" w:hAnsi="Calibri" w:cs="Calibri" w:eastAsia="PingFang SC"/>
          <w:color w:val="3D3A33"/>
          <w:sz w:val="22"/>
          <w:szCs w:val="22"/>
        </w:rPr>
        <w:t xml:space="preserve">: is this work central to the organisation's purpose and identity?</w:t>
      </w:r>
    </w:p>
    <w:p>
      <w:pPr>
        <w:numPr>
          <w:ilvl w:val="0"/>
          <w:numId w:val="101"/>
        </w:numPr>
        <w:spacing w:after="80" w:line="312" w:lineRule="auto"/>
      </w:pPr>
      <w:r>
        <w:rPr>
          <w:rFonts w:ascii="Calibri" w:hAnsi="Calibri" w:cs="Calibri" w:eastAsia="PingFang SC"/>
          <w:b/>
          <w:color w:val="3D3A33"/>
          <w:sz w:val="22"/>
          <w:szCs w:val="22"/>
        </w:rPr>
        <w:t xml:space="preserve">Number of capable suppliers</w:t>
      </w:r>
      <w:r>
        <w:rPr>
          <w:rFonts w:ascii="Calibri" w:hAnsi="Calibri" w:cs="Calibri" w:eastAsia="PingFang SC"/>
          <w:color w:val="3D3A33"/>
          <w:sz w:val="22"/>
          <w:szCs w:val="22"/>
        </w:rPr>
        <w:t xml:space="preserve">: is there a competitive market of firms able to do the work?</w:t>
      </w:r>
    </w:p>
    <w:p>
      <w:pPr>
        <w:spacing w:before="0" w:after="160" w:line="312" w:lineRule="auto"/>
      </w:pPr>
      <w:r>
        <w:rPr>
          <w:rFonts w:ascii="Calibri" w:hAnsi="Calibri" w:cs="Calibri" w:eastAsia="PingFang SC"/>
          <w:color w:val="3D3A33"/>
          <w:sz w:val="22"/>
          <w:szCs w:val="22"/>
        </w:rPr>
        <w:t xml:space="preserve">Interpretation: uncertain, exploratory, strategically core work tends to be kept in-house or done with close collaboration; repeatable, well-specified, competitively supplied work can be bought; long streams of lifecycle work with a few capable partners can support integrated partnering arrangements. The output of the tests is a reasoned, conditional decision - not a fixed label.</w:t>
      </w:r>
    </w:p>
    <w:p>
      <w:pPr>
        <w:spacing w:before="240" w:after="80" w:line="312" w:lineRule="auto"/>
      </w:pPr>
      <w:r>
        <w:rPr>
          <w:rFonts w:ascii="Calibri" w:hAnsi="Calibri" w:cs="Calibri" w:eastAsia="PingFang SC"/>
          <w:b/>
          <w:color w:val="175244"/>
          <w:sz w:val="22"/>
          <w:szCs w:val="22"/>
        </w:rPr>
        <w:t xml:space="preserve">How contract type follows scope certainty</w:t>
      </w:r>
    </w:p>
    <w:p>
      <w:pPr>
        <w:spacing w:before="0" w:after="160" w:line="312" w:lineRule="auto"/>
      </w:pPr>
      <w:r>
        <w:rPr>
          <w:rFonts w:ascii="Calibri" w:hAnsi="Calibri" w:cs="Calibri" w:eastAsia="PingFang SC"/>
          <w:color w:val="3D3A33"/>
          <w:sz w:val="22"/>
          <w:szCs w:val="22"/>
        </w:rPr>
        <w:t xml:space="preserve">As scope certainty rises through a programme's life, cost risk can be shifted toward the supplier: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26"/>
        <w:gridCol w:w="2632"/>
        <w:gridCol w:w="4802"/>
      </w:tblGrid>
      <w:tr>
        <w:trPr>
          <w:tblHeader/>
        </w:trPr>
        <w:tc>
          <w:tcPr>
            <w:tcW w:w="1926" w:type="dxa"/>
            <w:shd w:val="clear" w:color="auto" w:fill="EAE7DD"/>
          </w:tcPr>
          <w:p>
            <w:pPr>
              <w:spacing w:before="0" w:after="0" w:line="312" w:lineRule="auto"/>
            </w:pPr>
            <w:r>
              <w:rPr>
                <w:rFonts w:ascii="Calibri" w:hAnsi="Calibri" w:cs="Calibri" w:eastAsia="PingFang SC"/>
                <w:b/>
                <w:color w:val="3D3A33"/>
                <w:sz w:val="22"/>
                <w:szCs w:val="22"/>
              </w:rPr>
              <w:t xml:space="preserve">Phase</w:t>
            </w:r>
          </w:p>
        </w:tc>
        <w:tc>
          <w:tcPr>
            <w:tcW w:w="2632" w:type="dxa"/>
            <w:shd w:val="clear" w:color="auto" w:fill="EAE7DD"/>
          </w:tcPr>
          <w:p>
            <w:pPr>
              <w:spacing w:before="0" w:after="0" w:line="312" w:lineRule="auto"/>
            </w:pPr>
            <w:r>
              <w:rPr>
                <w:rFonts w:ascii="Calibri" w:hAnsi="Calibri" w:cs="Calibri" w:eastAsia="PingFang SC"/>
                <w:b/>
                <w:color w:val="3D3A33"/>
                <w:sz w:val="22"/>
                <w:szCs w:val="22"/>
              </w:rPr>
              <w:t xml:space="preserve">Typical contract type</w:t>
            </w:r>
          </w:p>
        </w:tc>
        <w:tc>
          <w:tcPr>
            <w:tcW w:w="4802" w:type="dxa"/>
            <w:shd w:val="clear" w:color="auto" w:fill="EAE7DD"/>
          </w:tcPr>
          <w:p>
            <w:pPr>
              <w:spacing w:before="0" w:after="0" w:line="312" w:lineRule="auto"/>
            </w:pPr>
            <w:r>
              <w:rPr>
                <w:rFonts w:ascii="Calibri" w:hAnsi="Calibri" w:cs="Calibri" w:eastAsia="PingFang SC"/>
                <w:b/>
                <w:color w:val="3D3A33"/>
                <w:sz w:val="22"/>
                <w:szCs w:val="22"/>
              </w:rPr>
              <w:t xml:space="preserve">Reason</w:t>
            </w:r>
          </w:p>
        </w:tc>
      </w:tr>
      <w:tr>
        <w:tc>
          <w:tcPr>
            <w:tcW w:w="1926" w:type="dxa"/>
          </w:tcPr>
          <w:p>
            <w:pPr>
              <w:spacing w:before="0" w:after="0" w:line="312" w:lineRule="auto"/>
            </w:pPr>
            <w:r>
              <w:rPr>
                <w:rFonts w:ascii="Calibri" w:hAnsi="Calibri" w:cs="Calibri" w:eastAsia="PingFang SC"/>
                <w:color w:val="3D3A33"/>
                <w:sz w:val="22"/>
                <w:szCs w:val="22"/>
              </w:rPr>
              <w:t xml:space="preserve">Development</w:t>
            </w:r>
          </w:p>
        </w:tc>
        <w:tc>
          <w:tcPr>
            <w:tcW w:w="2632" w:type="dxa"/>
          </w:tcPr>
          <w:p>
            <w:pPr>
              <w:spacing w:before="0" w:after="0" w:line="312" w:lineRule="auto"/>
            </w:pPr>
            <w:r>
              <w:rPr>
                <w:rFonts w:ascii="Calibri" w:hAnsi="Calibri" w:cs="Calibri" w:eastAsia="PingFang SC"/>
                <w:color w:val="3D3A33"/>
                <w:sz w:val="22"/>
                <w:szCs w:val="22"/>
              </w:rPr>
              <w:t xml:space="preserve">Cost-plus</w:t>
            </w:r>
          </w:p>
        </w:tc>
        <w:tc>
          <w:tcPr>
            <w:tcW w:w="4802" w:type="dxa"/>
          </w:tcPr>
          <w:p>
            <w:pPr>
              <w:spacing w:before="0" w:after="0" w:line="312" w:lineRule="auto"/>
            </w:pPr>
            <w:r>
              <w:rPr>
                <w:rFonts w:ascii="Calibri" w:hAnsi="Calibri" w:cs="Calibri" w:eastAsia="PingFang SC"/>
                <w:color w:val="3D3A33"/>
                <w:sz w:val="22"/>
                <w:szCs w:val="22"/>
              </w:rPr>
              <w:t xml:space="preserve">The design does not exist yet; the buyer carries cost risk</w:t>
            </w:r>
          </w:p>
        </w:tc>
      </w:tr>
      <w:tr>
        <w:tc>
          <w:tcPr>
            <w:tcW w:w="1926" w:type="dxa"/>
          </w:tcPr>
          <w:p>
            <w:pPr>
              <w:spacing w:before="0" w:after="0" w:line="312" w:lineRule="auto"/>
            </w:pPr>
            <w:r>
              <w:rPr>
                <w:rFonts w:ascii="Calibri" w:hAnsi="Calibri" w:cs="Calibri" w:eastAsia="PingFang SC"/>
                <w:color w:val="3D3A33"/>
                <w:sz w:val="22"/>
                <w:szCs w:val="22"/>
              </w:rPr>
              <w:t xml:space="preserve">Early production</w:t>
            </w:r>
          </w:p>
        </w:tc>
        <w:tc>
          <w:tcPr>
            <w:tcW w:w="2632" w:type="dxa"/>
          </w:tcPr>
          <w:p>
            <w:pPr>
              <w:spacing w:before="0" w:after="0" w:line="312" w:lineRule="auto"/>
            </w:pPr>
            <w:r>
              <w:rPr>
                <w:rFonts w:ascii="Calibri" w:hAnsi="Calibri" w:cs="Calibri" w:eastAsia="PingFang SC"/>
                <w:color w:val="3D3A33"/>
                <w:sz w:val="22"/>
                <w:szCs w:val="22"/>
              </w:rPr>
              <w:t xml:space="preserve">Incentive, transitioning toward fixed-price incentive</w:t>
            </w:r>
          </w:p>
        </w:tc>
        <w:tc>
          <w:tcPr>
            <w:tcW w:w="4802" w:type="dxa"/>
          </w:tcPr>
          <w:p>
            <w:pPr>
              <w:spacing w:before="0" w:after="0" w:line="312" w:lineRule="auto"/>
            </w:pPr>
            <w:r>
              <w:rPr>
                <w:rFonts w:ascii="Calibri" w:hAnsi="Calibri" w:cs="Calibri" w:eastAsia="PingFang SC"/>
                <w:color w:val="3D3A33"/>
                <w:sz w:val="22"/>
                <w:szCs w:val="22"/>
              </w:rPr>
              <w:t xml:space="preserve">The design is stabilising and costs are becoming predictable</w:t>
            </w:r>
          </w:p>
        </w:tc>
      </w:tr>
      <w:tr>
        <w:tc>
          <w:tcPr>
            <w:tcW w:w="1926" w:type="dxa"/>
          </w:tcPr>
          <w:p>
            <w:pPr>
              <w:spacing w:before="0" w:after="0" w:line="312" w:lineRule="auto"/>
            </w:pPr>
            <w:r>
              <w:rPr>
                <w:rFonts w:ascii="Calibri" w:hAnsi="Calibri" w:cs="Calibri" w:eastAsia="PingFang SC"/>
                <w:color w:val="3D3A33"/>
                <w:sz w:val="22"/>
                <w:szCs w:val="22"/>
              </w:rPr>
              <w:t xml:space="preserve">Full-rate production</w:t>
            </w:r>
          </w:p>
        </w:tc>
        <w:tc>
          <w:tcPr>
            <w:tcW w:w="2632" w:type="dxa"/>
          </w:tcPr>
          <w:p>
            <w:pPr>
              <w:spacing w:before="0" w:after="0" w:line="312" w:lineRule="auto"/>
            </w:pPr>
            <w:r>
              <w:rPr>
                <w:rFonts w:ascii="Calibri" w:hAnsi="Calibri" w:cs="Calibri" w:eastAsia="PingFang SC"/>
                <w:color w:val="3D3A33"/>
                <w:sz w:val="22"/>
                <w:szCs w:val="22"/>
              </w:rPr>
              <w:t xml:space="preserve">Fixed price per unit</w:t>
            </w:r>
          </w:p>
        </w:tc>
        <w:tc>
          <w:tcPr>
            <w:tcW w:w="4802" w:type="dxa"/>
          </w:tcPr>
          <w:p>
            <w:pPr>
              <w:spacing w:before="0" w:after="0" w:line="312" w:lineRule="auto"/>
            </w:pPr>
            <w:r>
              <w:rPr>
                <w:rFonts w:ascii="Calibri" w:hAnsi="Calibri" w:cs="Calibri" w:eastAsia="PingFang SC"/>
                <w:color w:val="3D3A33"/>
                <w:sz w:val="22"/>
                <w:szCs w:val="22"/>
              </w:rPr>
              <w:t xml:space="preserve">A repeatable, well-defined product</w:t>
            </w:r>
          </w:p>
        </w:tc>
      </w:tr>
      <w:tr>
        <w:tc>
          <w:tcPr>
            <w:tcW w:w="1926" w:type="dxa"/>
          </w:tcPr>
          <w:p>
            <w:pPr>
              <w:spacing w:before="0" w:after="0" w:line="312" w:lineRule="auto"/>
            </w:pPr>
            <w:r>
              <w:rPr>
                <w:rFonts w:ascii="Calibri" w:hAnsi="Calibri" w:cs="Calibri" w:eastAsia="PingFang SC"/>
                <w:color w:val="3D3A33"/>
                <w:sz w:val="22"/>
                <w:szCs w:val="22"/>
              </w:rPr>
              <w:t xml:space="preserve">Sustainment</w:t>
            </w:r>
          </w:p>
        </w:tc>
        <w:tc>
          <w:tcPr>
            <w:tcW w:w="2632" w:type="dxa"/>
          </w:tcPr>
          <w:p>
            <w:pPr>
              <w:spacing w:before="0" w:after="0" w:line="312" w:lineRule="auto"/>
            </w:pPr>
            <w:r>
              <w:rPr>
                <w:rFonts w:ascii="Calibri" w:hAnsi="Calibri" w:cs="Calibri" w:eastAsia="PingFang SC"/>
                <w:color w:val="3D3A33"/>
                <w:sz w:val="22"/>
                <w:szCs w:val="22"/>
              </w:rPr>
              <w:t xml:space="preserve">Performance-based support</w:t>
            </w:r>
          </w:p>
        </w:tc>
        <w:tc>
          <w:tcPr>
            <w:tcW w:w="4802" w:type="dxa"/>
          </w:tcPr>
          <w:p>
            <w:pPr>
              <w:spacing w:before="0" w:after="0" w:line="312" w:lineRule="auto"/>
            </w:pPr>
            <w:r>
              <w:rPr>
                <w:rFonts w:ascii="Calibri" w:hAnsi="Calibri" w:cs="Calibri" w:eastAsia="PingFang SC"/>
                <w:color w:val="3D3A33"/>
                <w:sz w:val="22"/>
                <w:szCs w:val="22"/>
              </w:rPr>
              <w:t xml:space="preserve">Support across the product's life, paid against performance</w:t>
            </w:r>
          </w:p>
        </w:tc>
      </w:tr>
    </w:tbl>
    <w:p>
      <w:pPr>
        <w:spacing w:before="0" w:after="160" w:line="312" w:lineRule="auto"/>
      </w:pPr>
      <w:r>
        <w:rPr>
          <w:rFonts w:ascii="Calibri" w:hAnsi="Calibri" w:cs="Calibri" w:eastAsia="PingFang SC"/>
          <w:color w:val="3D3A33"/>
          <w:sz w:val="22"/>
          <w:szCs w:val="22"/>
        </w:rPr>
        <w:t xml:space="preserve">A fixed price on an uncertain scope does not remove risk: suppliers price the uncertainty in, or decline. Where development and production overlap (concurrency), finished units may later need modification (retrofit), and who pays depends on change authorisations, defect obligations and the contract clauses.</w:t>
      </w:r>
    </w:p>
    <w:p>
      <w:pPr>
        <w:spacing w:before="240" w:after="80" w:line="312" w:lineRule="auto"/>
      </w:pPr>
      <w:r>
        <w:rPr>
          <w:rFonts w:ascii="Calibri" w:hAnsi="Calibri" w:cs="Calibri" w:eastAsia="PingFang SC"/>
          <w:b/>
          <w:color w:val="175244"/>
          <w:sz w:val="22"/>
          <w:szCs w:val="22"/>
        </w:rPr>
        <w:t xml:space="preserve">Statement of work contents</w:t>
      </w:r>
    </w:p>
    <w:p>
      <w:pPr>
        <w:spacing w:before="0" w:after="160" w:line="312" w:lineRule="auto"/>
      </w:pPr>
      <w:r>
        <w:rPr>
          <w:rFonts w:ascii="Calibri" w:hAnsi="Calibri" w:cs="Calibri" w:eastAsia="PingFang SC"/>
          <w:color w:val="3D3A33"/>
          <w:sz w:val="22"/>
          <w:szCs w:val="22"/>
        </w:rPr>
        <w:t xml:space="preserve">Objective and purpose; inclusions and exclusions; quantity; quality and performance requirements; location; supplier interfaces; budget, time and resource constraints; references to specifications or business requirements.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an integrated water-utility delivery program</w:t>
      </w:r>
    </w:p>
    <w:p>
      <w:pPr>
        <w:spacing w:before="0" w:after="160" w:line="312" w:lineRule="auto"/>
      </w:pPr>
      <w:r>
        <w:rPr>
          <w:rFonts w:ascii="Calibri" w:hAnsi="Calibri" w:cs="Calibri" w:eastAsia="PingFang SC"/>
          <w:color w:val="3D3A33"/>
          <w:sz w:val="22"/>
          <w:szCs w:val="22"/>
        </w:rPr>
        <w:t xml:space="preserve">Motivation: reduce cost and improve value for money, deliver sustained high-quality customer work, and improve safety.</w:t>
      </w:r>
    </w:p>
    <w:p>
      <w:pPr>
        <w:spacing w:before="0" w:after="160" w:line="312" w:lineRule="auto"/>
      </w:pPr>
      <w:r>
        <w:rPr>
          <w:rFonts w:ascii="Calibri" w:hAnsi="Calibri" w:cs="Calibri" w:eastAsia="PingFang SC"/>
          <w:color w:val="3D3A33"/>
          <w:sz w:val="22"/>
          <w:szCs w:val="22"/>
        </w:rPr>
        <w:t xml:space="preserve">Structure: an integrated "One Team" model combining the water utility, three regional delivery consortia (north, south and west) holding ten-year partnerships, a shared purchasing function, and a single strategic planning partner. The consortia package design, construction, maintenance and facilities management and take lifecycle responsibility; a pool of specialist suppliers makes purchasing faster and easier; contract management uses a modern engineering-contract form and a programme-management model. The planning partner covers system planning, consultation, feasibility and concept design, project engineering and technical assurance.</w:t>
      </w:r>
    </w:p>
    <w:p>
      <w:pPr>
        <w:spacing w:before="0" w:after="160" w:line="312" w:lineRule="auto"/>
      </w:pPr>
      <w:r>
        <w:rPr>
          <w:rFonts w:ascii="Calibri" w:hAnsi="Calibri" w:cs="Calibri" w:eastAsia="PingFang SC"/>
          <w:color w:val="3D3A33"/>
          <w:sz w:val="22"/>
          <w:szCs w:val="22"/>
        </w:rPr>
        <w:t xml:space="preserve">Stated benefits include better customer outcomes, integrated long-term supplier partnerships, long-term resource assurance, savings and efficiency, competitive and incentivised contracts, and improved contract and project management capability among staff. These are the program's intended benefits; treat them as objectives to be tested, not as measured results.</w:t>
      </w:r>
    </w:p>
    <w:p>
      <w:pPr>
        <w:spacing w:before="0" w:after="160" w:line="312" w:lineRule="auto"/>
      </w:pPr>
      <w:r>
        <w:rPr>
          <w:rFonts w:ascii="Calibri" w:hAnsi="Calibri" w:cs="Calibri" w:eastAsia="PingFang SC"/>
          <w:color w:val="3D3A33"/>
          <w:sz w:val="22"/>
          <w:szCs w:val="22"/>
        </w:rPr>
        <w:t xml:space="preserve">Transactional versus relational delivery: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102"/>
        <w:gridCol w:w="5258"/>
      </w:tblGrid>
      <w:tr>
        <w:trPr>
          <w:tblHeader/>
        </w:trPr>
        <w:tc>
          <w:tcPr>
            <w:tcW w:w="4102" w:type="dxa"/>
            <w:shd w:val="clear" w:color="auto" w:fill="EAE7DD"/>
          </w:tcPr>
          <w:p>
            <w:pPr>
              <w:spacing w:before="0" w:after="0" w:line="312" w:lineRule="auto"/>
            </w:pPr>
            <w:r>
              <w:rPr>
                <w:rFonts w:ascii="Calibri" w:hAnsi="Calibri" w:cs="Calibri" w:eastAsia="PingFang SC"/>
                <w:b/>
                <w:color w:val="3D3A33"/>
                <w:sz w:val="22"/>
                <w:szCs w:val="22"/>
              </w:rPr>
              <w:t xml:space="preserve">Transactional, project-by-project tendering</w:t>
            </w:r>
          </w:p>
        </w:tc>
        <w:tc>
          <w:tcPr>
            <w:tcW w:w="5258" w:type="dxa"/>
            <w:shd w:val="clear" w:color="auto" w:fill="EAE7DD"/>
          </w:tcPr>
          <w:p>
            <w:pPr>
              <w:spacing w:before="0" w:after="0" w:line="312" w:lineRule="auto"/>
            </w:pPr>
            <w:r>
              <w:rPr>
                <w:rFonts w:ascii="Calibri" w:hAnsi="Calibri" w:cs="Calibri" w:eastAsia="PingFang SC"/>
                <w:b/>
                <w:color w:val="3D3A33"/>
                <w:sz w:val="22"/>
                <w:szCs w:val="22"/>
              </w:rPr>
              <w:t xml:space="preserve">Relational, program-wide arrangement</w:t>
            </w:r>
          </w:p>
        </w:tc>
      </w:tr>
      <w:tr>
        <w:tc>
          <w:tcPr>
            <w:tcW w:w="4102" w:type="dxa"/>
          </w:tcPr>
          <w:p>
            <w:pPr>
              <w:spacing w:before="0" w:after="0" w:line="312" w:lineRule="auto"/>
            </w:pPr>
            <w:r>
              <w:rPr>
                <w:rFonts w:ascii="Calibri" w:hAnsi="Calibri" w:cs="Calibri" w:eastAsia="PingFang SC"/>
                <w:color w:val="3D3A33"/>
                <w:sz w:val="22"/>
                <w:szCs w:val="22"/>
              </w:rPr>
              <w:t xml:space="preserve">Every capital project is competitively tendered</w:t>
            </w:r>
          </w:p>
        </w:tc>
        <w:tc>
          <w:tcPr>
            <w:tcW w:w="5258" w:type="dxa"/>
          </w:tcPr>
          <w:p>
            <w:pPr>
              <w:spacing w:before="0" w:after="0" w:line="312" w:lineRule="auto"/>
            </w:pPr>
            <w:r>
              <w:rPr>
                <w:rFonts w:ascii="Calibri" w:hAnsi="Calibri" w:cs="Calibri" w:eastAsia="PingFang SC"/>
                <w:color w:val="3D3A33"/>
                <w:sz w:val="22"/>
                <w:szCs w:val="22"/>
              </w:rPr>
              <w:t xml:space="preserve">Regional partners selected once for a ten-year pipeline of projects</w:t>
            </w:r>
          </w:p>
        </w:tc>
      </w:tr>
      <w:tr>
        <w:tc>
          <w:tcPr>
            <w:tcW w:w="4102" w:type="dxa"/>
          </w:tcPr>
          <w:p>
            <w:pPr>
              <w:spacing w:before="0" w:after="0" w:line="312" w:lineRule="auto"/>
            </w:pPr>
            <w:r>
              <w:rPr>
                <w:rFonts w:ascii="Calibri" w:hAnsi="Calibri" w:cs="Calibri" w:eastAsia="PingFang SC"/>
                <w:color w:val="3D3A33"/>
                <w:sz w:val="22"/>
                <w:szCs w:val="22"/>
              </w:rPr>
              <w:t xml:space="preserve">Price competition on a fully specified scope</w:t>
            </w:r>
          </w:p>
        </w:tc>
        <w:tc>
          <w:tcPr>
            <w:tcW w:w="5258" w:type="dxa"/>
          </w:tcPr>
          <w:p>
            <w:pPr>
              <w:spacing w:before="0" w:after="0" w:line="312" w:lineRule="auto"/>
            </w:pPr>
            <w:r>
              <w:rPr>
                <w:rFonts w:ascii="Calibri" w:hAnsi="Calibri" w:cs="Calibri" w:eastAsia="PingFang SC"/>
                <w:color w:val="3D3A33"/>
                <w:sz w:val="22"/>
                <w:szCs w:val="22"/>
              </w:rPr>
              <w:t xml:space="preserve">Design, construction, maintenance and facilities management packaged together</w:t>
            </w:r>
          </w:p>
        </w:tc>
      </w:tr>
      <w:tr>
        <w:tc>
          <w:tcPr>
            <w:tcW w:w="4102" w:type="dxa"/>
          </w:tcPr>
          <w:p>
            <w:pPr>
              <w:spacing w:before="0" w:after="0" w:line="312" w:lineRule="auto"/>
            </w:pPr>
            <w:r>
              <w:rPr>
                <w:rFonts w:ascii="Calibri" w:hAnsi="Calibri" w:cs="Calibri" w:eastAsia="PingFang SC"/>
                <w:color w:val="3D3A33"/>
                <w:sz w:val="22"/>
                <w:szCs w:val="22"/>
              </w:rPr>
              <w:t xml:space="preserve">The buyer coordinates many separate contracts and their interfaces</w:t>
            </w:r>
          </w:p>
        </w:tc>
        <w:tc>
          <w:tcPr>
            <w:tcW w:w="5258" w:type="dxa"/>
          </w:tcPr>
          <w:p>
            <w:pPr>
              <w:spacing w:before="0" w:after="0" w:line="312" w:lineRule="auto"/>
            </w:pPr>
            <w:r>
              <w:rPr>
                <w:rFonts w:ascii="Calibri" w:hAnsi="Calibri" w:cs="Calibri" w:eastAsia="PingFang SC"/>
                <w:color w:val="3D3A33"/>
                <w:sz w:val="22"/>
                <w:szCs w:val="22"/>
              </w:rPr>
              <w:t xml:space="preserve">Shared purchasing capability across the partnership</w:t>
            </w:r>
          </w:p>
        </w:tc>
      </w:tr>
      <w:tr>
        <w:tc>
          <w:tcPr>
            <w:tcW w:w="4102" w:type="dxa"/>
          </w:tcPr>
          <w:p>
            <w:pPr>
              <w:spacing w:before="0" w:after="0" w:line="312" w:lineRule="auto"/>
            </w:pPr>
            <w:r>
              <w:rPr>
                <w:rFonts w:ascii="Calibri" w:hAnsi="Calibri" w:cs="Calibri" w:eastAsia="PingFang SC"/>
                <w:color w:val="3D3A33"/>
                <w:sz w:val="22"/>
                <w:szCs w:val="22"/>
              </w:rPr>
              <w:t xml:space="preserve">The relationship ends at practical completion</w:t>
            </w:r>
          </w:p>
        </w:tc>
        <w:tc>
          <w:tcPr>
            <w:tcW w:w="5258" w:type="dxa"/>
          </w:tcPr>
          <w:p>
            <w:pPr>
              <w:spacing w:before="0" w:after="0" w:line="312" w:lineRule="auto"/>
            </w:pPr>
            <w:r>
              <w:rPr>
                <w:rFonts w:ascii="Calibri" w:hAnsi="Calibri" w:cs="Calibri" w:eastAsia="PingFang SC"/>
                <w:color w:val="3D3A33"/>
                <w:sz w:val="22"/>
                <w:szCs w:val="22"/>
              </w:rPr>
              <w:t xml:space="preserve">Performance is assessed across the whole programme</w:t>
            </w:r>
          </w:p>
        </w:tc>
      </w:tr>
    </w:tbl>
    <w:p>
      <w:pPr>
        <w:spacing w:before="0" w:after="160" w:line="312" w:lineRule="auto"/>
      </w:pPr>
      <w:r>
        <w:rPr>
          <w:rFonts w:ascii="Calibri" w:hAnsi="Calibri" w:cs="Calibri" w:eastAsia="PingFang SC"/>
          <w:color w:val="3D3A33"/>
          <w:sz w:val="22"/>
          <w:szCs w:val="22"/>
        </w:rPr>
        <w:t xml:space="preserve">A relational arrangement pays off when there is a long, predictable pipeline of similar work; enough scale to justify the selection cost; and a market with several genuinely capable firms for the one-off competition. It does not remove the need for competition, interface management or monitoring, and it carries lock-in risk, so it is not universally superior.</w:t>
      </w:r>
    </w:p>
    <w:p>
      <w:pPr>
        <w:spacing w:before="0" w:after="160" w:line="312" w:lineRule="auto"/>
      </w:pPr>
      <w:r>
        <w:rPr>
          <w:rFonts w:ascii="Calibri" w:hAnsi="Calibri" w:cs="Calibri" w:eastAsia="PingFang SC"/>
          <w:color w:val="3D3A33"/>
          <w:sz w:val="22"/>
          <w:szCs w:val="22"/>
        </w:rPr>
        <w:t xml:space="preserve">Applying the four tests to six candidate work packages (reasoned illustrations, not official answers):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605"/>
        <w:gridCol w:w="5755"/>
      </w:tblGrid>
      <w:tr>
        <w:trPr>
          <w:tblHeader/>
        </w:trPr>
        <w:tc>
          <w:tcPr>
            <w:tcW w:w="3605" w:type="dxa"/>
            <w:shd w:val="clear" w:color="auto" w:fill="EAE7DD"/>
          </w:tcPr>
          <w:p>
            <w:pPr>
              <w:spacing w:before="0" w:after="0" w:line="312" w:lineRule="auto"/>
            </w:pPr>
            <w:r>
              <w:rPr>
                <w:rFonts w:ascii="Calibri" w:hAnsi="Calibri" w:cs="Calibri" w:eastAsia="PingFang SC"/>
                <w:b/>
                <w:color w:val="3D3A33"/>
                <w:sz w:val="22"/>
                <w:szCs w:val="22"/>
              </w:rPr>
              <w:t xml:space="preserve">Work package</w:t>
            </w:r>
          </w:p>
        </w:tc>
        <w:tc>
          <w:tcPr>
            <w:tcW w:w="5755" w:type="dxa"/>
            <w:shd w:val="clear" w:color="auto" w:fill="EAE7DD"/>
          </w:tcPr>
          <w:p>
            <w:pPr>
              <w:spacing w:before="0" w:after="0" w:line="312" w:lineRule="auto"/>
            </w:pPr>
            <w:r>
              <w:rPr>
                <w:rFonts w:ascii="Calibri" w:hAnsi="Calibri" w:cs="Calibri" w:eastAsia="PingFang SC"/>
                <w:b/>
                <w:color w:val="3D3A33"/>
                <w:sz w:val="22"/>
                <w:szCs w:val="22"/>
              </w:rPr>
              <w:t xml:space="preserve">Reasoning</w:t>
            </w:r>
          </w:p>
        </w:tc>
      </w:tr>
      <w:tr>
        <w:tc>
          <w:tcPr>
            <w:tcW w:w="3605" w:type="dxa"/>
          </w:tcPr>
          <w:p>
            <w:pPr>
              <w:spacing w:before="0" w:after="0" w:line="312" w:lineRule="auto"/>
            </w:pPr>
            <w:r>
              <w:rPr>
                <w:rFonts w:ascii="Calibri" w:hAnsi="Calibri" w:cs="Calibri" w:eastAsia="PingFang SC"/>
                <w:color w:val="3D3A33"/>
                <w:sz w:val="22"/>
                <w:szCs w:val="22"/>
              </w:rPr>
              <w:t xml:space="preserve">Long-term system planning and network strategy</w:t>
            </w:r>
          </w:p>
        </w:tc>
        <w:tc>
          <w:tcPr>
            <w:tcW w:w="5755" w:type="dxa"/>
          </w:tcPr>
          <w:p>
            <w:pPr>
              <w:spacing w:before="0" w:after="0" w:line="312" w:lineRule="auto"/>
            </w:pPr>
            <w:r>
              <w:rPr>
                <w:rFonts w:ascii="Calibri" w:hAnsi="Calibri" w:cs="Calibri" w:eastAsia="PingFang SC"/>
                <w:color w:val="3D3A33"/>
                <w:sz w:val="22"/>
                <w:szCs w:val="22"/>
              </w:rPr>
              <w:t xml:space="preserve">Strategically core, low repetition of identical outputs: keep in-house ownership even with planning support</w:t>
            </w:r>
          </w:p>
        </w:tc>
      </w:tr>
      <w:tr>
        <w:tc>
          <w:tcPr>
            <w:tcW w:w="3605" w:type="dxa"/>
          </w:tcPr>
          <w:p>
            <w:pPr>
              <w:spacing w:before="0" w:after="0" w:line="312" w:lineRule="auto"/>
            </w:pPr>
            <w:r>
              <w:rPr>
                <w:rFonts w:ascii="Calibri" w:hAnsi="Calibri" w:cs="Calibri" w:eastAsia="PingFang SC"/>
                <w:color w:val="3D3A33"/>
                <w:sz w:val="22"/>
                <w:szCs w:val="22"/>
              </w:rPr>
              <w:t xml:space="preserve">Concept design and feasibility of a new pumping station</w:t>
            </w:r>
          </w:p>
        </w:tc>
        <w:tc>
          <w:tcPr>
            <w:tcW w:w="5755" w:type="dxa"/>
          </w:tcPr>
          <w:p>
            <w:pPr>
              <w:spacing w:before="0" w:after="0" w:line="312" w:lineRule="auto"/>
            </w:pPr>
            <w:r>
              <w:rPr>
                <w:rFonts w:ascii="Calibri" w:hAnsi="Calibri" w:cs="Calibri" w:eastAsia="PingFang SC"/>
                <w:color w:val="3D3A33"/>
                <w:sz w:val="22"/>
                <w:szCs w:val="22"/>
              </w:rPr>
              <w:t xml:space="preserve">Specialist one-off technical work, several capable consultants: Buy</w:t>
            </w:r>
          </w:p>
        </w:tc>
      </w:tr>
      <w:tr>
        <w:tc>
          <w:tcPr>
            <w:tcW w:w="3605" w:type="dxa"/>
          </w:tcPr>
          <w:p>
            <w:pPr>
              <w:spacing w:before="0" w:after="0" w:line="312" w:lineRule="auto"/>
            </w:pPr>
            <w:r>
              <w:rPr>
                <w:rFonts w:ascii="Calibri" w:hAnsi="Calibri" w:cs="Calibri" w:eastAsia="PingFang SC"/>
                <w:color w:val="3D3A33"/>
                <w:sz w:val="22"/>
                <w:szCs w:val="22"/>
              </w:rPr>
              <w:t xml:space="preserve">Construction of a 5 km trunk-main renewal</w:t>
            </w:r>
          </w:p>
        </w:tc>
        <w:tc>
          <w:tcPr>
            <w:tcW w:w="5755" w:type="dxa"/>
          </w:tcPr>
          <w:p>
            <w:pPr>
              <w:spacing w:before="0" w:after="0" w:line="312" w:lineRule="auto"/>
            </w:pPr>
            <w:r>
              <w:rPr>
                <w:rFonts w:ascii="Calibri" w:hAnsi="Calibri" w:cs="Calibri" w:eastAsia="PingFang SC"/>
                <w:color w:val="3D3A33"/>
                <w:sz w:val="22"/>
                <w:szCs w:val="22"/>
              </w:rPr>
              <w:t xml:space="preserve">Well-specified, repeatable construction: Buy, or bundle into a regional consortia package (Team)</w:t>
            </w:r>
          </w:p>
        </w:tc>
      </w:tr>
      <w:tr>
        <w:tc>
          <w:tcPr>
            <w:tcW w:w="3605" w:type="dxa"/>
          </w:tcPr>
          <w:p>
            <w:pPr>
              <w:spacing w:before="0" w:after="0" w:line="312" w:lineRule="auto"/>
            </w:pPr>
            <w:r>
              <w:rPr>
                <w:rFonts w:ascii="Calibri" w:hAnsi="Calibri" w:cs="Calibri" w:eastAsia="PingFang SC"/>
                <w:color w:val="3D3A33"/>
                <w:sz w:val="22"/>
                <w:szCs w:val="22"/>
              </w:rPr>
              <w:t xml:space="preserve">Routine treatment-plant maintenance</w:t>
            </w:r>
          </w:p>
        </w:tc>
        <w:tc>
          <w:tcPr>
            <w:tcW w:w="5755" w:type="dxa"/>
          </w:tcPr>
          <w:p>
            <w:pPr>
              <w:spacing w:before="0" w:after="0" w:line="312" w:lineRule="auto"/>
            </w:pPr>
            <w:r>
              <w:rPr>
                <w:rFonts w:ascii="Calibri" w:hAnsi="Calibri" w:cs="Calibri" w:eastAsia="PingFang SC"/>
                <w:color w:val="3D3A33"/>
                <w:sz w:val="22"/>
                <w:szCs w:val="22"/>
              </w:rPr>
              <w:t xml:space="preserve">Frequent, repetitive, measurable: Buy under a standing arrangement, or Team with a lifecycle partner</w:t>
            </w:r>
          </w:p>
        </w:tc>
      </w:tr>
      <w:tr>
        <w:tc>
          <w:tcPr>
            <w:tcW w:w="3605" w:type="dxa"/>
          </w:tcPr>
          <w:p>
            <w:pPr>
              <w:spacing w:before="0" w:after="0" w:line="312" w:lineRule="auto"/>
            </w:pPr>
            <w:r>
              <w:rPr>
                <w:rFonts w:ascii="Calibri" w:hAnsi="Calibri" w:cs="Calibri" w:eastAsia="PingFang SC"/>
                <w:color w:val="3D3A33"/>
                <w:sz w:val="22"/>
                <w:szCs w:val="22"/>
              </w:rPr>
              <w:t xml:space="preserve">Customer billing IT platform</w:t>
            </w:r>
          </w:p>
        </w:tc>
        <w:tc>
          <w:tcPr>
            <w:tcW w:w="5755" w:type="dxa"/>
          </w:tcPr>
          <w:p>
            <w:pPr>
              <w:spacing w:before="0" w:after="0" w:line="312" w:lineRule="auto"/>
            </w:pPr>
            <w:r>
              <w:rPr>
                <w:rFonts w:ascii="Calibri" w:hAnsi="Calibri" w:cs="Calibri" w:eastAsia="PingFang SC"/>
                <w:color w:val="3D3A33"/>
                <w:sz w:val="22"/>
                <w:szCs w:val="22"/>
              </w:rPr>
              <w:t xml:space="preserve">Requires analysis of core capability, data security and lock-in before deciding; the answer depends on those findings</w:t>
            </w:r>
          </w:p>
        </w:tc>
      </w:tr>
      <w:tr>
        <w:tc>
          <w:tcPr>
            <w:tcW w:w="3605" w:type="dxa"/>
          </w:tcPr>
          <w:p>
            <w:pPr>
              <w:spacing w:before="0" w:after="0" w:line="312" w:lineRule="auto"/>
            </w:pPr>
            <w:r>
              <w:rPr>
                <w:rFonts w:ascii="Calibri" w:hAnsi="Calibri" w:cs="Calibri" w:eastAsia="PingFang SC"/>
                <w:color w:val="3D3A33"/>
                <w:sz w:val="22"/>
                <w:szCs w:val="22"/>
              </w:rPr>
              <w:t xml:space="preserve">Site cleaning and grounds keeping</w:t>
            </w:r>
          </w:p>
        </w:tc>
        <w:tc>
          <w:tcPr>
            <w:tcW w:w="5755" w:type="dxa"/>
          </w:tcPr>
          <w:p>
            <w:pPr>
              <w:spacing w:before="0" w:after="0" w:line="312" w:lineRule="auto"/>
            </w:pPr>
            <w:r>
              <w:rPr>
                <w:rFonts w:ascii="Calibri" w:hAnsi="Calibri" w:cs="Calibri" w:eastAsia="PingFang SC"/>
                <w:color w:val="3D3A33"/>
                <w:sz w:val="22"/>
                <w:szCs w:val="22"/>
              </w:rPr>
              <w:t xml:space="preserve">Routine service, many capable suppliers: Buy</w:t>
            </w:r>
          </w:p>
        </w:tc>
      </w:tr>
    </w:tbl>
    <w:p>
      <w:pPr>
        <w:spacing w:before="0" w:after="160" w:line="312" w:lineRule="auto"/>
      </w:pPr>
      <w:r>
        <w:rPr>
          <w:rFonts w:ascii="Calibri" w:hAnsi="Calibri" w:cs="Calibri" w:eastAsia="PingFang SC"/>
          <w:color w:val="3D3A33"/>
          <w:sz w:val="22"/>
          <w:szCs w:val="22"/>
        </w:rPr>
        <w:t xml:space="preserve">The value is in stating the reasoning per item, not in a single correct label.</w:t>
      </w:r>
    </w:p>
    <w:p>
      <w:pPr>
        <w:spacing w:before="240" w:after="80" w:line="312" w:lineRule="auto"/>
      </w:pPr>
      <w:r>
        <w:rPr>
          <w:rFonts w:ascii="Calibri" w:hAnsi="Calibri" w:cs="Calibri" w:eastAsia="PingFang SC"/>
          <w:b/>
          <w:color w:val="175244"/>
          <w:sz w:val="22"/>
          <w:szCs w:val="22"/>
        </w:rPr>
        <w:t xml:space="preserve">Example 2: a global combat-aircraft enterprise (the F-35 program)</w:t>
      </w:r>
    </w:p>
    <w:p>
      <w:pPr>
        <w:spacing w:before="0" w:after="160" w:line="312" w:lineRule="auto"/>
      </w:pPr>
      <w:r>
        <w:rPr>
          <w:rFonts w:ascii="Calibri" w:hAnsi="Calibri" w:cs="Calibri" w:eastAsia="PingFang SC"/>
          <w:color w:val="3D3A33"/>
          <w:sz w:val="22"/>
          <w:szCs w:val="22"/>
        </w:rPr>
        <w:t xml:space="preserve">The enterprise runs three kinds of relationship at the same time: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765"/>
        <w:gridCol w:w="828"/>
        <w:gridCol w:w="5767"/>
      </w:tblGrid>
      <w:tr>
        <w:trPr>
          <w:tblHeader/>
        </w:trPr>
        <w:tc>
          <w:tcPr>
            <w:tcW w:w="2765" w:type="dxa"/>
            <w:shd w:val="clear" w:color="auto" w:fill="EAE7DD"/>
          </w:tcPr>
          <w:p>
            <w:pPr>
              <w:spacing w:before="0" w:after="0" w:line="312" w:lineRule="auto"/>
            </w:pPr>
            <w:r>
              <w:rPr>
                <w:rFonts w:ascii="Calibri" w:hAnsi="Calibri" w:cs="Calibri" w:eastAsia="PingFang SC"/>
                <w:b/>
                <w:color w:val="3D3A33"/>
                <w:sz w:val="22"/>
                <w:szCs w:val="22"/>
              </w:rPr>
              <w:t xml:space="preserve">Relationship</w:t>
            </w:r>
          </w:p>
        </w:tc>
        <w:tc>
          <w:tcPr>
            <w:tcW w:w="828" w:type="dxa"/>
            <w:shd w:val="clear" w:color="auto" w:fill="EAE7DD"/>
          </w:tcPr>
          <w:p>
            <w:pPr>
              <w:spacing w:before="0" w:after="0" w:line="312" w:lineRule="auto"/>
            </w:pPr>
            <w:r>
              <w:rPr>
                <w:rFonts w:ascii="Calibri" w:hAnsi="Calibri" w:cs="Calibri" w:eastAsia="PingFang SC"/>
                <w:b/>
                <w:color w:val="3D3A33"/>
                <w:sz w:val="22"/>
                <w:szCs w:val="22"/>
              </w:rPr>
              <w:t xml:space="preserve">Mode</w:t>
            </w:r>
          </w:p>
        </w:tc>
        <w:tc>
          <w:tcPr>
            <w:tcW w:w="5767" w:type="dxa"/>
            <w:shd w:val="clear" w:color="auto" w:fill="EAE7DD"/>
          </w:tcPr>
          <w:p>
            <w:pPr>
              <w:spacing w:before="0" w:after="0" w:line="312" w:lineRule="auto"/>
            </w:pPr>
            <w:r>
              <w:rPr>
                <w:rFonts w:ascii="Calibri" w:hAnsi="Calibri" w:cs="Calibri" w:eastAsia="PingFang SC"/>
                <w:b/>
                <w:color w:val="3D3A33"/>
                <w:sz w:val="22"/>
                <w:szCs w:val="22"/>
              </w:rPr>
              <w:t xml:space="preserve">How it works</w:t>
            </w:r>
          </w:p>
        </w:tc>
      </w:tr>
      <w:tr>
        <w:tc>
          <w:tcPr>
            <w:tcW w:w="2765" w:type="dxa"/>
          </w:tcPr>
          <w:p>
            <w:pPr>
              <w:spacing w:before="0" w:after="0" w:line="312" w:lineRule="auto"/>
            </w:pPr>
            <w:r>
              <w:rPr>
                <w:rFonts w:ascii="Calibri" w:hAnsi="Calibri" w:cs="Calibri" w:eastAsia="PingFang SC"/>
                <w:color w:val="3D3A33"/>
                <w:sz w:val="22"/>
                <w:szCs w:val="22"/>
              </w:rPr>
              <w:t xml:space="preserve">Government to prime contractor</w:t>
            </w:r>
          </w:p>
        </w:tc>
        <w:tc>
          <w:tcPr>
            <w:tcW w:w="828" w:type="dxa"/>
          </w:tcPr>
          <w:p>
            <w:pPr>
              <w:spacing w:before="0" w:after="0" w:line="312" w:lineRule="auto"/>
            </w:pPr>
            <w:r>
              <w:rPr>
                <w:rFonts w:ascii="Calibri" w:hAnsi="Calibri" w:cs="Calibri" w:eastAsia="PingFang SC"/>
                <w:color w:val="3D3A33"/>
                <w:sz w:val="22"/>
                <w:szCs w:val="22"/>
              </w:rPr>
              <w:t xml:space="preserve">Buy</w:t>
            </w:r>
          </w:p>
        </w:tc>
        <w:tc>
          <w:tcPr>
            <w:tcW w:w="5767" w:type="dxa"/>
          </w:tcPr>
          <w:p>
            <w:pPr>
              <w:spacing w:before="0" w:after="0" w:line="312" w:lineRule="auto"/>
            </w:pPr>
            <w:r>
              <w:rPr>
                <w:rFonts w:ascii="Calibri" w:hAnsi="Calibri" w:cs="Calibri" w:eastAsia="PingFang SC"/>
                <w:color w:val="3D3A33"/>
                <w:sz w:val="22"/>
                <w:szCs w:val="22"/>
              </w:rPr>
              <w:t xml:space="preserve">A joint program office contracts with the prime (Lockheed Martin) for development and production</w:t>
            </w:r>
          </w:p>
        </w:tc>
      </w:tr>
      <w:tr>
        <w:tc>
          <w:tcPr>
            <w:tcW w:w="2765" w:type="dxa"/>
          </w:tcPr>
          <w:p>
            <w:pPr>
              <w:spacing w:before="0" w:after="0" w:line="312" w:lineRule="auto"/>
            </w:pPr>
            <w:r>
              <w:rPr>
                <w:rFonts w:ascii="Calibri" w:hAnsi="Calibri" w:cs="Calibri" w:eastAsia="PingFang SC"/>
                <w:color w:val="3D3A33"/>
                <w:sz w:val="22"/>
                <w:szCs w:val="22"/>
              </w:rPr>
              <w:t xml:space="preserve">Prime contractor to industry</w:t>
            </w:r>
          </w:p>
        </w:tc>
        <w:tc>
          <w:tcPr>
            <w:tcW w:w="828" w:type="dxa"/>
          </w:tcPr>
          <w:p>
            <w:pPr>
              <w:spacing w:before="0" w:after="0" w:line="312" w:lineRule="auto"/>
            </w:pPr>
            <w:r>
              <w:rPr>
                <w:rFonts w:ascii="Calibri" w:hAnsi="Calibri" w:cs="Calibri" w:eastAsia="PingFang SC"/>
                <w:color w:val="3D3A33"/>
                <w:sz w:val="22"/>
                <w:szCs w:val="22"/>
              </w:rPr>
              <w:t xml:space="preserve">Team and Buy</w:t>
            </w:r>
          </w:p>
        </w:tc>
        <w:tc>
          <w:tcPr>
            <w:tcW w:w="5767" w:type="dxa"/>
          </w:tcPr>
          <w:p>
            <w:pPr>
              <w:spacing w:before="0" w:after="0" w:line="312" w:lineRule="auto"/>
            </w:pPr>
            <w:r>
              <w:rPr>
                <w:rFonts w:ascii="Calibri" w:hAnsi="Calibri" w:cs="Calibri" w:eastAsia="PingFang SC"/>
                <w:color w:val="3D3A33"/>
                <w:sz w:val="22"/>
                <w:szCs w:val="22"/>
              </w:rPr>
              <w:t xml:space="preserve">Airframe work is shared with partners such as Northrop Grumman and BAE Systems; the F135 engine is supplied by Pratt &amp; Whitney under a separate government contract, so it is not automatically a subcontract of the prime</w:t>
            </w:r>
          </w:p>
        </w:tc>
      </w:tr>
      <w:tr>
        <w:tc>
          <w:tcPr>
            <w:tcW w:w="2765" w:type="dxa"/>
          </w:tcPr>
          <w:p>
            <w:pPr>
              <w:spacing w:before="0" w:after="0" w:line="312" w:lineRule="auto"/>
            </w:pPr>
            <w:r>
              <w:rPr>
                <w:rFonts w:ascii="Calibri" w:hAnsi="Calibri" w:cs="Calibri" w:eastAsia="PingFang SC"/>
                <w:color w:val="3D3A33"/>
                <w:sz w:val="22"/>
                <w:szCs w:val="22"/>
              </w:rPr>
              <w:t xml:space="preserve">Government to government</w:t>
            </w:r>
          </w:p>
        </w:tc>
        <w:tc>
          <w:tcPr>
            <w:tcW w:w="828" w:type="dxa"/>
          </w:tcPr>
          <w:p>
            <w:pPr>
              <w:spacing w:before="0" w:after="0" w:line="312" w:lineRule="auto"/>
            </w:pPr>
            <w:r>
              <w:rPr>
                <w:rFonts w:ascii="Calibri" w:hAnsi="Calibri" w:cs="Calibri" w:eastAsia="PingFang SC"/>
                <w:color w:val="3D3A33"/>
                <w:sz w:val="22"/>
                <w:szCs w:val="22"/>
              </w:rPr>
              <w:t xml:space="preserve">Team</w:t>
            </w:r>
          </w:p>
        </w:tc>
        <w:tc>
          <w:tcPr>
            <w:tcW w:w="5767" w:type="dxa"/>
          </w:tcPr>
          <w:p>
            <w:pPr>
              <w:spacing w:before="0" w:after="0" w:line="312" w:lineRule="auto"/>
            </w:pPr>
            <w:r>
              <w:rPr>
                <w:rFonts w:ascii="Calibri" w:hAnsi="Calibri" w:cs="Calibri" w:eastAsia="PingFang SC"/>
                <w:color w:val="3D3A33"/>
                <w:sz w:val="22"/>
                <w:szCs w:val="22"/>
              </w:rPr>
              <w:t xml:space="preserve">Partner nations fund the program through memoranda of understanding in exchange for industrial participation and a place in the delivery queue; partner-nation industry work is competed on best value, so an offset is not guaranteed - national firms must win the work</w:t>
            </w:r>
          </w:p>
        </w:tc>
      </w:tr>
    </w:tbl>
    <w:p>
      <w:pPr>
        <w:spacing w:before="0" w:after="160" w:line="312" w:lineRule="auto"/>
      </w:pPr>
      <w:r>
        <w:rPr>
          <w:rFonts w:ascii="Calibri" w:hAnsi="Calibri" w:cs="Calibri" w:eastAsia="PingFang SC"/>
          <w:color w:val="3D3A33"/>
          <w:sz w:val="22"/>
          <w:szCs w:val="22"/>
        </w:rPr>
        <w:t xml:space="preserve">Participation was structured in tiers, reflecting financial contribution, access to technology transfer and subcontract bidding in the home country, and aircraft order position: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87"/>
        <w:gridCol w:w="6173"/>
      </w:tblGrid>
      <w:tr>
        <w:trPr>
          <w:tblHeader/>
        </w:trPr>
        <w:tc>
          <w:tcPr>
            <w:tcW w:w="3187" w:type="dxa"/>
            <w:shd w:val="clear" w:color="auto" w:fill="EAE7DD"/>
          </w:tcPr>
          <w:p>
            <w:pPr>
              <w:spacing w:before="0" w:after="0" w:line="312" w:lineRule="auto"/>
            </w:pPr>
            <w:r>
              <w:rPr>
                <w:rFonts w:ascii="Calibri" w:hAnsi="Calibri" w:cs="Calibri" w:eastAsia="PingFang SC"/>
                <w:b/>
                <w:color w:val="3D3A33"/>
                <w:sz w:val="22"/>
                <w:szCs w:val="22"/>
              </w:rPr>
              <w:t xml:space="preserve">Tier</w:t>
            </w:r>
          </w:p>
        </w:tc>
        <w:tc>
          <w:tcPr>
            <w:tcW w:w="6173" w:type="dxa"/>
            <w:shd w:val="clear" w:color="auto" w:fill="EAE7DD"/>
          </w:tcPr>
          <w:p>
            <w:pPr>
              <w:spacing w:before="0" w:after="0" w:line="312" w:lineRule="auto"/>
            </w:pPr>
            <w:r>
              <w:rPr>
                <w:rFonts w:ascii="Calibri" w:hAnsi="Calibri" w:cs="Calibri" w:eastAsia="PingFang SC"/>
                <w:b/>
                <w:color w:val="3D3A33"/>
                <w:sz w:val="22"/>
                <w:szCs w:val="22"/>
              </w:rPr>
              <w:t xml:space="preserve">Countries</w:t>
            </w:r>
          </w:p>
        </w:tc>
      </w:tr>
      <w:tr>
        <w:tc>
          <w:tcPr>
            <w:tcW w:w="3187" w:type="dxa"/>
          </w:tcPr>
          <w:p>
            <w:pPr>
              <w:spacing w:before="0" w:after="0" w:line="312" w:lineRule="auto"/>
            </w:pPr>
            <w:r>
              <w:rPr>
                <w:rFonts w:ascii="Calibri" w:hAnsi="Calibri" w:cs="Calibri" w:eastAsia="PingFang SC"/>
                <w:color w:val="3D3A33"/>
                <w:sz w:val="22"/>
                <w:szCs w:val="22"/>
              </w:rPr>
              <w:t xml:space="preserve">Level 1</w:t>
            </w:r>
          </w:p>
        </w:tc>
        <w:tc>
          <w:tcPr>
            <w:tcW w:w="6173" w:type="dxa"/>
          </w:tcPr>
          <w:p>
            <w:pPr>
              <w:spacing w:before="0" w:after="0" w:line="312" w:lineRule="auto"/>
            </w:pPr>
            <w:r>
              <w:rPr>
                <w:rFonts w:ascii="Calibri" w:hAnsi="Calibri" w:cs="Calibri" w:eastAsia="PingFang SC"/>
                <w:color w:val="3D3A33"/>
                <w:sz w:val="22"/>
                <w:szCs w:val="22"/>
              </w:rPr>
              <w:t xml:space="preserve">United Kingdom</w:t>
            </w:r>
          </w:p>
        </w:tc>
      </w:tr>
      <w:tr>
        <w:tc>
          <w:tcPr>
            <w:tcW w:w="3187" w:type="dxa"/>
          </w:tcPr>
          <w:p>
            <w:pPr>
              <w:spacing w:before="0" w:after="0" w:line="312" w:lineRule="auto"/>
            </w:pPr>
            <w:r>
              <w:rPr>
                <w:rFonts w:ascii="Calibri" w:hAnsi="Calibri" w:cs="Calibri" w:eastAsia="PingFang SC"/>
                <w:color w:val="3D3A33"/>
                <w:sz w:val="22"/>
                <w:szCs w:val="22"/>
              </w:rPr>
              <w:t xml:space="preserve">Level 2</w:t>
            </w:r>
          </w:p>
        </w:tc>
        <w:tc>
          <w:tcPr>
            <w:tcW w:w="6173" w:type="dxa"/>
          </w:tcPr>
          <w:p>
            <w:pPr>
              <w:spacing w:before="0" w:after="0" w:line="312" w:lineRule="auto"/>
            </w:pPr>
            <w:r>
              <w:rPr>
                <w:rFonts w:ascii="Calibri" w:hAnsi="Calibri" w:cs="Calibri" w:eastAsia="PingFang SC"/>
                <w:color w:val="3D3A33"/>
                <w:sz w:val="22"/>
                <w:szCs w:val="22"/>
              </w:rPr>
              <w:t xml:space="preserve">Italy, Netherlands</w:t>
            </w:r>
          </w:p>
        </w:tc>
      </w:tr>
      <w:tr>
        <w:tc>
          <w:tcPr>
            <w:tcW w:w="3187" w:type="dxa"/>
          </w:tcPr>
          <w:p>
            <w:pPr>
              <w:spacing w:before="0" w:after="0" w:line="312" w:lineRule="auto"/>
            </w:pPr>
            <w:r>
              <w:rPr>
                <w:rFonts w:ascii="Calibri" w:hAnsi="Calibri" w:cs="Calibri" w:eastAsia="PingFang SC"/>
                <w:color w:val="3D3A33"/>
                <w:sz w:val="22"/>
                <w:szCs w:val="22"/>
              </w:rPr>
              <w:t xml:space="preserve">Level 3</w:t>
            </w:r>
          </w:p>
        </w:tc>
        <w:tc>
          <w:tcPr>
            <w:tcW w:w="6173" w:type="dxa"/>
          </w:tcPr>
          <w:p>
            <w:pPr>
              <w:spacing w:before="0" w:after="0" w:line="312" w:lineRule="auto"/>
            </w:pPr>
            <w:r>
              <w:rPr>
                <w:rFonts w:ascii="Calibri" w:hAnsi="Calibri" w:cs="Calibri" w:eastAsia="PingFang SC"/>
                <w:color w:val="3D3A33"/>
                <w:sz w:val="22"/>
                <w:szCs w:val="22"/>
              </w:rPr>
              <w:t xml:space="preserve">Turkey, Canada, Australia, Norway, Denmark</w:t>
            </w:r>
          </w:p>
        </w:tc>
      </w:tr>
      <w:tr>
        <w:tc>
          <w:tcPr>
            <w:tcW w:w="3187" w:type="dxa"/>
          </w:tcPr>
          <w:p>
            <w:pPr>
              <w:spacing w:before="0" w:after="0" w:line="312" w:lineRule="auto"/>
            </w:pPr>
            <w:r>
              <w:rPr>
                <w:rFonts w:ascii="Calibri" w:hAnsi="Calibri" w:cs="Calibri" w:eastAsia="PingFang SC"/>
                <w:color w:val="3D3A33"/>
                <w:sz w:val="22"/>
                <w:szCs w:val="22"/>
              </w:rPr>
              <w:t xml:space="preserve">Security Cooperative Participants</w:t>
            </w:r>
          </w:p>
        </w:tc>
        <w:tc>
          <w:tcPr>
            <w:tcW w:w="6173" w:type="dxa"/>
          </w:tcPr>
          <w:p>
            <w:pPr>
              <w:spacing w:before="0" w:after="0" w:line="312" w:lineRule="auto"/>
            </w:pPr>
            <w:r>
              <w:rPr>
                <w:rFonts w:ascii="Calibri" w:hAnsi="Calibri" w:cs="Calibri" w:eastAsia="PingFang SC"/>
                <w:color w:val="3D3A33"/>
                <w:sz w:val="22"/>
                <w:szCs w:val="22"/>
              </w:rPr>
              <w:t xml:space="preserve">Israel, Singapore</w:t>
            </w:r>
          </w:p>
        </w:tc>
      </w:tr>
    </w:tbl>
    <w:p>
      <w:pPr>
        <w:spacing w:before="0" w:after="160" w:line="312" w:lineRule="auto"/>
      </w:pPr>
      <w:r>
        <w:rPr>
          <w:rFonts w:ascii="Calibri" w:hAnsi="Calibri" w:cs="Calibri" w:eastAsia="PingFang SC"/>
          <w:color w:val="3D3A33"/>
          <w:sz w:val="22"/>
          <w:szCs w:val="22"/>
        </w:rPr>
        <w:t xml:space="preserve">Contract type evolves with maturity: cost-plus during development (the design does not exist), incentive contracts transitioning toward fixed price in early production, fixed price per aircraft at full-rate production, and performance-based support during sustainment. Because development and production overlapped, aircraft already built required retrofit; who pays for such rework depends on the contract type and change provisions, not on a general rule.</w:t>
      </w:r>
    </w:p>
    <w:p>
      <w:pPr>
        <w:spacing w:before="0" w:after="160" w:line="312" w:lineRule="auto"/>
      </w:pPr>
      <w:r>
        <w:rPr>
          <w:rFonts w:ascii="Calibri" w:hAnsi="Calibri" w:cs="Calibri" w:eastAsia="PingFang SC"/>
          <w:color w:val="3D3A33"/>
          <w:sz w:val="22"/>
          <w:szCs w:val="22"/>
        </w:rPr>
        <w:t xml:space="preserve">An acquisition decision for a partner-nation buyer (for example Australia buying the conventional take-off variant) illustrates Make / Team / Buy: the partnership is a Team arrangement while the aircraft purchase is a Buy - both at once, not a pure Make. Partnership brings participation, technology access and queue position beyond a simple spot purchase, but on terms, with no guaranteed industrial orders. Moving toward fixed price is defensible only once scope and design are stable and credible production cost data exist. Risks to flag: supplier lock-in, externally set schedules, limited price negotiating power, and dependence on technology release. Mitigations to consider: negotiated support, data and access arrangements; stronger joint governance and forecasting; and contingency or alternative capability planning.</w:t>
      </w:r>
    </w:p>
    <w:p>
      <w:pPr>
        <w:spacing w:before="240" w:after="80" w:line="312" w:lineRule="auto"/>
      </w:pPr>
      <w:r>
        <w:rPr>
          <w:rFonts w:ascii="Calibri" w:hAnsi="Calibri" w:cs="Calibri" w:eastAsia="PingFang SC"/>
          <w:b/>
          <w:color w:val="175244"/>
          <w:sz w:val="22"/>
          <w:szCs w:val="22"/>
        </w:rPr>
        <w:t xml:space="preserve">Example 3: building a procurement schedule for the Riverside Sounds festival</w:t>
      </w:r>
    </w:p>
    <w:p>
      <w:pPr>
        <w:spacing w:before="0" w:after="160" w:line="312" w:lineRule="auto"/>
      </w:pPr>
      <w:r>
        <w:rPr>
          <w:rFonts w:ascii="Calibri" w:hAnsi="Calibri" w:cs="Calibri" w:eastAsia="PingFang SC"/>
          <w:color w:val="3D3A33"/>
          <w:sz w:val="22"/>
          <w:szCs w:val="22"/>
        </w:rPr>
        <w:t xml:space="preserve">For every work package that the Make / Team / Buy plan lists as Team or Buy, the procurement schedule lists: goods or services, budgeted cost, date required, the R/A/C/I mapping, the Team or Buy method, the contract type (fixed price, cost plus, or time and material), and either the supplier or the published evaluation criteria.</w:t>
      </w:r>
    </w:p>
    <w:p>
      <w:pPr>
        <w:spacing w:before="0" w:after="160" w:line="312" w:lineRule="auto"/>
      </w:pPr>
      <w:r>
        <w:rPr>
          <w:rFonts w:ascii="Calibri" w:hAnsi="Calibri" w:cs="Calibri" w:eastAsia="PingFang SC"/>
          <w:color w:val="3D3A33"/>
          <w:sz w:val="22"/>
          <w:szCs w:val="22"/>
        </w:rPr>
        <w:t xml:space="preserve">A good procurement schedule ties each row back to the work breakdown structure scope and the required delivery date, allows for procurement lead times before that date, states its budget and rate assumptions (for example whether rates are loaded with overhead), states acceptance requirements, and names the published selection criteria. Classifications for artists, venues, security or equipment are reasoned choices to be justified the same 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