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colunas: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Resumo: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Ativo Total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Carteira de Crédito Classificada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Passivo Circulante e Exigível a Longo Prazo e Resultados de Exercícios Futuros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Captações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Patrimônio Líquido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Lucro Líquido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Número de Agências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Número de Postos de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Ativo: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Disponibilidades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Aplicações Interfinanceiras de Liquidez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TVM e Instrumentos Financeiros Derivativos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Operações de Crédito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Arrendamento Mercantil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Outros Créditos - Líquido de Provisão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Outros Ativos Realizáveis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Permanente Ajustado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Ativo Total Ajustado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Credores por Antecipação de Valor Residual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Ativo Total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Passivo: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Captações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Instrumentos Derivativos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Outras Obrigações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Passivo Circulante e Exigível a Longo Prazo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Resultados de Exercícios Futuros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Patrimônio Líquido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Passivo Total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Demonstração de Resultado: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Resultado de Intermediação Financeira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Outras Receitas/Despesas Operacionais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Resultado Operacional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Resultado Não Operacional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Resultado antes da Tributação, Lucro e Participação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Imposto de Renda e Contribuição Social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Participação nos Lucros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Lucro Líquido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Juros Sobre Capital Social de Cooperativas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PF por modalidade e prazo de vencimento: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Total da Carteira de Pessoa Física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Empréstimo com Consignação em Folha (separado por prazo de vencimento (*))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Empréstimo sem Consignação em Folha (separado por prazo de vencimento (*))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Veículos (separado por prazo de vencimento (*))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Habitação (separado por prazo de vencimento (*))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Cartão de Crédito (separado por prazo de vencimento (*))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Rural e Agroindustrial (separado por prazo de vencimento (*))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Outros Créditos (separado por prazo de vencimento (*))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Total Exterior Pessoa Física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PJ por modalidade e prazo de vencimento: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br w:type="textWrapping"/>
        <w:t xml:space="preserve">Total da Carteira de Pessoa Jurídica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Capital de Giro (separado por prazo de vencimento (*))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Investimento (separado por prazo de vencimento (*))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Capital de Giro Rotativo (separado por prazo de vencimento (*))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Operações com Recebíveis (separado por prazo de vencimento (*))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Comércio Exterior (separado por prazo de vencimento (*))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Outros Créditos (separado por prazo de vencimento (*))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Financiamento de Infraestrutura/Desenvolvimento/Projeto e Outros Créditos (separado por prazo de vencimento (*))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Rural e Agroindustrial (separado por prazo de vencimento (*))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Habitacional (separado por prazo de vencimento (*))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Total Exterior Pessoa Jurídica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PJ por atividade econômica: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Total da Carteira de Pessoa Jurídica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Agricultura, Pecuária, Produção Florestal, Pesca e Aquicultura (separado por prazo de vencimento (*))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Indústrias de Transformação (separado por prazo de vencimento (*))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Construção (separado por prazo de vencimento (*))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Serviços Industriais de Utilidade Pública (separado por prazo de vencimento (*))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Indústrias Extrativas (separado por prazo de vencimento (*))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Comércio, Reparação de Veículos Automotores e Motocicletas (separado por prazo de vencimento (*))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Administração Pública, Defesa e Seguridade Social (separado por prazo de vencimento (*))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Transporte, Armazenagem e Correio (separado por prazo de vencimento (*))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Transporte, Armazenagem e Correio</w:t>
        <w:tab/>
        <w:t xml:space="preserve">Outros (separado por prazo de vencimento (*))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Atividade não Informada ou não se Aplica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Total não Individualizado Pessoa Jurídica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Total Exterior Pessoa Jurídica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PJ por porte do tomador: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Total da Carteira de Pessoa Jurídica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Micro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Pequena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Média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Grande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Indisponível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Total não Individualizado Pessoa Jurídica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Total Exterior Pessoa Jurídica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Quantidade de clientes e de operações: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Quantidade de Clientes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Quantidade de Operações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por nível de risco da operação: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Total Geral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Risco AA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Risco 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Risco 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Risco 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Risco 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Risco 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Risco 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Risco 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Risco 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Total Exterior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por indexador: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Total Geral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Prefixado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 / TBF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TJLP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TLP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Libor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Outras Taxas Pós-Fixadas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Carteira ativa com indexador CDI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SELIC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Outras Taxas Flutuantes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IGPM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IPCA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IPCC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Outros Índices de Preço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Outros Indexadores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Total não Individualizado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Total Exterior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Carteira de Crédito por região geográfica: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Instituição financeira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TCB (tipo de consolidado bancário)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SR (segmento resolução 4533/2017)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TD (tipo de consolidação)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TC (tipo de controle)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UF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Total Geral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Sudeste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Centro-oeste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Nordeste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Norte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Sul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Região não Informada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Total Exterior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(*) Prazos de vencimento: </w:t>
      </w:r>
      <w:r w:rsidDel="00000000" w:rsidR="00000000" w:rsidRPr="00000000">
        <w:rPr>
          <w:rtl w:val="0"/>
        </w:rPr>
        <w:t xml:space="preserve">Total, Vencido a Partir de 15 Dias, A Vencer em até 90 Dias, A Vencer Entre 91 a 360 Dias, A Vencer Entre 361 a 1080 Dias, A Vencer Entre 1081 a 1800 Dias, A Vencer Entre 1801 a 5400 Dias, A vencer Acima de 5400 Dias.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