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Nedivut Charitable Trust Website Business Requirements Document</w:t>
      </w:r>
    </w:p>
    <w:p>
      <w:pPr>
        <w:pStyle w:val="Subtitle"/>
      </w:pPr>
      <w:r>
        <w:t>Version 1.0  |  16 September 2026</w:t>
      </w:r>
    </w:p>
    <w:p>
      <w:pPr>
        <w:pStyle w:val="Heading1"/>
      </w:pPr>
      <w:r>
        <w:t>Purpose and decision</w:t>
      </w:r>
    </w:p>
    <w:p>
      <w:r>
        <w:t>This document defines the business, user, functional, content, technical and operational requirements for the public website of Nedivut Charitable Trust. The recommended first release is a responsive, image-led website with secure online donations, automated e-receipts, an education-support request workflow, verified impact numbers, contact options and a controlled administration portal.</w:t>
      </w:r>
    </w:p>
    <w:p>
      <w:pPr>
        <w:pStyle w:val="Heading1"/>
      </w:pPr>
      <w:r>
        <w:t>Organisation 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416"/>
      </w:tblGrid>
      <w:tr>
        <w:trPr>
          <w:tblHeader w:val="true"/>
        </w:trPr>
        <w:tc>
          <w:tcPr>
            <w:tcW w:type="dxa" w:w="5083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83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Organisation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Nedivut Charitable Trust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Location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Coimbatore, Tamil Nadu, India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Role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Parent charitable identity supporting education, child welfare, elder care and community development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Initial website priority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Build trust, receive donations, provide receipts, accept education-support requests and communicate measurable impact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audiences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Donors, beneficiaries and guardians, volunteers, institutions, partners, media and the general public</w:t>
            </w:r>
          </w:p>
        </w:tc>
      </w:tr>
    </w:tbl>
    <w:p>
      <w:pPr>
        <w:spacing w:after="0"/>
      </w:pPr>
    </w:p>
    <w:p>
      <w:pPr>
        <w:pStyle w:val="Heading1"/>
      </w:pPr>
      <w:r>
        <w:t>Business objectives</w:t>
      </w:r>
    </w:p>
    <w:p>
      <w:pPr>
        <w:pStyle w:val="ListBullet"/>
      </w:pPr>
      <w:r>
        <w:t>Present Nedivut as a credible, transparent and accessible charitable organisation.</w:t>
      </w:r>
    </w:p>
    <w:p>
      <w:pPr>
        <w:pStyle w:val="ListBullet"/>
      </w:pPr>
      <w:r>
        <w:t>Enable donors to complete one-time online donations safely and receive an e-receipt without manual intervention.</w:t>
      </w:r>
    </w:p>
    <w:p>
      <w:pPr>
        <w:pStyle w:val="ListBullet"/>
      </w:pPr>
      <w:r>
        <w:t>Provide a structured channel for students, parents or guardians to request education support.</w:t>
      </w:r>
    </w:p>
    <w:p>
      <w:pPr>
        <w:pStyle w:val="ListBullet"/>
      </w:pPr>
      <w:r>
        <w:t>Show current, approved impact numbers without exposing beneficiary identities.</w:t>
      </w:r>
    </w:p>
    <w:p>
      <w:pPr>
        <w:pStyle w:val="ListBullet"/>
      </w:pPr>
      <w:r>
        <w:t>Publish image-rich stories, programmes, events and updates through a manageable content system.</w:t>
      </w:r>
    </w:p>
    <w:p>
      <w:pPr>
        <w:pStyle w:val="ListBullet"/>
      </w:pPr>
      <w:r>
        <w:t>Create clear contact routes for donors, beneficiaries, volunteers and institutional partners.</w:t>
      </w:r>
    </w:p>
    <w:p>
      <w:pPr>
        <w:pStyle w:val="Heading1"/>
      </w:pPr>
      <w:r>
        <w:t>Success measures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400"/>
        <w:gridCol w:w="2232"/>
      </w:tblGrid>
      <w:tr>
        <w:trPr>
          <w:tblHeader w:val="true"/>
        </w:trPr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Initial target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Donation completion rate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Successful payments divided by donation checkout starts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Baseline after launch; improve monthly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Receipt delivery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Successful donations with receipt generated and email delivered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At least 98 percent, excluding invalid email addresses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Request completion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Submitted education-support requests divided by form starts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Baseline after launch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Response service level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Time from valid request or enquiry to first acknowledgement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Automated immediately; human response target to be approved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Content freshness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Impact numbers and key programme pages reviewed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At least monthly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Availability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Public website uptime excluding planned maintenance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Target 99.5 percent or higher</w:t>
            </w:r>
          </w:p>
        </w:tc>
      </w:tr>
    </w:tbl>
    <w:p>
      <w:pPr>
        <w:spacing w:after="0"/>
      </w:pPr>
    </w:p>
    <w:p>
      <w:pPr>
        <w:pStyle w:val="Heading1"/>
      </w:pPr>
      <w:r>
        <w:t>Scope</w:t>
      </w:r>
    </w:p>
    <w:p>
      <w:pPr>
        <w:pStyle w:val="Heading2"/>
      </w:pPr>
      <w:r>
        <w:t>Launch scope</w:t>
      </w:r>
    </w:p>
    <w:p>
      <w:pPr>
        <w:pStyle w:val="ListBullet"/>
      </w:pPr>
      <w:r>
        <w:t>Responsive public website and secure administration portal.</w:t>
      </w:r>
    </w:p>
    <w:p>
      <w:pPr>
        <w:pStyle w:val="ListBullet"/>
      </w:pPr>
      <w:r>
        <w:t>Homepage, About, Programmes, Impact, Stories or Gallery, Donate, Request Education Support, Contact, FAQs and policy pages.</w:t>
      </w:r>
    </w:p>
    <w:p>
      <w:pPr>
        <w:pStyle w:val="ListBullet"/>
      </w:pPr>
      <w:r>
        <w:t>Payment gateway integration supporting relevant Indian payment methods.</w:t>
      </w:r>
    </w:p>
    <w:p>
      <w:pPr>
        <w:pStyle w:val="ListBullet"/>
      </w:pPr>
      <w:r>
        <w:t>Automated donation confirmation and downloadable e-receipt.</w:t>
      </w:r>
    </w:p>
    <w:p>
      <w:pPr>
        <w:pStyle w:val="ListBullet"/>
      </w:pPr>
      <w:r>
        <w:t>Education-support request form with document upload and internal review workflow.</w:t>
      </w:r>
    </w:p>
    <w:p>
      <w:pPr>
        <w:pStyle w:val="ListBullet"/>
      </w:pPr>
      <w:r>
        <w:t>Content, image, impact-number, donation, receipt, request and enquiry management.</w:t>
      </w:r>
    </w:p>
    <w:p>
      <w:pPr>
        <w:pStyle w:val="ListBullet"/>
      </w:pPr>
      <w:r>
        <w:t>Email notifications, basic analytics, search-engine readiness and accessibility fundamentals.</w:t>
      </w:r>
    </w:p>
    <w:p>
      <w:pPr>
        <w:pStyle w:val="Heading2"/>
      </w:pPr>
      <w:r>
        <w:t>Future scope</w:t>
      </w:r>
    </w:p>
    <w:p>
      <w:pPr>
        <w:pStyle w:val="ListBullet"/>
      </w:pPr>
      <w:r>
        <w:t>Recurring donations or sponsorship plans.</w:t>
      </w:r>
    </w:p>
    <w:p>
      <w:pPr>
        <w:pStyle w:val="ListBullet"/>
      </w:pPr>
      <w:r>
        <w:t>Donor accounts, donation history and self-service receipt retrieval.</w:t>
      </w:r>
    </w:p>
    <w:p>
      <w:pPr>
        <w:pStyle w:val="ListBullet"/>
      </w:pPr>
      <w:r>
        <w:t>Volunteer registration and event management.</w:t>
      </w:r>
    </w:p>
    <w:p>
      <w:pPr>
        <w:pStyle w:val="ListBullet"/>
      </w:pPr>
      <w:r>
        <w:t>Tamil language content and additional languages.</w:t>
      </w:r>
    </w:p>
    <w:p>
      <w:pPr>
        <w:pStyle w:val="ListBullet"/>
      </w:pPr>
      <w:r>
        <w:t>Corporate or CSR partnership portal, beneficiary disbursement tracking and mobile application.</w:t>
      </w:r>
    </w:p>
    <w:p>
      <w:pPr>
        <w:pStyle w:val="Heading2"/>
      </w:pPr>
      <w:r>
        <w:t>Out of scope for the first release</w:t>
      </w:r>
    </w:p>
    <w:p>
      <w:pPr>
        <w:pStyle w:val="ListBullet"/>
      </w:pPr>
      <w:r>
        <w:t>Direct cash disbursement to applicants through the website.</w:t>
      </w:r>
    </w:p>
    <w:p>
      <w:pPr>
        <w:pStyle w:val="ListBullet"/>
      </w:pPr>
      <w:r>
        <w:t>Automatic approval of education-support requests.</w:t>
      </w:r>
    </w:p>
    <w:p>
      <w:pPr>
        <w:pStyle w:val="ListBullet"/>
      </w:pPr>
      <w:r>
        <w:t>Public display of beneficiary names, personal documents or sensitive circumstances.</w:t>
      </w:r>
    </w:p>
    <w:p>
      <w:pPr>
        <w:pStyle w:val="ListBullet"/>
      </w:pPr>
      <w:r>
        <w:t>Storage or processing of raw card details by Nedivut systems.</w:t>
      </w:r>
    </w:p>
    <w:p>
      <w:pPr>
        <w:pStyle w:val="Heading1"/>
      </w:pPr>
      <w:r>
        <w:t>User groups and permissions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256"/>
        <w:gridCol w:w="2664"/>
      </w:tblGrid>
      <w:tr>
        <w:trPr>
          <w:tblHeader w:val="true"/>
        </w:trPr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User</w:t>
            </w:r>
          </w:p>
        </w:tc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Primary needs</w:t>
            </w:r>
          </w:p>
        </w:tc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Access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Visitor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Understand the trust, programmes and impact; view stories; contact the team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Public content only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Donor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Donate securely, choose communication preferences, receive confirmation and receipt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Public donation flow; optional future account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Applicant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Request education support and receive acknowledgement or status communication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Public form; no access to other applications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Content editor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Manage pages, stories, images, FAQs and approved impact numbers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Restricted administration access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Donation administrator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View payments, reconcile status, resend receipts and export reports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Restricted finance access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Request reviewer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Review, assign, verify and update education-support requests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Restricted case-management access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Super administrator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Manage users, permissions, configurations, integrations and audit logs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Highest restricted access</w:t>
            </w:r>
          </w:p>
        </w:tc>
      </w:tr>
    </w:tbl>
    <w:p>
      <w:pPr>
        <w:spacing w:after="0"/>
      </w:pPr>
    </w:p>
    <w:p>
      <w:pPr>
        <w:pStyle w:val="Heading1"/>
      </w:pPr>
      <w:r>
        <w:t>Information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112"/>
        <w:gridCol w:w="2520"/>
      </w:tblGrid>
      <w:tr>
        <w:trPr>
          <w:tblHeader w:val="true"/>
        </w:trPr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Primary action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Home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Introduce Nedivut through strong imagery, programme summary, verified impact and current stories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Donate or request support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About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Explain purpose, governance, registration details when available and operating principles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Learn more or contact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Programmes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Describe education, child welfare, elder care and future initiatives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Explore a programme or donate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Impact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Show approved metrics, reports and outcomes with dates and definitions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View results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Stories and Gallery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Publish consented photographs, updates and beneficiary stories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Read, share or donate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Donate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Select amount and purpose, provide donor information and pay securely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Complete donation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Request Education Support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Explain eligibility and collect an application with evidence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Submit request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Contact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Provide enquiry routes, office details and social links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Send enquiry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Policies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Privacy, terms, donation or refund policy, safeguarding and other approved notices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 policy</w:t>
            </w:r>
          </w:p>
        </w:tc>
      </w:tr>
    </w:tbl>
    <w:p>
      <w:pPr>
        <w:spacing w:after="0"/>
      </w:pPr>
    </w:p>
    <w:p>
      <w:pPr>
        <w:pStyle w:val="Heading1"/>
      </w:pPr>
      <w:r>
        <w:t>Functional requirements</w:t>
      </w:r>
    </w:p>
    <w:p>
      <w:pPr>
        <w:pStyle w:val="Heading2"/>
      </w:pPr>
      <w:r>
        <w:t>Donation and payment processing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7704"/>
        <w:gridCol w:w="1080"/>
      </w:tblGrid>
      <w:tr>
        <w:trPr>
          <w:tblHeader w:val="true"/>
        </w:trPr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DON 01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Display preset donation amounts and allow a custom amount subject to configured minimum and maximum limits.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DON 02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Allow the donor to select a programme or general fund. Options must be configurable by an administrator.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DON 03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Collect donor name, email, mobile number, address and tax-receipt fields only when required and with appropriate consent.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DON 04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Offer an anonymous public-display preference while retaining legally required transaction information internally.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DON 05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Redirect or securely embed an approved payment gateway supporting UPI, cards, net banking and other enabled methods.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DON 06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Confirm final payment status through a signed server-to-server callback or webhook, not only the browser return page.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DON 07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Prevent duplicate donation records and duplicate receipts when callbacks are retried.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DON 08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Show clear success, pending, failed and cancelled states with safe retry guidance.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DON 09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Store gateway transaction reference, amount, purpose, timestamps, status and reconciliation data. Do not store raw card data.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DON 10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Support refunds and chargeback status updates through an authorized administrative workflow.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Should</w:t>
            </w:r>
          </w:p>
        </w:tc>
      </w:tr>
    </w:tbl>
    <w:p>
      <w:pPr>
        <w:spacing w:after="0"/>
      </w:pPr>
    </w:p>
    <w:p>
      <w:pPr>
        <w:pStyle w:val="Heading2"/>
      </w:pPr>
      <w:r>
        <w:t>E receipt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7704"/>
        <w:gridCol w:w="1080"/>
      </w:tblGrid>
      <w:tr>
        <w:trPr>
          <w:tblHeader w:val="true"/>
        </w:trPr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 01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Generate a unique receipt number only after confirmed successful payment.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REC 02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Create a branded PDF receipt and email it to the donor; also provide a secure download on the success page.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 03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Include trust legal name, registered address, PAN and registration or tax-exemption details only after they are officially available and approved for display.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REC 04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Include donor name, amount in figures and words, payment date, payment method category, transaction reference, donation purpose and receipt number.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 05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Clearly distinguish a standard donation acknowledgement from an eligible tax-deduction certificate. Do not make an 80G claim until approval and applicable data are configured.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REC 06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Allow authorized staff to search, download and resend receipts without changing the original receipt number.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 07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Record receipt generation and email delivery status for audit and support.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Should</w:t>
            </w:r>
          </w:p>
        </w:tc>
      </w:tr>
    </w:tbl>
    <w:p>
      <w:pPr>
        <w:spacing w:after="0"/>
      </w:pPr>
    </w:p>
    <w:p>
      <w:pPr>
        <w:pStyle w:val="Heading2"/>
      </w:pPr>
      <w:r>
        <w:t>Education support request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7704"/>
        <w:gridCol w:w="1080"/>
      </w:tblGrid>
      <w:tr>
        <w:trPr>
          <w:tblHeader w:val="true"/>
        </w:trPr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 01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Publish eligibility guidance, required documents, review process, privacy notice and a statement that submission does not guarantee assistance.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REQ 02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Allow a student, parent, legal guardian or authorized referrer to submit a request.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 03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Collect applicant and guardian details, education details, institution details, requested amount, purpose, household context and declaration.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REQ 04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Accept configured document types such as fee statement, identity or relationship evidence and income-supporting documents, with file-size and malware checks.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 05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Generate a non-guessable application reference and send an acknowledgement without exposing sensitive information.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REQ 06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Route requests through Received, Screening, Documents Pending, Under Review, Approved, Declined, Support Completed and Closed statuses.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 07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Restrict applicant documents to authorized reviewers and log access and status changes.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REQ 08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Provide internal notes, assignment, document requests and templated applicant communication.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 09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Apply additional guardian-consent and child-safeguarding controls when the student is a minor.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</w:tbl>
    <w:p>
      <w:pPr>
        <w:spacing w:after="0"/>
      </w:pPr>
    </w:p>
    <w:p>
      <w:pPr>
        <w:pStyle w:val="Heading2"/>
      </w:pPr>
      <w:r>
        <w:t>Images stories and gallery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7704"/>
        <w:gridCol w:w="1080"/>
      </w:tblGrid>
      <w:tr>
        <w:trPr>
          <w:tblHeader w:val="true"/>
        </w:trPr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IMG 01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Support image-led page sections, programme galleries, story covers, albums and event collections.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IMG 02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Provide drag-and-drop upload, captions, alt text, consent status, credits and publish scheduling.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IMG 03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Automatically resize, compress and serve responsive image formats through optimized delivery.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IMG 04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Use lazy loading and thumbnails so image volume does not make key pages slow.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IMG 05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Prevent publication unless the administrator confirms usage rights and consent, particularly for children and vulnerable adults.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IMG 06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Allow images to be unpublished or removed across the website if consent is withdrawn.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Should</w:t>
            </w:r>
          </w:p>
        </w:tc>
      </w:tr>
    </w:tbl>
    <w:p>
      <w:pPr>
        <w:spacing w:after="0"/>
      </w:pPr>
    </w:p>
    <w:p>
      <w:pPr>
        <w:pStyle w:val="Heading2"/>
      </w:pPr>
      <w:r>
        <w:t>Impact numbers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7704"/>
        <w:gridCol w:w="1080"/>
      </w:tblGrid>
      <w:tr>
        <w:trPr>
          <w:tblHeader w:val="true"/>
        </w:trPr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IMP 01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Display approved counters such as active donors, children supported, education requests supported and total funds deployed, subject to verified data availability.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IMP 02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Show an as-of date and plain-language definition for every public metric.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IMP 03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Allow administrators to update values manually at launch, with future integration possible.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IMP 04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Require draft and approval controls for public metrics and retain change history.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IMP 05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Never infer impact from raw payment count alone or publish personally identifiable beneficiary information.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</w:tbl>
    <w:p>
      <w:pPr>
        <w:spacing w:after="0"/>
      </w:pPr>
    </w:p>
    <w:p>
      <w:pPr>
        <w:pStyle w:val="Heading2"/>
      </w:pPr>
      <w:r>
        <w:t>Contact and enquiries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7704"/>
        <w:gridCol w:w="1080"/>
      </w:tblGrid>
      <w:tr>
        <w:trPr>
          <w:tblHeader w:val="true"/>
        </w:trPr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 01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 a contact form with name, email or phone, enquiry category, message and consent.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CON 02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Publish approved email, telephone, office address, operating hours and social links.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 03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Route enquiries by category, send acknowledgement and protect forms using rate limits and anti-spam controls.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CON 04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Support configurable WhatsApp or call actions if approved by the trust.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 05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Track status, assignee and response notes for enquiries in the administration portal or an integrated system.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Should</w:t>
            </w:r>
          </w:p>
        </w:tc>
      </w:tr>
    </w:tbl>
    <w:p>
      <w:pPr>
        <w:spacing w:after="0"/>
      </w:pPr>
    </w:p>
    <w:p>
      <w:pPr>
        <w:pStyle w:val="Heading1"/>
      </w:pPr>
      <w:r>
        <w:t>Content and administration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5083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5083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Page management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Create, edit, preview, schedule, publish and archive pages using reusable content sections.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Programme and story management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Manage programmes, stories, impact updates, galleries, FAQs and policy pages without code changes.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Media library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Search images by title, tags, programme, date and consent status; prevent accidental publication of restricted assets.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Role-based access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Assign least-privilege roles for content, finance, application review and system administration.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Audit trail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Record important administrative actions, payment-status changes, receipt actions, applicant access and public metric updates.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Exports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Export authorized donation, receipt, enquiry and request data in a controlled format with filters and access logging.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Notifications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Configure email templates, sender details, internal alerts and escalation recipients.</w:t>
            </w:r>
          </w:p>
        </w:tc>
      </w:tr>
    </w:tbl>
    <w:p>
      <w:pPr>
        <w:spacing w:after="0"/>
      </w:pPr>
    </w:p>
    <w:p>
      <w:pPr>
        <w:pStyle w:val="Heading1"/>
      </w:pPr>
      <w:r>
        <w:t>Key user journeys</w:t>
      </w:r>
    </w:p>
    <w:p>
      <w:pPr>
        <w:pStyle w:val="Heading2"/>
      </w:pPr>
      <w:r>
        <w:t>Donation journey</w:t>
      </w:r>
    </w:p>
    <w:p>
      <w:pPr>
        <w:ind w:left="346" w:hanging="346"/>
      </w:pPr>
      <w:r>
        <w:t xml:space="preserve">1.  </w:t>
      </w:r>
      <w:r>
        <w:t>Visitor selects Donate from any key page.</w:t>
      </w:r>
    </w:p>
    <w:p>
      <w:pPr>
        <w:ind w:left="346" w:hanging="346"/>
      </w:pPr>
      <w:r>
        <w:t xml:space="preserve">2.  </w:t>
      </w:r>
      <w:r>
        <w:t>Donor chooses an amount and programme, enters required information and accepts relevant notices.</w:t>
      </w:r>
    </w:p>
    <w:p>
      <w:pPr>
        <w:ind w:left="346" w:hanging="346"/>
      </w:pPr>
      <w:r>
        <w:t xml:space="preserve">3.  </w:t>
      </w:r>
      <w:r>
        <w:t>Website creates a pending donation record and transfers the donor to the approved payment flow.</w:t>
      </w:r>
    </w:p>
    <w:p>
      <w:pPr>
        <w:ind w:left="346" w:hanging="346"/>
      </w:pPr>
      <w:r>
        <w:t xml:space="preserve">4.  </w:t>
      </w:r>
      <w:r>
        <w:t>Gateway processes the payment and sends a verified result to the website.</w:t>
      </w:r>
    </w:p>
    <w:p>
      <w:pPr>
        <w:ind w:left="346" w:hanging="346"/>
      </w:pPr>
      <w:r>
        <w:t xml:space="preserve">5.  </w:t>
      </w:r>
      <w:r>
        <w:t>Website confirms the transaction, displays success and generates the receipt exactly once.</w:t>
      </w:r>
    </w:p>
    <w:p>
      <w:pPr>
        <w:ind w:left="346" w:hanging="346"/>
      </w:pPr>
      <w:r>
        <w:t xml:space="preserve">6.  </w:t>
      </w:r>
      <w:r>
        <w:t>Donor receives confirmation and the PDF e-receipt; administrators can reconcile and support exceptions.</w:t>
      </w:r>
    </w:p>
    <w:p>
      <w:pPr>
        <w:pStyle w:val="Heading2"/>
      </w:pPr>
      <w:r>
        <w:t>Education support journey</w:t>
      </w:r>
    </w:p>
    <w:p>
      <w:pPr>
        <w:ind w:left="346" w:hanging="346"/>
      </w:pPr>
      <w:r>
        <w:t xml:space="preserve">1.  </w:t>
      </w:r>
      <w:r>
        <w:t>Applicant reviews eligibility, documents, privacy and safeguarding information.</w:t>
      </w:r>
    </w:p>
    <w:p>
      <w:pPr>
        <w:ind w:left="346" w:hanging="346"/>
      </w:pPr>
      <w:r>
        <w:t xml:space="preserve">2.  </w:t>
      </w:r>
      <w:r>
        <w:t>Applicant completes the form, uploads permitted documents and submits declarations.</w:t>
      </w:r>
    </w:p>
    <w:p>
      <w:pPr>
        <w:ind w:left="346" w:hanging="346"/>
      </w:pPr>
      <w:r>
        <w:t xml:space="preserve">3.  </w:t>
      </w:r>
      <w:r>
        <w:t>System validates the submission, creates a secure reference and sends acknowledgement.</w:t>
      </w:r>
    </w:p>
    <w:p>
      <w:pPr>
        <w:ind w:left="346" w:hanging="346"/>
      </w:pPr>
      <w:r>
        <w:t xml:space="preserve">4.  </w:t>
      </w:r>
      <w:r>
        <w:t>Authorized staff screen, assign and verify the request, asking for additional evidence when needed.</w:t>
      </w:r>
    </w:p>
    <w:p>
      <w:pPr>
        <w:ind w:left="346" w:hanging="346"/>
      </w:pPr>
      <w:r>
        <w:t xml:space="preserve">5.  </w:t>
      </w:r>
      <w:r>
        <w:t>A designated authority records the decision and communicates it using an approved template.</w:t>
      </w:r>
    </w:p>
    <w:p>
      <w:pPr>
        <w:ind w:left="346" w:hanging="346"/>
      </w:pPr>
      <w:r>
        <w:t xml:space="preserve">6.  </w:t>
      </w:r>
      <w:r>
        <w:t>If support is provided, completion evidence and outcome are recorded without publishing private applicant data.</w:t>
      </w:r>
    </w:p>
    <w:p>
      <w:pPr>
        <w:pStyle w:val="Heading1"/>
      </w:pPr>
      <w:r>
        <w:t>Data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896"/>
        <w:gridCol w:w="3024"/>
      </w:tblGrid>
      <w:tr>
        <w:trPr>
          <w:tblHeader w:val="true"/>
        </w:trPr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Data group</w:t>
            </w:r>
          </w:p>
        </w:tc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Protection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Donation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Donor details, purpose, amount, transaction reference, status, receipt and consent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Finance access; encryption; retention policy; export controls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Applicant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Student and guardian details, education, household context, supporting documents and review history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Highly restricted; encryption; access logging; defined retention and secure deletion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Content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Pages, stories, programme details, images, captions, consent and usage rights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Editorial workflow and backups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Impact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Metric name, definition, value, source, as-of date, reviewer and approval status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Change history and approval control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Enquiry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Contact details, category, message, consent, status and response notes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Restricted access and retention controls</w:t>
            </w:r>
          </w:p>
        </w:tc>
      </w:tr>
    </w:tbl>
    <w:p>
      <w:pPr>
        <w:spacing w:after="0"/>
      </w:pPr>
    </w:p>
    <w:p>
      <w:pPr>
        <w:pStyle w:val="Heading1"/>
      </w:pPr>
      <w:r>
        <w:t>Nonfunctional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5083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83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Performance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Optimize image delivery; target fast loading on typical Indian mobile networks and measure Core Web Vitals before launch.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Mobile responsiveness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All public and critical administration functions must work on current mobile, tablet and desktop screen sizes.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Accessibility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Use keyboard navigation, visible focus, semantic headings, labels, sufficient contrast, alt text and accessible form errors; target WCAG 2.2 AA.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Availability and recovery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Use monitored hosting, automated backups, documented restore procedures and tested recovery objectives agreed with the vendor.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Browser support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Support current major versions of Chrome, Safari, Edge and Firefox, including common Android and iOS browsers.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Scalability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Handle campaign-related traffic spikes and increasing image, donation and application volumes without redesigning the platform.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Maintainability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Use documented configurations, environments, deployment processes and ownership of code, domains, integrations and credentials.</w:t>
            </w:r>
          </w:p>
        </w:tc>
      </w:tr>
    </w:tbl>
    <w:p>
      <w:pPr>
        <w:spacing w:after="0"/>
      </w:pPr>
    </w:p>
    <w:p>
      <w:pPr>
        <w:pStyle w:val="Heading1"/>
      </w:pPr>
      <w:r>
        <w:t>Security privacy and safeguarding</w:t>
      </w:r>
    </w:p>
    <w:p>
      <w:pPr>
        <w:pStyle w:val="ListBullet"/>
      </w:pPr>
      <w:r>
        <w:t>Use HTTPS everywhere, secure headers, input validation, output encoding, rate limiting and protection against common web vulnerabilities.</w:t>
      </w:r>
    </w:p>
    <w:p>
      <w:pPr>
        <w:pStyle w:val="ListBullet"/>
      </w:pPr>
      <w:r>
        <w:t>Use multi-factor authentication for administrators, strong session controls and least-privilege permissions.</w:t>
      </w:r>
    </w:p>
    <w:p>
      <w:pPr>
        <w:pStyle w:val="ListBullet"/>
      </w:pPr>
      <w:r>
        <w:t>Keep payment-card data outside Nedivut systems by using the gateway's compliant payment interface.</w:t>
      </w:r>
    </w:p>
    <w:p>
      <w:pPr>
        <w:pStyle w:val="ListBullet"/>
      </w:pPr>
      <w:r>
        <w:t>Verify payment webhooks cryptographically, use idempotency and maintain reconciliation logs.</w:t>
      </w:r>
    </w:p>
    <w:p>
      <w:pPr>
        <w:pStyle w:val="ListBullet"/>
      </w:pPr>
      <w:r>
        <w:t>Encrypt sensitive personal data and uploaded documents in transit and at rest; keep secrets outside source code.</w:t>
      </w:r>
    </w:p>
    <w:p>
      <w:pPr>
        <w:pStyle w:val="ListBullet"/>
      </w:pPr>
      <w:r>
        <w:t>Publish an approved privacy notice and capture specific consent where required. Define retention, correction, withdrawal and deletion processes before launch.</w:t>
      </w:r>
    </w:p>
    <w:p>
      <w:pPr>
        <w:pStyle w:val="ListBullet"/>
      </w:pPr>
      <w:r>
        <w:t>Obtain and record appropriate consent before publishing identifiable images or stories. Apply stricter approval for minors and vulnerable adults.</w:t>
      </w:r>
    </w:p>
    <w:p>
      <w:pPr>
        <w:pStyle w:val="ListBullet"/>
      </w:pPr>
      <w:r>
        <w:t>Do not publicly expose education-support requests, documents, financial circumstances, contact details or internal decisions.</w:t>
      </w:r>
    </w:p>
    <w:p>
      <w:pPr>
        <w:pStyle w:val="ListBullet"/>
      </w:pPr>
      <w:r>
        <w:t>Conduct vulnerability testing and resolve critical or high-severity findings before production launch.</w:t>
      </w:r>
    </w:p>
    <w:p>
      <w:pPr>
        <w:pStyle w:val="Heading1"/>
      </w:pPr>
      <w:r>
        <w:t>Compliance and policy dependencies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344"/>
      </w:tblGrid>
      <w:tr>
        <w:trPr>
          <w:tblHeader w:val="true"/>
        </w:trPr>
        <w:tc>
          <w:tcPr>
            <w:tcW w:type="dxa" w:w="5083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Dependency</w:t>
            </w:r>
          </w:p>
        </w:tc>
        <w:tc>
          <w:tcPr>
            <w:tcW w:type="dxa" w:w="5083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Required decision or input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Trust information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Confirmed legal name, registered address, PAN, registration details and authorized signatory.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Donation receipt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CA or legal approval of receipt wording, numbering, mandatory fields and 80G treatment before enabling tax-related statements.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Payment operations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Approved gateway account, bank account, settlement ownership, refund policy and reconciliation owner.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Privacy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Approved privacy notice, consent text, cookie approach, data-retention schedule and rights-request contact.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Education requests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Eligibility criteria, required documents, review authority, decision process, safeguarding rules and response timelines.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Images and stories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Consent form, child-safeguarding approval, usage-rights process and takedown process.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Public metrics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Metric definitions, source, owner, verification frequency and approval authority.</w:t>
            </w:r>
          </w:p>
        </w:tc>
      </w:tr>
    </w:tbl>
    <w:p>
      <w:pPr>
        <w:spacing w:after="0"/>
      </w:pPr>
    </w:p>
    <w:p>
      <w:pPr>
        <w:pStyle w:val="Heading1"/>
      </w:pPr>
      <w:r>
        <w:t>Integrations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384"/>
        <w:gridCol w:w="4248"/>
      </w:tblGrid>
      <w:tr>
        <w:trPr>
          <w:tblHeader w:val="true"/>
        </w:trPr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Integration</w:t>
            </w:r>
          </w:p>
        </w:tc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89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Selection criteria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Payment gateway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Accept and verify online donations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Indian methods, settlement and refund features, webhook reliability, fees, reporting and support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Transactional email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Send acknowledgements, receipts and workflow messages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Delivery reputation, templates, logs and data-location requirements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Cloud media delivery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Store and optimize large image collections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Responsive conversion, CDN, backups, access controls and cost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Analytics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Measure reach, journeys and conversion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Consent compatibility, privacy controls and useful reporting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Maps and social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Location and approved channels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Performance, privacy and accessibility</w:t>
            </w:r>
          </w:p>
        </w:tc>
      </w:tr>
    </w:tbl>
    <w:p>
      <w:pPr>
        <w:spacing w:after="0"/>
      </w:pPr>
    </w:p>
    <w:p>
      <w:pPr>
        <w:pStyle w:val="Heading1"/>
      </w:pPr>
      <w:r>
        <w:t>Reporting requirements</w:t>
      </w:r>
    </w:p>
    <w:p>
      <w:pPr>
        <w:pStyle w:val="ListBullet"/>
      </w:pPr>
      <w:r>
        <w:t>Donation summary by date, programme, amount, payment method category and status.</w:t>
      </w:r>
    </w:p>
    <w:p>
      <w:pPr>
        <w:pStyle w:val="ListBullet"/>
      </w:pPr>
      <w:r>
        <w:t>Settlement and reconciliation exception report.</w:t>
      </w:r>
    </w:p>
    <w:p>
      <w:pPr>
        <w:pStyle w:val="ListBullet"/>
      </w:pPr>
      <w:r>
        <w:t>Receipt generation, email delivery and resend report.</w:t>
      </w:r>
    </w:p>
    <w:p>
      <w:pPr>
        <w:pStyle w:val="ListBullet"/>
      </w:pPr>
      <w:r>
        <w:t>Education-support request volume, status, ageing and outcome report with restricted personal data.</w:t>
      </w:r>
    </w:p>
    <w:p>
      <w:pPr>
        <w:pStyle w:val="ListBullet"/>
      </w:pPr>
      <w:r>
        <w:t>Website traffic, donation funnel, form completion and top content report.</w:t>
      </w:r>
    </w:p>
    <w:p>
      <w:pPr>
        <w:pStyle w:val="ListBullet"/>
      </w:pPr>
      <w:r>
        <w:t>Image consent, expiry or withdrawal review report where applicable.</w:t>
      </w:r>
    </w:p>
    <w:p>
      <w:pPr>
        <w:pStyle w:val="Heading1"/>
      </w:pPr>
      <w:r>
        <w:t>Acceptance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76"/>
      </w:tblGrid>
      <w:tr>
        <w:trPr>
          <w:tblHeader w:val="true"/>
        </w:trPr>
        <w:tc>
          <w:tcPr>
            <w:tcW w:type="dxa" w:w="5083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83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Release acceptance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Donation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donor can complete an enabled payment method; success, pending and failure states reconcile correctly without duplicate records.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Receipt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Each confirmed donation produces one correctly numbered PDF receipt, displayed securely and emailed; authorized staff can resend it.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Support request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 eligible user can submit required data and files; the request is acknowledged and visible only to authorized reviewers.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Images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Editors can publish optimized, accessible images only after confirming consent and rights.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Impact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Approved metrics display correct values, definitions and as-of dates; unauthorized users cannot change them.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Contact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Valid enquiries reach the intended team and receive acknowledgement; spam controls are active.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Security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Access roles, MFA, backups, logging, privacy controls and pre-launch security testing meet agreed standards.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Quality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Critical journeys pass testing on agreed browsers and devices with no open critical defects.</w:t>
            </w:r>
          </w:p>
        </w:tc>
      </w:tr>
    </w:tbl>
    <w:p>
      <w:pPr>
        <w:spacing w:after="0"/>
      </w:pPr>
    </w:p>
    <w:p>
      <w:pPr>
        <w:pStyle w:val="Heading1"/>
      </w:pPr>
      <w:r>
        <w:t>Recommended delivery phases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344"/>
      </w:tblGrid>
      <w:tr>
        <w:trPr>
          <w:tblHeader w:val="true"/>
        </w:trPr>
        <w:tc>
          <w:tcPr>
            <w:tcW w:type="dxa" w:w="5083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5083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 Discovery and content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Confirm legal information, programme structure, donation rules, request criteria, policies, content inventory, photography consent and success metrics.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2 Experience and design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Approve sitemap, journeys, wireframes, visual design, mobile layouts and reusable image-led components.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 Build and integrations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Develop CMS, administration, gateway, receipt service, forms, workflow, image pipeline, email and analytics.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4 Verification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Complete functional, payment, security, privacy, accessibility, performance, browser and content testing.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 Launch and stabilization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Migrate approved content, train administrators, launch with monitoring and resolve early operational issues.</w:t>
            </w:r>
          </w:p>
        </w:tc>
      </w:tr>
    </w:tbl>
    <w:p>
      <w:pPr>
        <w:spacing w:after="0"/>
      </w:pPr>
    </w:p>
    <w:p>
      <w:pPr>
        <w:pStyle w:val="Heading1"/>
      </w:pPr>
      <w:r>
        <w:t>Roles and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72"/>
      </w:tblGrid>
      <w:tr>
        <w:trPr>
          <w:tblHeader w:val="true"/>
        </w:trPr>
        <w:tc>
          <w:tcPr>
            <w:tcW w:type="dxa" w:w="5083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5083"/>
            <w:shd w:fill="0D6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Founder and trustees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Approve scope, policies, public claims, programme criteria, impact numbers and launch.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Trust administrator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Own content, enquiries, applicant coordination and day-to-day administration.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Finance or CA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Approve receipt and tax wording, reconcile payments and oversee financial reporting.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Legal or compliance adviser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Review privacy, terms, consent, safeguarding, donation and refund policies.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Design and development vendor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Design, build, test, document and transfer the website and integrations.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Hosting or support owner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2F8F8"/>
          </w:tcPr>
          <w:p>
            <w:pPr>
              <w:spacing w:after="0"/>
            </w:pPr>
            <w:r>
              <w:rPr>
                <w:sz w:val="17"/>
              </w:rPr>
              <w:t>Monitor availability, backups, security updates, incidents and recovery.</w:t>
            </w:r>
          </w:p>
        </w:tc>
      </w:tr>
    </w:tbl>
    <w:p>
      <w:pPr>
        <w:spacing w:after="0"/>
      </w:pPr>
    </w:p>
    <w:p>
      <w:pPr>
        <w:pStyle w:val="Heading1"/>
      </w:pPr>
      <w:r>
        <w:t>Assumptions and open decisions</w:t>
      </w:r>
    </w:p>
    <w:p>
      <w:pPr>
        <w:pStyle w:val="ListBullet"/>
      </w:pPr>
      <w:r>
        <w:t>The first release will prioritize one-time domestic donations; recurring and foreign contributions require separate confirmation.</w:t>
      </w:r>
    </w:p>
    <w:p>
      <w:pPr>
        <w:pStyle w:val="ListBullet"/>
      </w:pPr>
      <w:r>
        <w:t>The payment gateway, bank account and receipt wording will be finalized only after the trust's legal and tax setup is confirmed.</w:t>
      </w:r>
    </w:p>
    <w:p>
      <w:pPr>
        <w:pStyle w:val="ListBullet"/>
      </w:pPr>
      <w:r>
        <w:t>The source and precise definition of every public impact number must be approved before publication.</w:t>
      </w:r>
    </w:p>
    <w:p>
      <w:pPr>
        <w:pStyle w:val="ListBullet"/>
      </w:pPr>
      <w:r>
        <w:t>The education-support eligibility policy, supporting documents and reviewer group remain to be finalized.</w:t>
      </w:r>
    </w:p>
    <w:p>
      <w:pPr>
        <w:pStyle w:val="ListBullet"/>
      </w:pPr>
      <w:r>
        <w:t>The decision on English-only, Tamil-only or bilingual launch content remains open.</w:t>
      </w:r>
    </w:p>
    <w:p>
      <w:pPr>
        <w:pStyle w:val="ListBullet"/>
      </w:pPr>
      <w:r>
        <w:t>Official address, contact channels, social accounts, programme names, privacy contact and authorized approvers must be supplied before launch.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Nedivut Charitable Trust  |  Website BRD  | 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Aptos" w:hAnsi="Apto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Nedivut Charitable Trust Website Business Requirements Document</dc:title>
  <dc:subject>Requirements for the Nedivut Charitable Trust website and administration portal</dc:subject>
  <dc:creator>Nedivut Charitable Trust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