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a694254d86a80e2edb05dd173745546b6dc40a8"/>
      <w:r>
        <w:t xml:space="preserve">Tarrant Dynamics brand kit</w:t>
      </w:r>
      <w:bookmarkEnd w:id="9"/>
    </w:p>
    <w:p>
      <w:pPr>
        <w:pStyle w:val="FirstParagraph"/>
      </w:pPr>
      <w:r>
        <w:t xml:space="preserve">This is the one page I keep open whenever I make something that leaves my desk: a deck, a memo, a diagram or a status report. Tarrant Dynamics designs and tests industrial pumping and power systems out of Dallas, and our documents should look and sound like they came from people who measure things for a living.</w:t>
      </w:r>
    </w:p>
    <w:p>
      <w:pPr>
        <w:pStyle w:val="Heading2"/>
      </w:pPr>
      <w:bookmarkStart w:id="10" w:name="_values"/>
      <w:r>
        <w:t xml:space="preserve">Values</w:t>
      </w:r>
      <w:bookmarkEnd w:id="10"/>
    </w:p>
    <w:p>
      <w:pPr>
        <w:pStyle w:val="FirstParagraph"/>
      </w:pPr>
      <w:r>
        <w:t xml:space="preserve">These lines are read by scripts, so the key names and their order stay exactly as written.</w:t>
      </w:r>
    </w:p>
    <w:p>
      <w:pPr>
        <w:pStyle w:val="Compact"/>
        <w:numPr>
          <w:ilvl w:val="0"/>
          <w:numId w:val="1001"/>
        </w:numPr>
      </w:pPr>
      <w:r>
        <w:t xml:space="preserve">Company: Tarrant Dynamics</w:t>
      </w:r>
    </w:p>
    <w:p>
      <w:pPr>
        <w:pStyle w:val="Compact"/>
        <w:numPr>
          <w:ilvl w:val="0"/>
          <w:numId w:val="1001"/>
        </w:numPr>
      </w:pPr>
      <w:r>
        <w:t xml:space="preserve">Primary: #1F5F4A</w:t>
      </w:r>
    </w:p>
    <w:p>
      <w:pPr>
        <w:pStyle w:val="Compact"/>
        <w:numPr>
          <w:ilvl w:val="0"/>
          <w:numId w:val="1001"/>
        </w:numPr>
      </w:pPr>
      <w:r>
        <w:t xml:space="preserve">Primary name: Tarrant Green</w:t>
      </w:r>
    </w:p>
    <w:p>
      <w:pPr>
        <w:pStyle w:val="Compact"/>
        <w:numPr>
          <w:ilvl w:val="0"/>
          <w:numId w:val="1001"/>
        </w:numPr>
      </w:pPr>
      <w:r>
        <w:t xml:space="preserve">Secondary: #2B2F36</w:t>
      </w:r>
    </w:p>
    <w:p>
      <w:pPr>
        <w:pStyle w:val="Compact"/>
        <w:numPr>
          <w:ilvl w:val="0"/>
          <w:numId w:val="1001"/>
        </w:numPr>
      </w:pPr>
      <w:r>
        <w:t xml:space="preserve">Secondary name: Graphite</w:t>
      </w:r>
    </w:p>
    <w:p>
      <w:pPr>
        <w:pStyle w:val="Compact"/>
        <w:numPr>
          <w:ilvl w:val="0"/>
          <w:numId w:val="1001"/>
        </w:numPr>
      </w:pPr>
      <w:r>
        <w:t xml:space="preserve">Accent: #E8A33D</w:t>
      </w:r>
    </w:p>
    <w:p>
      <w:pPr>
        <w:pStyle w:val="Compact"/>
        <w:numPr>
          <w:ilvl w:val="0"/>
          <w:numId w:val="1001"/>
        </w:numPr>
      </w:pPr>
      <w:r>
        <w:t xml:space="preserve">Accent name: Signal Amber</w:t>
      </w:r>
    </w:p>
    <w:p>
      <w:pPr>
        <w:pStyle w:val="Compact"/>
        <w:numPr>
          <w:ilvl w:val="0"/>
          <w:numId w:val="1001"/>
        </w:numPr>
      </w:pPr>
      <w:r>
        <w:t xml:space="preserve">Background: #FFFFFF</w:t>
      </w:r>
    </w:p>
    <w:p>
      <w:pPr>
        <w:pStyle w:val="Compact"/>
        <w:numPr>
          <w:ilvl w:val="0"/>
          <w:numId w:val="1001"/>
        </w:numPr>
      </w:pPr>
      <w:r>
        <w:t xml:space="preserve">Light: #F3F4F2</w:t>
      </w:r>
    </w:p>
    <w:p>
      <w:pPr>
        <w:pStyle w:val="Compact"/>
        <w:numPr>
          <w:ilvl w:val="0"/>
          <w:numId w:val="1001"/>
        </w:numPr>
      </w:pPr>
      <w:r>
        <w:t xml:space="preserve">Heading font: Helvetica Neue</w:t>
      </w:r>
    </w:p>
    <w:p>
      <w:pPr>
        <w:pStyle w:val="Compact"/>
        <w:numPr>
          <w:ilvl w:val="0"/>
          <w:numId w:val="1001"/>
        </w:numPr>
      </w:pPr>
      <w:r>
        <w:t xml:space="preserve">Heading font fallback: Arial</w:t>
      </w:r>
    </w:p>
    <w:p>
      <w:pPr>
        <w:pStyle w:val="Compact"/>
        <w:numPr>
          <w:ilvl w:val="0"/>
          <w:numId w:val="1001"/>
        </w:numPr>
      </w:pPr>
      <w:r>
        <w:t xml:space="preserve">Body font: Georgia</w:t>
      </w:r>
    </w:p>
    <w:p>
      <w:pPr>
        <w:pStyle w:val="Compact"/>
        <w:numPr>
          <w:ilvl w:val="0"/>
          <w:numId w:val="1001"/>
        </w:numPr>
      </w:pPr>
      <w:r>
        <w:t xml:space="preserve">Tone: direct, measured, specific</w:t>
      </w:r>
    </w:p>
    <w:p>
      <w:pPr>
        <w:pStyle w:val="Heading2"/>
      </w:pPr>
      <w:bookmarkStart w:id="11" w:name="_ff3655739d62035dde8b5ab8d8c64dccddc2b34"/>
      <w:r>
        <w:t xml:space="preserve">How the tone should feel</w:t>
      </w:r>
      <w:bookmarkEnd w:id="11"/>
    </w:p>
    <w:p>
      <w:pPr>
        <w:pStyle w:val="FirstParagraph"/>
      </w:pPr>
      <w:r>
        <w:t xml:space="preserve">Direct means the reader learns the point in the first sentence. If a test failed, the first sentence says it failed and by how much. We do not warm up to bad news.</w:t>
      </w:r>
    </w:p>
    <w:p>
      <w:pPr>
        <w:pStyle w:val="BodyText"/>
      </w:pPr>
      <w:r>
        <w:t xml:space="preserve">Measured means we say exactly as much as the data supports and no more. A result is</w:t>
      </w:r>
      <w:r>
        <w:t xml:space="preserve"> </w:t>
      </w:r>
      <w:r>
        <w:t xml:space="preserve">“within limit”</w:t>
      </w:r>
      <w:r>
        <w:t xml:space="preserve"> </w:t>
      </w:r>
      <w:r>
        <w:t xml:space="preserve">or</w:t>
      </w:r>
      <w:r>
        <w:t xml:space="preserve"> </w:t>
      </w:r>
      <w:r>
        <w:t xml:space="preserve">“over limit”</w:t>
      </w:r>
      <w:r>
        <w:t xml:space="preserve">, not</w:t>
      </w:r>
      <w:r>
        <w:t xml:space="preserve"> </w:t>
      </w:r>
      <w:r>
        <w:t xml:space="preserve">“excellent”</w:t>
      </w:r>
      <w:r>
        <w:t xml:space="preserve"> </w:t>
      </w:r>
      <w:r>
        <w:t xml:space="preserve">or</w:t>
      </w:r>
      <w:r>
        <w:t xml:space="preserve"> </w:t>
      </w:r>
      <w:r>
        <w:t xml:space="preserve">“concerning”</w:t>
      </w:r>
      <w:r>
        <w:t xml:space="preserve">. When we are unsure, we say what we are unsure about and what would settle it.</w:t>
      </w:r>
    </w:p>
    <w:p>
      <w:pPr>
        <w:pStyle w:val="BodyText"/>
      </w:pPr>
      <w:r>
        <w:t xml:space="preserve">Specific means numbers with units, part names instead of</w:t>
      </w:r>
      <w:r>
        <w:t xml:space="preserve"> </w:t>
      </w:r>
      <w:r>
        <w:t xml:space="preserve">“the component”</w:t>
      </w:r>
      <w:r>
        <w:t xml:space="preserve">, and dates instead of</w:t>
      </w:r>
      <w:r>
        <w:t xml:space="preserve"> </w:t>
      </w:r>
      <w:r>
        <w:t xml:space="preserve">“recently”</w:t>
      </w:r>
      <w:r>
        <w:t xml:space="preserve">. A sentence like</w:t>
      </w:r>
      <w:r>
        <w:t xml:space="preserve"> </w:t>
      </w:r>
      <w:r>
        <w:t xml:space="preserve">“vibration was high”</w:t>
      </w:r>
      <w:r>
        <w:t xml:space="preserve"> </w:t>
      </w:r>
      <w:r>
        <w:t xml:space="preserve">is not finished until it says how high, where, at what speed, and against which limit.</w:t>
      </w:r>
    </w:p>
    <w:p>
      <w:pPr>
        <w:pStyle w:val="BodyText"/>
      </w:pPr>
      <w:r>
        <w:t xml:space="preserve">Put together, a Tarrant document should read like a calm engineer explaining something to a respected colleague who is short on time.</w:t>
      </w:r>
    </w:p>
    <w:p>
      <w:pPr>
        <w:pStyle w:val="Heading2"/>
      </w:pPr>
      <w:bookmarkStart w:id="12" w:name="_bb92423247ef4778bff7bc37afe25b306424ed3"/>
      <w:r>
        <w:t xml:space="preserve">Words we never use</w:t>
      </w:r>
      <w:bookmarkEnd w:id="12"/>
    </w:p>
    <w:p>
      <w:pPr>
        <w:pStyle w:val="FirstParagraph"/>
      </w:pPr>
      <w:r>
        <w:t xml:space="preserve">Tarrant never uses these phrases in any document, deck or email:</w:t>
      </w:r>
    </w:p>
    <w:p>
      <w:pPr>
        <w:pStyle w:val="Compact"/>
        <w:numPr>
          <w:ilvl w:val="0"/>
          <w:numId w:val="1002"/>
        </w:numPr>
      </w:pPr>
      <w:r>
        <w:t xml:space="preserve">“cutting-edge”</w:t>
      </w:r>
    </w:p>
    <w:p>
      <w:pPr>
        <w:pStyle w:val="Compact"/>
        <w:numPr>
          <w:ilvl w:val="0"/>
          <w:numId w:val="1002"/>
        </w:numPr>
      </w:pPr>
      <w:r>
        <w:t xml:space="preserve">“best-in-class”</w:t>
      </w:r>
    </w:p>
    <w:p>
      <w:pPr>
        <w:pStyle w:val="Compact"/>
        <w:numPr>
          <w:ilvl w:val="0"/>
          <w:numId w:val="1002"/>
        </w:numPr>
      </w:pPr>
      <w:r>
        <w:t xml:space="preserve">“synergy”</w:t>
      </w:r>
    </w:p>
    <w:p>
      <w:pPr>
        <w:pStyle w:val="Compact"/>
        <w:numPr>
          <w:ilvl w:val="0"/>
          <w:numId w:val="1002"/>
        </w:numPr>
      </w:pPr>
      <w:r>
        <w:t xml:space="preserve">“leverage”</w:t>
      </w:r>
      <w:r>
        <w:t xml:space="preserve"> </w:t>
      </w:r>
      <w:r>
        <w:t xml:space="preserve">as a verb</w:t>
      </w:r>
    </w:p>
    <w:p>
      <w:pPr>
        <w:pStyle w:val="Compact"/>
        <w:numPr>
          <w:ilvl w:val="0"/>
          <w:numId w:val="1002"/>
        </w:numPr>
      </w:pPr>
      <w:r>
        <w:t xml:space="preserve">“world-class”</w:t>
      </w:r>
    </w:p>
    <w:p>
      <w:pPr>
        <w:pStyle w:val="Compact"/>
        <w:numPr>
          <w:ilvl w:val="0"/>
          <w:numId w:val="1002"/>
        </w:numPr>
      </w:pPr>
      <w:r>
        <w:t xml:space="preserve">“game-changer”</w:t>
      </w:r>
    </w:p>
    <w:p>
      <w:pPr>
        <w:pStyle w:val="FirstParagraph"/>
      </w:pPr>
      <w:r>
        <w:t xml:space="preserve">If a sentence seems to need one of them, the sentence usually needs a number instead.</w:t>
      </w:r>
    </w:p>
    <w:p>
      <w:pPr>
        <w:pStyle w:val="Heading2"/>
      </w:pPr>
      <w:bookmarkStart w:id="13" w:name="_c82501a2a8adaa3232b5df8044db6c03c9ebae9"/>
      <w:r>
        <w:t xml:space="preserve">Slide rules</w:t>
      </w:r>
      <w:bookmarkEnd w:id="13"/>
    </w:p>
    <w:p>
      <w:pPr>
        <w:pStyle w:val="FirstParagraph"/>
      </w:pPr>
      <w:r>
        <w:t xml:space="preserve">Every deck follows these eight rules, whether I build it by hand or a script builds it.</w:t>
      </w:r>
    </w:p>
    <w:p>
      <w:pPr>
        <w:pStyle w:val="Compact"/>
        <w:numPr>
          <w:ilvl w:val="0"/>
          <w:numId w:val="1003"/>
        </w:numPr>
      </w:pPr>
      <w:r>
        <w:t xml:space="preserve">Slides are widescreen 16:9 on a white background. Every content slide has a Tarrant Green title bar across the top, with the title set in white Helvetica Neue.</w:t>
      </w:r>
    </w:p>
    <w:p>
      <w:pPr>
        <w:pStyle w:val="Compact"/>
        <w:numPr>
          <w:ilvl w:val="0"/>
          <w:numId w:val="1003"/>
        </w:numPr>
      </w:pPr>
      <w:r>
        <w:t xml:space="preserve">The slide title is a full sentence that states the takeaway, not a topic label.</w:t>
      </w:r>
      <w:r>
        <w:t xml:space="preserve"> </w:t>
      </w:r>
      <w:r>
        <w:t xml:space="preserve">“Pump vibration exceeds the limit at 3,550 rpm”</w:t>
      </w:r>
      <w:r>
        <w:t xml:space="preserve"> </w:t>
      </w:r>
      <w:r>
        <w:t xml:space="preserve">is a title;</w:t>
      </w:r>
      <w:r>
        <w:t xml:space="preserve"> </w:t>
      </w:r>
      <w:r>
        <w:t xml:space="preserve">“Vibration results”</w:t>
      </w:r>
      <w:r>
        <w:t xml:space="preserve"> </w:t>
      </w:r>
      <w:r>
        <w:t xml:space="preserve">is not.</w:t>
      </w:r>
    </w:p>
    <w:p>
      <w:pPr>
        <w:pStyle w:val="Compact"/>
        <w:numPr>
          <w:ilvl w:val="0"/>
          <w:numId w:val="1003"/>
        </w:numPr>
      </w:pPr>
      <w:r>
        <w:t xml:space="preserve">A slide has at most five bullets, each bullet has at most twelve words, and bullets are set in Georgia.</w:t>
      </w:r>
    </w:p>
    <w:p>
      <w:pPr>
        <w:pStyle w:val="Compact"/>
        <w:numPr>
          <w:ilvl w:val="0"/>
          <w:numId w:val="1003"/>
        </w:numPr>
      </w:pPr>
      <w:r>
        <w:t xml:space="preserve">Every number carries its unit and names its source document. A number that is not in the source is flagged as unsupported, never invented.</w:t>
      </w:r>
    </w:p>
    <w:p>
      <w:pPr>
        <w:pStyle w:val="Compact"/>
        <w:numPr>
          <w:ilvl w:val="0"/>
          <w:numId w:val="1003"/>
        </w:numPr>
      </w:pPr>
      <w:r>
        <w:t xml:space="preserve">Signal Amber appears at most once per slide, reserved for the one number or phrase that matters most.</w:t>
      </w:r>
    </w:p>
    <w:p>
      <w:pPr>
        <w:pStyle w:val="Compact"/>
        <w:numPr>
          <w:ilvl w:val="0"/>
          <w:numId w:val="1003"/>
        </w:numPr>
      </w:pPr>
      <w:r>
        <w:t xml:space="preserve">There is no clip art, no stock photography and no decorative icons. Diagrams use only Tarrant Green, Graphite and Signal Amber, plus Light grey for fills and backgrounds.</w:t>
      </w:r>
    </w:p>
    <w:p>
      <w:pPr>
        <w:pStyle w:val="Compact"/>
        <w:numPr>
          <w:ilvl w:val="0"/>
          <w:numId w:val="1003"/>
        </w:numPr>
      </w:pPr>
      <w:r>
        <w:t xml:space="preserve">Every slide except the title slide has a footer in Graphite, with</w:t>
      </w:r>
      <w:r>
        <w:t xml:space="preserve"> </w:t>
      </w:r>
      <w:r>
        <w:t xml:space="preserve">“Tarrant Dynamics | Internal”</w:t>
      </w:r>
      <w:r>
        <w:t xml:space="preserve"> </w:t>
      </w:r>
      <w:r>
        <w:t xml:space="preserve">on the left and the slide number on the right.</w:t>
      </w:r>
    </w:p>
    <w:p>
      <w:pPr>
        <w:pStyle w:val="Compact"/>
        <w:numPr>
          <w:ilvl w:val="0"/>
          <w:numId w:val="1003"/>
        </w:numPr>
      </w:pPr>
      <w:r>
        <w:t xml:space="preserve">A 5-slide briefing runs in this order. Slide 1 is the title slide: its title states the takeaway and it has no bullets. Slide 2 is the evidence, with each measured number beside its limit. Slide 3 is the cause or main driver, marked as confirmed or likely. Slide 4 is what is still open, including any claim in the source that its own data does not support. Slide 5 is the ask with the next steps, and its title is a full sentence naming the decision or action requested. If a standing note says an audience wants the ask first, put the ask in the slide 1 title, keep the takeaway as the slide 1 subtitle, and make slide 5 the next steps; slides 2 to 4 stay in order.</w:t>
      </w:r>
    </w:p>
    <w:p>
      <w:pPr>
        <w:pStyle w:val="Heading2"/>
      </w:pPr>
      <w:bookmarkStart w:id="14" w:name="_0c153d14ea7da34e12d2029b3f8b330578aabf9"/>
      <w:r>
        <w:t xml:space="preserve">Documents and diagrams</w:t>
      </w:r>
      <w:bookmarkEnd w:id="14"/>
    </w:p>
    <w:p>
      <w:pPr>
        <w:pStyle w:val="FirstParagraph"/>
      </w:pPr>
      <w:r>
        <w:t xml:space="preserve">Memos and reports use Helvetica Neue for headings and Georgia for body text, with Tarrant Green for headings and Graphite for body. Tables stay simple: a header row, plain rows, units in the header. System diagrams draw blocks as Light grey rectangles with a Graphite outline, flows as Graphite arrows with labels, and use Tarrant Green for the block that is the subject of the document.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2026-10-17T02:02:21Z</dcterms:created>
  <dcterms:modified xsi:type="dcterms:W3CDTF">2026-10-17T02:02:21Z</dcterms:modified>
</cp:coreProperties>
</file>

<file path=docProps/custom.xml><?xml version="1.0" encoding="utf-8"?>
<Properties xmlns="http://schemas.openxmlformats.org/officeDocument/2006/custom-properties" xmlns:vt="http://schemas.openxmlformats.org/officeDocument/2006/docPropsVTypes"/>
</file>