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9e9gg1jb3qqc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logging centralizado para errores de Flask y consultas SQL.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Facilitar la auditoría y el monitoreo de la aplicación, permitiendo una rápida identificación de fallos de seguridad o errores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Los errores críticos de Flask deben registrarse en un archivo de log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.log</w:t>
            </w:r>
            <w:r w:rsidDel="00000000" w:rsidR="00000000" w:rsidRPr="00000000">
              <w:rPr>
                <w:rtl w:val="0"/>
              </w:rPr>
              <w:t xml:space="preserve">). 2. Las consultas SQL fallidas o lentas deben ser registradas para optimización. 3. El registro incluye la fecha y hora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  <w:t xml:space="preserve">) del error.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27dtfflz2rxc" w:id="1"/>
            <w:bookmarkEnd w:id="1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Optimización de consultas SQL mediante la creación de índices en las Claves Foráneas (FK)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PRESTAMOS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MATERIALES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Mejorar el rendimiento de las consultas transaccionales (Préstamo, Devolución y Reportes), que usan estas claves frecuentemente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JOINs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Se crean índices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  <w:t xml:space="preserve">) para todas las columnas FK en las tablas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PRESTAMOS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MATERIALES</w:t>
            </w:r>
            <w:r w:rsidDel="00000000" w:rsidR="00000000" w:rsidRPr="00000000">
              <w:rPr>
                <w:rtl w:val="0"/>
              </w:rPr>
              <w:t xml:space="preserve">,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RESERVAS</w:t>
            </w:r>
            <w:r w:rsidDel="00000000" w:rsidR="00000000" w:rsidRPr="00000000">
              <w:rPr>
                <w:rtl w:val="0"/>
              </w:rPr>
              <w:t xml:space="preserve">. 2. El tiempo de respuesta de los Reportes de Mora y Uso se reduce en al menos un 10% bajo carga simulada.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yyr6yuducri7" w:id="2"/>
            <w:bookmarkEnd w:id="2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la zona horaria del servidor Flask y MySQL para consistencia en fechas.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la ambigüedad de tiempo en el registro de transacciones y el cálculo de multas, resolviendo el error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CURDATE()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hora registrada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fecha_prestamo</w:t>
            </w:r>
            <w:r w:rsidDel="00000000" w:rsidR="00000000" w:rsidRPr="00000000">
              <w:rPr>
                <w:rtl w:val="0"/>
              </w:rPr>
              <w:t xml:space="preserve"> (MySQL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  <w:t xml:space="preserve">) coincide con la hora del sistema operativo del servidor. 2. El cálculo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DATEDIFF()</w:t>
            </w:r>
            <w:r w:rsidDel="00000000" w:rsidR="00000000" w:rsidRPr="00000000">
              <w:rPr>
                <w:rtl w:val="0"/>
              </w:rPr>
              <w:t xml:space="preserve"> para multas es consistente e inmune a los cambios de zona horaria.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nkggjdzgxiwn" w:id="3"/>
            <w:bookmarkEnd w:id="3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 Casos de Prueba Unitarios y de Integración para el Módulo de Circulación (Prueba de Préstamo/Devolución).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Garantizar la calidad de la lógica transaccional y asegurar que las reglas de negocio (stock, multas) se cumplen bajo diferentes escenarios.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Se crea un script de pruebas que cubre al menos 3 escenarios de éxito y 3 escenarios de fallo (ej. Stock Agotado, Usuario Bloqueado, Devolución Tardía). 2. 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ejemplares_disponibles</w:t>
            </w:r>
            <w:r w:rsidDel="00000000" w:rsidR="00000000" w:rsidRPr="00000000">
              <w:rPr>
                <w:rtl w:val="0"/>
              </w:rPr>
              <w:t xml:space="preserve"> se actualiza correctamente en las pruebas atómicas.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v7gkdppyrxvy" w:id="4"/>
            <w:bookmarkEnd w:id="4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página de Error 404 y Error 500 personalizada.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Mejorar la experiencia del usuario final, proporcionando mensajes informativos en lugar de errores crudos del servidor.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Al intentar acceder a una URL inexistente, se carga el template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404.html</w:t>
            </w:r>
            <w:r w:rsidDel="00000000" w:rsidR="00000000" w:rsidRPr="00000000">
              <w:rPr>
                <w:rtl w:val="0"/>
              </w:rPr>
              <w:t xml:space="preserve">. 2. La página de error es segura y no expone código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  <w:t xml:space="preserve"> al usuario.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o9gh3v6uhdgf" w:id="5"/>
            <w:bookmarkEnd w:id="5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interna (README) para la configuración y despliegue del Backend.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Facilitar la mantención y el despliegue del proyecto por parte de futuros desarrolladores o personal técnico.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README documenta el stack tecnológico (Python, Flask, MySQL, librerías). 2. Incluye instrucciones paso a paso para la activación del entorno virtual y el inicio del servidor. 3. Se incluye el script de creación de la base de datos.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9kq9pxo8uct0" w:id="6"/>
            <w:bookmarkEnd w:id="6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del usuario final y guía de instalación/despliegue (manual técnico).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Proporcionar al personal de la DGAC la guía necesaria para operar el sistema SIGB (préstamos, reportes) y resolver problemas básicos.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manual incluye pasos detallados para el registro, edición y bloqueo de usuarios. 2. El manual explica cómo interpretar los Reportes de Uso y Mora. 3. El documento es entregado en formato digital (PDF o similar).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