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760" w:line="240" w:lineRule="auto"/>
        <w:jc w:val="left"/>
      </w:pPr>
      <w:r>
        <w:rPr>
          <w:rFonts w:ascii="Inter" w:hAnsi="Inter"/>
          <w:b/>
          <w:i w:val="0"/>
          <w:caps/>
          <w:color w:val="7A4F1E"/>
          <w:sz w:val="18"/>
        </w:rPr>
        <w:t>AI BUSINESS AUDIT</w:t>
      </w:r>
    </w:p>
    <w:p>
      <w:pPr>
        <w:keepNext w:val="0"/>
        <w:spacing w:before="0" w:after="280" w:line="235" w:lineRule="auto"/>
        <w:jc w:val="left"/>
      </w:pPr>
      <w:r>
        <w:rPr>
          <w:rFonts w:ascii="Inter" w:hAnsi="Inter"/>
          <w:b/>
          <w:i w:val="0"/>
          <w:caps w:val="0"/>
          <w:color w:val="1C1410"/>
          <w:sz w:val="62"/>
        </w:rPr>
        <w:t>Revenue &amp; Operations</w:t>
        <w:br/>
        <w:t>Readiness Report</w:t>
      </w:r>
    </w:p>
    <w:p>
      <w:pPr>
        <w:keepNext w:val="0"/>
        <w:spacing w:before="0" w:after="600" w:line="288" w:lineRule="auto"/>
        <w:jc w:val="left"/>
      </w:pPr>
      <w:r>
        <w:rPr>
          <w:rFonts w:ascii="Inter" w:hAnsi="Inter"/>
          <w:b w:val="0"/>
          <w:i w:val="0"/>
          <w:caps w:val="0"/>
          <w:color w:val="6B5E52"/>
          <w:sz w:val="28"/>
        </w:rPr>
        <w:t>A practical diagnosis of where leads, follow-up and operational capacity are leaking revenue.</w:t>
      </w:r>
    </w:p>
    <w:p>
      <w:pPr>
        <w:keepNext w:val="0"/>
        <w:spacing w:before="0" w:after="440" w:line="240" w:lineRule="auto"/>
        <w:pBdr>
          <w:bottom w:val="single" w:sz="18" w:space="1" w:color="7A4F1E"/>
        </w:pBdr>
      </w:pPr>
    </w:p>
    <w:p>
      <w:pPr>
        <w:keepNext w:val="0"/>
        <w:spacing w:before="0" w:after="80" w:line="240" w:lineRule="auto"/>
        <w:jc w:val="left"/>
      </w:pPr>
      <w:r>
        <w:rPr>
          <w:rFonts w:ascii="Inter" w:hAnsi="Inter"/>
          <w:b/>
          <w:i w:val="0"/>
          <w:caps/>
          <w:color w:val="6B5E52"/>
          <w:sz w:val="16"/>
        </w:rPr>
        <w:t>PREPARED FOR</w:t>
      </w:r>
    </w:p>
    <w:p>
      <w:pPr>
        <w:keepNext w:val="0"/>
        <w:spacing w:before="0" w:after="60" w:line="252" w:lineRule="auto"/>
        <w:jc w:val="left"/>
      </w:pPr>
      <w:r>
        <w:rPr>
          <w:rFonts w:ascii="Inter" w:hAnsi="Inter"/>
          <w:b/>
          <w:i w:val="0"/>
          <w:caps w:val="0"/>
          <w:color w:val="1C1410"/>
          <w:sz w:val="38"/>
        </w:rPr>
        <w:t>BrightSpark Electrical</w:t>
      </w:r>
    </w:p>
    <w:p>
      <w:pPr>
        <w:keepNext w:val="0"/>
        <w:spacing w:before="0" w:after="600" w:line="293" w:lineRule="auto"/>
        <w:jc w:val="left"/>
      </w:pPr>
      <w:r>
        <w:rPr>
          <w:rFonts w:ascii="Inter" w:hAnsi="Inter"/>
          <w:b w:val="0"/>
          <w:i w:val="0"/>
          <w:caps w:val="0"/>
          <w:color w:val="6B5E52"/>
          <w:sz w:val="21"/>
        </w:rPr>
        <w:t>Electricians &amp; Small Electrical Contractors</w:t>
      </w:r>
    </w:p>
    <w:tbl>
      <w:tblPr>
        <w:tblW w:type="dxa" w:w="9360"/>
        <w:jc w:val="left"/>
        <w:tblLayout w:type="fixed"/>
        <w:tblLook w:firstColumn="1" w:firstRow="1" w:lastColumn="0" w:lastRow="0" w:noHBand="0" w:noVBand="1" w:val="04A0"/>
      </w:tblPr>
      <w:tblGrid>
        <w:gridCol w:w="3120"/>
        <w:gridCol w:w="3120"/>
        <w:gridCol w:w="3120"/>
      </w:tblGrid>
      <w:tr>
        <w:tc>
          <w:tcPr>
            <w:tcW w:type="dxa" w:w="3120"/>
            <w:shd w:fill="1C1410"/>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F9F6F1"/>
                <w:sz w:val="38"/>
              </w:rPr>
              <w:t>6.2</w:t>
            </w:r>
          </w:p>
          <w:p>
            <w:pPr>
              <w:keepNext w:val="0"/>
              <w:spacing w:before="0" w:after="0" w:line="240" w:lineRule="auto"/>
              <w:jc w:val="center"/>
            </w:pPr>
            <w:r>
              <w:rPr>
                <w:rFonts w:ascii="Inter" w:hAnsi="Inter"/>
                <w:b/>
                <w:i w:val="0"/>
                <w:caps/>
                <w:color w:val="F9F6F1"/>
                <w:sz w:val="15"/>
              </w:rPr>
              <w:t>READINESS SCORE</w:t>
            </w:r>
          </w:p>
        </w:tc>
        <w:tc>
          <w:tcPr>
            <w:tcW w:type="dxa" w:w="3120"/>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3</w:t>
            </w:r>
          </w:p>
          <w:p>
            <w:pPr>
              <w:keepNext w:val="0"/>
              <w:spacing w:before="0" w:after="0" w:line="240" w:lineRule="auto"/>
              <w:jc w:val="center"/>
            </w:pPr>
            <w:r>
              <w:rPr>
                <w:rFonts w:ascii="Inter" w:hAnsi="Inter"/>
                <w:b/>
                <w:i w:val="0"/>
                <w:caps/>
                <w:color w:val="6B5E52"/>
                <w:sz w:val="15"/>
              </w:rPr>
              <w:t>PRIORITY LEAKS</w:t>
            </w:r>
          </w:p>
        </w:tc>
        <w:tc>
          <w:tcPr>
            <w:tcW w:type="dxa" w:w="3120"/>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30 days</w:t>
            </w:r>
          </w:p>
          <w:p>
            <w:pPr>
              <w:keepNext w:val="0"/>
              <w:spacing w:before="0" w:after="0" w:line="240" w:lineRule="auto"/>
              <w:jc w:val="center"/>
            </w:pPr>
            <w:r>
              <w:rPr>
                <w:rFonts w:ascii="Inter" w:hAnsi="Inter"/>
                <w:b/>
                <w:i w:val="0"/>
                <w:caps/>
                <w:color w:val="6B5E52"/>
                <w:sz w:val="15"/>
              </w:rPr>
              <w:t>FIRST ACTION HORIZON</w:t>
            </w:r>
          </w:p>
        </w:tc>
      </w:tr>
    </w:tbl>
    <w:p>
      <w:pPr>
        <w:keepNext w:val="0"/>
        <w:spacing w:before="720" w:after="40" w:line="293" w:lineRule="auto"/>
        <w:jc w:val="right"/>
      </w:pPr>
      <w:r>
        <w:rPr>
          <w:rFonts w:ascii="Inter" w:hAnsi="Inter"/>
          <w:b/>
          <w:i w:val="0"/>
          <w:caps/>
          <w:color w:val="C47B2E"/>
          <w:sz w:val="16"/>
        </w:rPr>
        <w:t>DESIGN PROTOTYPE</w:t>
      </w:r>
    </w:p>
    <w:p>
      <w:pPr>
        <w:keepNext w:val="0"/>
        <w:spacing w:before="0" w:after="0" w:line="293" w:lineRule="auto"/>
        <w:jc w:val="right"/>
      </w:pPr>
      <w:r>
        <w:rPr>
          <w:rFonts w:ascii="Inter" w:hAnsi="Inter"/>
          <w:b w:val="0"/>
          <w:i/>
          <w:caps w:val="0"/>
          <w:color w:val="6B5E52"/>
          <w:sz w:val="17"/>
        </w:rPr>
        <w:t>Illustrative content only. Final reports are generated from the customer’s assessment evidence.</w:t>
      </w:r>
    </w:p>
    <w:p>
      <w:r>
        <w:br w:type="page"/>
      </w:r>
    </w:p>
    <w:p>
      <w:pPr>
        <w:keepNext/>
        <w:spacing w:before="0" w:after="160" w:line="240" w:lineRule="auto"/>
        <w:jc w:val="left"/>
      </w:pPr>
      <w:r>
        <w:rPr>
          <w:rFonts w:ascii="Inter" w:hAnsi="Inter"/>
          <w:b/>
          <w:i w:val="0"/>
          <w:caps/>
          <w:color w:val="7A4F1E"/>
          <w:sz w:val="17"/>
        </w:rPr>
        <w:t>01 | EXECUTIVE DIAGNOSIS</w:t>
      </w:r>
    </w:p>
    <w:p>
      <w:pPr>
        <w:pStyle w:val="Heading1"/>
        <w:keepNext/>
        <w:spacing w:before="360" w:after="160" w:line="264" w:lineRule="auto"/>
      </w:pPr>
      <w:r>
        <w:rPr>
          <w:rFonts w:ascii="Inter" w:hAnsi="Inter"/>
          <w:b/>
          <w:i w:val="0"/>
          <w:caps w:val="0"/>
          <w:color w:val="1C1410"/>
          <w:sz w:val="36"/>
        </w:rPr>
        <w:t>The business has demand. The leakage is happening after the enquiry arrives.</w:t>
      </w:r>
    </w:p>
    <w:p>
      <w:pPr>
        <w:keepNext w:val="0"/>
        <w:spacing w:before="0" w:after="240" w:line="293" w:lineRule="auto"/>
        <w:jc w:val="left"/>
      </w:pPr>
      <w:r>
        <w:rPr>
          <w:rFonts w:ascii="Inter" w:hAnsi="Inter"/>
          <w:b w:val="0"/>
          <w:i w:val="0"/>
          <w:caps w:val="0"/>
          <w:color w:val="1C1410"/>
          <w:sz w:val="21"/>
        </w:rPr>
        <w:t>BrightSpark Electrical appears to have a healthy flow of referral and Google enquiries, but the current response and quote-follow-up process depends too heavily on whoever is available at the time. The result is not a lack of leads; it is inconsistent conversion of the leads already being paid for.</w:t>
      </w:r>
    </w:p>
    <w:tbl>
      <w:tblPr>
        <w:tblW w:type="dxa" w:w="9360"/>
        <w:jc w:val="left"/>
        <w:tblLayout w:type="fixed"/>
        <w:tblLook w:firstColumn="1" w:firstRow="1" w:lastColumn="0" w:lastRow="0" w:noHBand="0" w:noVBand="1" w:val="04A0"/>
      </w:tblPr>
      <w:tblGrid>
        <w:gridCol w:w="9360"/>
      </w:tblGrid>
      <w:tr>
        <w:tc>
          <w:tcPr>
            <w:tcW w:type="dxa" w:w="9360"/>
            <w:shd w:fill="FDF4E7"/>
            <w:tcMar>
              <w:top w:w="200" w:type="dxa"/>
              <w:start w:w="220" w:type="dxa"/>
              <w:bottom w:w="200" w:type="dxa"/>
              <w:end w:w="220" w:type="dxa"/>
            </w:tcMar>
            <w:tcBorders>
              <w:left w:val="single" w:sz="24" w:color="7A4F1E"/>
            </w:tcBorders>
          </w:tcPr>
          <w:p>
            <w:pPr>
              <w:keepNext w:val="0"/>
              <w:spacing w:before="0" w:after="100" w:line="240" w:lineRule="auto"/>
            </w:pPr>
            <w:r>
              <w:rPr>
                <w:rFonts w:ascii="Inter" w:hAnsi="Inter"/>
                <w:b/>
                <w:i w:val="0"/>
                <w:caps/>
                <w:color w:val="7A4F1E"/>
                <w:sz w:val="16"/>
              </w:rPr>
              <w:t>HIGHEST-IMPACT ISSUE</w:t>
            </w:r>
          </w:p>
          <w:p>
            <w:pPr>
              <w:keepNext w:val="0"/>
              <w:spacing w:before="0" w:after="100" w:line="269" w:lineRule="auto"/>
            </w:pPr>
            <w:r>
              <w:rPr>
                <w:rFonts w:ascii="Inter" w:hAnsi="Inter"/>
                <w:b/>
                <w:i w:val="0"/>
                <w:caps w:val="0"/>
                <w:color w:val="1C1410"/>
                <w:sz w:val="28"/>
              </w:rPr>
              <w:t>Warm enquiries and issued quotes are not being followed through consistently.</w:t>
            </w:r>
          </w:p>
          <w:p>
            <w:pPr>
              <w:keepNext w:val="0"/>
              <w:spacing w:before="0" w:after="0" w:line="288" w:lineRule="auto"/>
            </w:pPr>
            <w:r>
              <w:rPr>
                <w:rFonts w:ascii="Inter" w:hAnsi="Inter"/>
                <w:b w:val="0"/>
                <w:i w:val="0"/>
                <w:caps w:val="0"/>
                <w:color w:val="6B5E52"/>
                <w:sz w:val="20"/>
              </w:rPr>
              <w:t>Missed calls are returned manually, quote reminders are not owned by one role, and there is no reliable view of how many opportunities go cold. This creates invisible revenue loss and makes marketing performance look weaker than it may actually be.</w:t>
            </w:r>
          </w:p>
        </w:tc>
      </w:tr>
    </w:tbl>
    <w:p>
      <w:pPr>
        <w:pStyle w:val="Heading2"/>
        <w:keepNext/>
        <w:spacing w:before="260" w:after="120" w:line="264" w:lineRule="auto"/>
      </w:pPr>
      <w:r>
        <w:rPr>
          <w:rFonts w:ascii="Inter" w:hAnsi="Inter"/>
          <w:b/>
          <w:i w:val="0"/>
          <w:caps w:val="0"/>
          <w:color w:val="7A4F1E"/>
          <w:sz w:val="27"/>
        </w:rPr>
        <w:t>What matters most now</w:t>
      </w: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1</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Recover missed enquiries quickly</w:t>
            </w:r>
          </w:p>
          <w:p>
            <w:pPr>
              <w:keepNext w:val="0"/>
              <w:spacing w:before="0" w:after="0" w:line="283" w:lineRule="auto"/>
            </w:pPr>
            <w:r>
              <w:rPr>
                <w:rFonts w:ascii="Inter" w:hAnsi="Inter"/>
                <w:b w:val="0"/>
                <w:i w:val="0"/>
                <w:caps w:val="0"/>
                <w:color w:val="6B5E52"/>
                <w:sz w:val="19"/>
              </w:rPr>
              <w:t>Create an immediate text-back and clear callback ownership for calls that are not answered.</w:t>
            </w:r>
          </w:p>
        </w:tc>
      </w:tr>
    </w:tbl>
    <w:p>
      <w:pPr>
        <w:spacing w:after="20"/>
      </w:pP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2</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Make quote follow-up systematic</w:t>
            </w:r>
          </w:p>
          <w:p>
            <w:pPr>
              <w:keepNext w:val="0"/>
              <w:spacing w:before="0" w:after="0" w:line="283" w:lineRule="auto"/>
            </w:pPr>
            <w:r>
              <w:rPr>
                <w:rFonts w:ascii="Inter" w:hAnsi="Inter"/>
                <w:b w:val="0"/>
                <w:i w:val="0"/>
                <w:caps w:val="0"/>
                <w:color w:val="6B5E52"/>
                <w:sz w:val="19"/>
              </w:rPr>
              <w:t>Use a simple two-step follow-up sequence with visible status and a named owner.</w:t>
            </w:r>
          </w:p>
        </w:tc>
      </w:tr>
    </w:tbl>
    <w:p>
      <w:pPr>
        <w:spacing w:after="20"/>
      </w:pP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3</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Close the loop after completed work</w:t>
            </w:r>
          </w:p>
          <w:p>
            <w:pPr>
              <w:keepNext w:val="0"/>
              <w:spacing w:before="0" w:after="0" w:line="283" w:lineRule="auto"/>
            </w:pPr>
            <w:r>
              <w:rPr>
                <w:rFonts w:ascii="Inter" w:hAnsi="Inter"/>
                <w:b w:val="0"/>
                <w:i w:val="0"/>
                <w:caps w:val="0"/>
                <w:color w:val="6B5E52"/>
                <w:sz w:val="19"/>
              </w:rPr>
              <w:t>Trigger review requests and next-step prompts while customer satisfaction is highest.</w:t>
            </w:r>
          </w:p>
        </w:tc>
      </w:tr>
    </w:tbl>
    <w:p>
      <w:pPr>
        <w:spacing w:after="20"/>
      </w:pPr>
    </w:p>
    <w:p>
      <w:pPr>
        <w:pStyle w:val="Heading2"/>
        <w:keepNext/>
        <w:spacing w:before="260" w:after="120" w:line="264" w:lineRule="auto"/>
      </w:pPr>
      <w:r>
        <w:rPr>
          <w:rFonts w:ascii="Inter" w:hAnsi="Inter"/>
          <w:b/>
          <w:i w:val="0"/>
          <w:caps w:val="0"/>
          <w:color w:val="7A4F1E"/>
          <w:sz w:val="27"/>
        </w:rPr>
        <w:t>Assessment confidence</w:t>
      </w:r>
    </w:p>
    <w:p>
      <w:pPr>
        <w:keepNext w:val="0"/>
        <w:spacing w:before="0" w:after="80" w:line="293" w:lineRule="auto"/>
        <w:jc w:val="left"/>
      </w:pPr>
      <w:r>
        <w:rPr>
          <w:rFonts w:ascii="Inter" w:hAnsi="Inter"/>
          <w:b w:val="0"/>
          <w:i w:val="0"/>
          <w:caps w:val="0"/>
          <w:color w:val="1C1410"/>
          <w:sz w:val="21"/>
        </w:rPr>
        <w:t>High. The priority issues are specific, commercially relevant, and can be improved without replacing the entire software stack.</w:t>
      </w:r>
    </w:p>
    <w:p>
      <w:r>
        <w:br w:type="page"/>
      </w:r>
    </w:p>
    <w:p>
      <w:pPr>
        <w:keepNext/>
        <w:spacing w:before="0" w:after="160" w:line="240" w:lineRule="auto"/>
        <w:jc w:val="left"/>
      </w:pPr>
      <w:r>
        <w:rPr>
          <w:rFonts w:ascii="Inter" w:hAnsi="Inter"/>
          <w:b/>
          <w:i w:val="0"/>
          <w:caps/>
          <w:color w:val="7A4F1E"/>
          <w:sz w:val="17"/>
        </w:rPr>
        <w:t>02 | READINESS PROFILE</w:t>
      </w:r>
    </w:p>
    <w:p>
      <w:pPr>
        <w:pStyle w:val="Heading1"/>
        <w:keepNext/>
        <w:spacing w:before="360" w:after="160" w:line="264" w:lineRule="auto"/>
      </w:pPr>
      <w:r>
        <w:rPr>
          <w:rFonts w:ascii="Inter" w:hAnsi="Inter"/>
          <w:b/>
          <w:i w:val="0"/>
          <w:caps w:val="0"/>
          <w:color w:val="1C1410"/>
          <w:sz w:val="36"/>
        </w:rPr>
        <w:t>A capable business with inconsistent commercial follow-through</w:t>
      </w:r>
    </w:p>
    <w:tbl>
      <w:tblPr>
        <w:tblW w:type="dxa" w:w="9360"/>
        <w:jc w:val="left"/>
        <w:tblLayout w:type="fixed"/>
        <w:tblLook w:firstColumn="1" w:firstRow="1" w:lastColumn="0" w:lastRow="0" w:noHBand="0" w:noVBand="1" w:val="04A0"/>
      </w:tblPr>
      <w:tblGrid>
        <w:gridCol w:w="1872"/>
        <w:gridCol w:w="1872"/>
        <w:gridCol w:w="1872"/>
        <w:gridCol w:w="1872"/>
        <w:gridCol w:w="1872"/>
      </w:tblGrid>
      <w:tr>
        <w:tc>
          <w:tcPr>
            <w:tcW w:type="dxa" w:w="1872"/>
            <w:shd w:fill="1C1410"/>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F9F6F1"/>
                <w:sz w:val="38"/>
              </w:rPr>
              <w:t>6.2</w:t>
            </w:r>
          </w:p>
          <w:p>
            <w:pPr>
              <w:keepNext w:val="0"/>
              <w:spacing w:before="0" w:after="0" w:line="240" w:lineRule="auto"/>
              <w:jc w:val="center"/>
            </w:pPr>
            <w:r>
              <w:rPr>
                <w:rFonts w:ascii="Inter" w:hAnsi="Inter"/>
                <w:b/>
                <w:i w:val="0"/>
                <w:caps/>
                <w:color w:val="F9F6F1"/>
                <w:sz w:val="15"/>
              </w:rPr>
              <w:t>OVERALL</w:t>
            </w:r>
          </w:p>
        </w:tc>
        <w:tc>
          <w:tcPr>
            <w:tcW w:type="dxa" w:w="1872"/>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5</w:t>
            </w:r>
          </w:p>
          <w:p>
            <w:pPr>
              <w:keepNext w:val="0"/>
              <w:spacing w:before="0" w:after="0" w:line="240" w:lineRule="auto"/>
              <w:jc w:val="center"/>
            </w:pPr>
            <w:r>
              <w:rPr>
                <w:rFonts w:ascii="Inter" w:hAnsi="Inter"/>
                <w:b/>
                <w:i w:val="0"/>
                <w:caps/>
                <w:color w:val="6B5E52"/>
                <w:sz w:val="15"/>
              </w:rPr>
              <w:t>LEAD RESPONSE</w:t>
            </w:r>
          </w:p>
        </w:tc>
        <w:tc>
          <w:tcPr>
            <w:tcW w:type="dxa" w:w="1872"/>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4</w:t>
            </w:r>
          </w:p>
          <w:p>
            <w:pPr>
              <w:keepNext w:val="0"/>
              <w:spacing w:before="0" w:after="0" w:line="240" w:lineRule="auto"/>
              <w:jc w:val="center"/>
            </w:pPr>
            <w:r>
              <w:rPr>
                <w:rFonts w:ascii="Inter" w:hAnsi="Inter"/>
                <w:b/>
                <w:i w:val="0"/>
                <w:caps/>
                <w:color w:val="6B5E52"/>
                <w:sz w:val="15"/>
              </w:rPr>
              <w:t>FOLLOW-UP</w:t>
            </w:r>
          </w:p>
        </w:tc>
        <w:tc>
          <w:tcPr>
            <w:tcW w:type="dxa" w:w="1872"/>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7</w:t>
            </w:r>
          </w:p>
          <w:p>
            <w:pPr>
              <w:keepNext w:val="0"/>
              <w:spacing w:before="0" w:after="0" w:line="240" w:lineRule="auto"/>
              <w:jc w:val="center"/>
            </w:pPr>
            <w:r>
              <w:rPr>
                <w:rFonts w:ascii="Inter" w:hAnsi="Inter"/>
                <w:b/>
                <w:i w:val="0"/>
                <w:caps/>
                <w:color w:val="6B5E52"/>
                <w:sz w:val="15"/>
              </w:rPr>
              <w:t>PROCESS CLARITY</w:t>
            </w:r>
          </w:p>
        </w:tc>
        <w:tc>
          <w:tcPr>
            <w:tcW w:type="dxa" w:w="1872"/>
            <w:shd w:fill="F2EDE5"/>
            <w:tcMar>
              <w:top w:w="150" w:type="dxa"/>
              <w:start w:w="130" w:type="dxa"/>
              <w:bottom w:w="150" w:type="dxa"/>
              <w:end w:w="130" w:type="dxa"/>
            </w:tcMar>
            <w:tcBorders>
              <w:top w:val="single" w:sz="6" w:color="DDD5C8"/>
              <w:left w:val="single" w:sz="6" w:color="DDD5C8"/>
              <w:bottom w:val="single" w:sz="6" w:color="DDD5C8"/>
              <w:right w:val="single" w:sz="6" w:color="DDD5C8"/>
            </w:tcBorders>
            <w:vAlign w:val="center"/>
          </w:tcPr>
          <w:p>
            <w:pPr>
              <w:keepNext w:val="0"/>
              <w:spacing w:before="0" w:after="40" w:line="240" w:lineRule="auto"/>
              <w:jc w:val="center"/>
            </w:pPr>
            <w:r>
              <w:rPr>
                <w:rFonts w:ascii="Inter" w:hAnsi="Inter"/>
                <w:b/>
                <w:i w:val="0"/>
                <w:caps w:val="0"/>
                <w:color w:val="1C1410"/>
                <w:sz w:val="38"/>
              </w:rPr>
              <w:t>7</w:t>
            </w:r>
          </w:p>
          <w:p>
            <w:pPr>
              <w:keepNext w:val="0"/>
              <w:spacing w:before="0" w:after="0" w:line="240" w:lineRule="auto"/>
              <w:jc w:val="center"/>
            </w:pPr>
            <w:r>
              <w:rPr>
                <w:rFonts w:ascii="Inter" w:hAnsi="Inter"/>
                <w:b/>
                <w:i w:val="0"/>
                <w:caps/>
                <w:color w:val="6B5E52"/>
                <w:sz w:val="15"/>
              </w:rPr>
              <w:t>CUSTOMER EXPERIENCE</w:t>
            </w:r>
          </w:p>
        </w:tc>
      </w:tr>
    </w:tbl>
    <w:p>
      <w:pPr>
        <w:pStyle w:val="Heading2"/>
        <w:keepNext/>
        <w:spacing w:before="260" w:after="120" w:line="264" w:lineRule="auto"/>
      </w:pPr>
      <w:r>
        <w:rPr>
          <w:rFonts w:ascii="Inter" w:hAnsi="Inter"/>
          <w:b/>
          <w:i w:val="0"/>
          <w:caps w:val="0"/>
          <w:color w:val="7A4F1E"/>
          <w:sz w:val="27"/>
        </w:rPr>
        <w:t>Where the business is already strong</w:t>
      </w:r>
    </w:p>
    <w:p>
      <w:pPr>
        <w:pStyle w:val="ListBullet"/>
        <w:keepNext w:val="0"/>
        <w:spacing w:before="0" w:after="100" w:line="283" w:lineRule="auto"/>
        <w:ind w:left="547" w:hanging="259"/>
      </w:pPr>
      <w:r>
        <w:rPr>
          <w:rFonts w:ascii="Inter" w:hAnsi="Inter"/>
          <w:b w:val="0"/>
          <w:i w:val="0"/>
          <w:caps w:val="0"/>
          <w:color w:val="1C1410"/>
          <w:sz w:val="20"/>
        </w:rPr>
        <w:t>A clear service offer and strong local reputation create genuine enquiry demand.</w:t>
      </w:r>
    </w:p>
    <w:p>
      <w:pPr>
        <w:pStyle w:val="ListBullet"/>
        <w:keepNext w:val="0"/>
        <w:spacing w:before="0" w:after="100" w:line="283" w:lineRule="auto"/>
        <w:ind w:left="547" w:hanging="259"/>
      </w:pPr>
      <w:r>
        <w:rPr>
          <w:rFonts w:ascii="Inter" w:hAnsi="Inter"/>
          <w:b w:val="0"/>
          <w:i w:val="0"/>
          <w:caps w:val="0"/>
          <w:color w:val="1C1410"/>
          <w:sz w:val="20"/>
        </w:rPr>
        <w:t>The team uses established job-management and accounting tools rather than relying entirely on paper.</w:t>
      </w:r>
    </w:p>
    <w:p>
      <w:pPr>
        <w:pStyle w:val="ListBullet"/>
        <w:keepNext w:val="0"/>
        <w:spacing w:before="0" w:after="100" w:line="283" w:lineRule="auto"/>
        <w:ind w:left="547" w:hanging="259"/>
      </w:pPr>
      <w:r>
        <w:rPr>
          <w:rFonts w:ascii="Inter" w:hAnsi="Inter"/>
          <w:b w:val="0"/>
          <w:i w:val="0"/>
          <w:caps w:val="0"/>
          <w:color w:val="1C1410"/>
          <w:sz w:val="20"/>
        </w:rPr>
        <w:t>Customers receive competent service once a job is booked and allocated.</w:t>
      </w:r>
    </w:p>
    <w:p>
      <w:pPr>
        <w:pStyle w:val="Heading2"/>
        <w:keepNext/>
        <w:spacing w:before="260" w:after="120" w:line="264" w:lineRule="auto"/>
      </w:pPr>
      <w:r>
        <w:rPr>
          <w:rFonts w:ascii="Inter" w:hAnsi="Inter"/>
          <w:b/>
          <w:i w:val="0"/>
          <w:caps w:val="0"/>
          <w:color w:val="7A4F1E"/>
          <w:sz w:val="27"/>
        </w:rPr>
        <w:t>Where revenue is most exposed</w:t>
      </w:r>
    </w:p>
    <w:p>
      <w:pPr>
        <w:pStyle w:val="ListBullet"/>
        <w:keepNext w:val="0"/>
        <w:spacing w:before="0" w:after="100" w:line="283" w:lineRule="auto"/>
        <w:ind w:left="547" w:hanging="259"/>
      </w:pPr>
      <w:r>
        <w:rPr>
          <w:rFonts w:ascii="Inter" w:hAnsi="Inter"/>
          <w:b w:val="0"/>
          <w:i w:val="0"/>
          <w:caps w:val="0"/>
          <w:color w:val="1C1410"/>
          <w:sz w:val="20"/>
        </w:rPr>
        <w:t>After-hours and busy-period calls rely on manual callbacks, with no immediate acknowledgement to the customer.</w:t>
      </w:r>
    </w:p>
    <w:p>
      <w:pPr>
        <w:pStyle w:val="ListBullet"/>
        <w:keepNext w:val="0"/>
        <w:spacing w:before="0" w:after="100" w:line="283" w:lineRule="auto"/>
        <w:ind w:left="547" w:hanging="259"/>
      </w:pPr>
      <w:r>
        <w:rPr>
          <w:rFonts w:ascii="Inter" w:hAnsi="Inter"/>
          <w:b w:val="0"/>
          <w:i w:val="0"/>
          <w:caps w:val="0"/>
          <w:color w:val="1C1410"/>
          <w:sz w:val="20"/>
        </w:rPr>
        <w:t>Quote follow-up varies by staff member and is not measured as a conversion stage.</w:t>
      </w:r>
    </w:p>
    <w:p>
      <w:pPr>
        <w:pStyle w:val="ListBullet"/>
        <w:keepNext w:val="0"/>
        <w:spacing w:before="0" w:after="100" w:line="283" w:lineRule="auto"/>
        <w:ind w:left="547" w:hanging="259"/>
      </w:pPr>
      <w:r>
        <w:rPr>
          <w:rFonts w:ascii="Inter" w:hAnsi="Inter"/>
          <w:b w:val="0"/>
          <w:i w:val="0"/>
          <w:caps w:val="0"/>
          <w:color w:val="1C1410"/>
          <w:sz w:val="20"/>
        </w:rPr>
        <w:t>Review requests and future-work prompts happen inconsistently after completed jobs.</w:t>
      </w:r>
    </w:p>
    <w:tbl>
      <w:tblPr>
        <w:tblW w:type="dxa" w:w="9360"/>
        <w:jc w:val="left"/>
        <w:tblLayout w:type="fixed"/>
        <w:tblLook w:firstColumn="1" w:firstRow="1" w:lastColumn="0" w:lastRow="0" w:noHBand="0" w:noVBand="1" w:val="04A0"/>
      </w:tblPr>
      <w:tblGrid>
        <w:gridCol w:w="9360"/>
      </w:tblGrid>
      <w:tr>
        <w:tc>
          <w:tcPr>
            <w:tcW w:type="dxa" w:w="9360"/>
            <w:shd w:fill="FDF4E7"/>
            <w:tcMar>
              <w:top w:w="200" w:type="dxa"/>
              <w:start w:w="220" w:type="dxa"/>
              <w:bottom w:w="200" w:type="dxa"/>
              <w:end w:w="220" w:type="dxa"/>
            </w:tcMar>
            <w:tcBorders>
              <w:left w:val="single" w:sz="24" w:color="C47B2E"/>
            </w:tcBorders>
          </w:tcPr>
          <w:p>
            <w:pPr>
              <w:keepNext w:val="0"/>
              <w:spacing w:before="0" w:after="100" w:line="240" w:lineRule="auto"/>
            </w:pPr>
            <w:r>
              <w:rPr>
                <w:rFonts w:ascii="Inter" w:hAnsi="Inter"/>
                <w:b/>
                <w:i w:val="0"/>
                <w:caps/>
                <w:color w:val="C47B2E"/>
                <w:sz w:val="16"/>
              </w:rPr>
              <w:t>COMMERCIAL INTERPRETATION</w:t>
            </w:r>
          </w:p>
          <w:p>
            <w:pPr>
              <w:keepNext w:val="0"/>
              <w:spacing w:before="0" w:after="100" w:line="269" w:lineRule="auto"/>
            </w:pPr>
            <w:r>
              <w:rPr>
                <w:rFonts w:ascii="Inter" w:hAnsi="Inter"/>
                <w:b/>
                <w:i w:val="0"/>
                <w:caps w:val="0"/>
                <w:color w:val="1C1410"/>
                <w:sz w:val="28"/>
              </w:rPr>
              <w:t>The first investment should improve conversion, not generate more traffic.</w:t>
            </w:r>
          </w:p>
          <w:p>
            <w:pPr>
              <w:keepNext w:val="0"/>
              <w:spacing w:before="0" w:after="0" w:line="288" w:lineRule="auto"/>
            </w:pPr>
            <w:r>
              <w:rPr>
                <w:rFonts w:ascii="Inter" w:hAnsi="Inter"/>
                <w:b w:val="0"/>
                <w:i w:val="0"/>
                <w:caps w:val="0"/>
                <w:color w:val="6B5E52"/>
                <w:sz w:val="20"/>
              </w:rPr>
              <w:t>Until missed calls and quotes are followed through consistently, increasing ad spend risks feeding more opportunities into the same leakage points.</w:t>
            </w:r>
          </w:p>
        </w:tc>
      </w:tr>
    </w:tbl>
    <w:p>
      <w:r>
        <w:br w:type="page"/>
      </w:r>
    </w:p>
    <w:p>
      <w:pPr>
        <w:keepNext/>
        <w:spacing w:before="0" w:after="160" w:line="240" w:lineRule="auto"/>
        <w:jc w:val="left"/>
      </w:pPr>
      <w:r>
        <w:rPr>
          <w:rFonts w:ascii="Inter" w:hAnsi="Inter"/>
          <w:b/>
          <w:i w:val="0"/>
          <w:caps/>
          <w:color w:val="7A4F1E"/>
          <w:sz w:val="17"/>
        </w:rPr>
        <w:t>03 | DIAGNOSTIC FINDINGS</w:t>
      </w:r>
    </w:p>
    <w:p>
      <w:pPr>
        <w:pStyle w:val="Heading1"/>
        <w:keepNext/>
        <w:spacing w:before="360" w:after="160" w:line="264" w:lineRule="auto"/>
      </w:pPr>
      <w:r>
        <w:rPr>
          <w:rFonts w:ascii="Inter" w:hAnsi="Inter"/>
          <w:b/>
          <w:i w:val="0"/>
          <w:caps w:val="0"/>
          <w:color w:val="1C1410"/>
          <w:sz w:val="36"/>
        </w:rPr>
        <w:t>Evidence-backed issues, ordered by commercial impact</w:t>
      </w:r>
    </w:p>
    <w:tbl>
      <w:tblPr>
        <w:tblW w:type="dxa" w:w="9360"/>
        <w:jc w:val="left"/>
        <w:tblLayout w:type="fixed"/>
        <w:tblLook w:firstColumn="1" w:firstRow="1" w:lastColumn="0" w:lastRow="0" w:noHBand="0" w:noVBand="1" w:val="04A0"/>
      </w:tblPr>
      <w:tblGrid>
        <w:gridCol w:w="1540"/>
        <w:gridCol w:w="7820"/>
      </w:tblGrid>
      <w:tr>
        <w:tc>
          <w:tcPr>
            <w:tcW w:type="dxa" w:w="1540"/>
            <w:shd w:fill="A43B35"/>
            <w:tcMar>
              <w:top w:w="150" w:type="dxa"/>
              <w:start w:w="160" w:type="dxa"/>
              <w:bottom w:w="150" w:type="dxa"/>
              <w:end w:w="160" w:type="dxa"/>
            </w:tcMar>
            <w:tcBorders>
              <w:bottom w:val="single" w:sz="6" w:color="DDD5C8"/>
            </w:tcBorders>
            <w:vAlign w:val="center"/>
          </w:tcPr>
          <w:p>
            <w:pPr>
              <w:keepNext w:val="0"/>
              <w:spacing w:before="0" w:after="0" w:line="240" w:lineRule="auto"/>
              <w:jc w:val="center"/>
            </w:pPr>
            <w:r>
              <w:rPr>
                <w:rFonts w:ascii="Inter" w:hAnsi="Inter"/>
                <w:b/>
                <w:i w:val="0"/>
                <w:caps/>
                <w:color w:val="F9F6F1"/>
                <w:sz w:val="18"/>
              </w:rPr>
              <w:t>RED</w:t>
            </w:r>
          </w:p>
        </w:tc>
        <w:tc>
          <w:tcPr>
            <w:tcW w:type="dxa" w:w="7820"/>
            <w:shd w:fill="F9E8E6"/>
            <w:tcMar>
              <w:top w:w="150" w:type="dxa"/>
              <w:start w:w="160" w:type="dxa"/>
              <w:bottom w:w="150" w:type="dxa"/>
              <w:end w:w="160" w:type="dxa"/>
            </w:tcMar>
            <w:tcBorders>
              <w:bottom w:val="single" w:sz="6" w:color="DDD5C8"/>
            </w:tcBorders>
            <w:vAlign w:val="center"/>
          </w:tcPr>
          <w:p>
            <w:pPr>
              <w:keepNext w:val="0"/>
              <w:spacing w:before="0" w:after="80" w:line="264" w:lineRule="auto"/>
            </w:pPr>
            <w:r>
              <w:rPr>
                <w:rFonts w:ascii="Inter" w:hAnsi="Inter"/>
                <w:b/>
                <w:i w:val="0"/>
                <w:caps w:val="0"/>
                <w:color w:val="1C1410"/>
                <w:sz w:val="23"/>
              </w:rPr>
              <w:t>Lead response</w:t>
            </w:r>
          </w:p>
          <w:p>
            <w:pPr>
              <w:keepNext w:val="0"/>
              <w:spacing w:before="0" w:after="60" w:line="283" w:lineRule="auto"/>
            </w:pPr>
            <w:r>
              <w:rPr>
                <w:rFonts w:ascii="Inter" w:hAnsi="Inter"/>
                <w:b/>
                <w:i w:val="0"/>
                <w:caps w:val="0"/>
                <w:color w:val="1C1410"/>
                <w:sz w:val="19"/>
              </w:rPr>
              <w:t xml:space="preserve">Current state: </w:t>
            </w:r>
            <w:r>
              <w:rPr>
                <w:rFonts w:ascii="Inter" w:hAnsi="Inter"/>
                <w:b w:val="0"/>
                <w:i w:val="0"/>
                <w:caps w:val="0"/>
                <w:color w:val="6B5E52"/>
                <w:sz w:val="19"/>
              </w:rPr>
              <w:t>After-hours and overflow handling is reactive. The owner or office team returns calls when capacity allows.</w:t>
            </w:r>
          </w:p>
          <w:p>
            <w:pPr>
              <w:keepNext w:val="0"/>
              <w:spacing w:before="0" w:after="60" w:line="283" w:lineRule="auto"/>
            </w:pPr>
            <w:r>
              <w:rPr>
                <w:rFonts w:ascii="Inter" w:hAnsi="Inter"/>
                <w:b/>
                <w:i w:val="0"/>
                <w:caps w:val="0"/>
                <w:color w:val="1C1410"/>
                <w:sz w:val="19"/>
              </w:rPr>
              <w:t xml:space="preserve">Likely impact: </w:t>
            </w:r>
            <w:r>
              <w:rPr>
                <w:rFonts w:ascii="Inter" w:hAnsi="Inter"/>
                <w:b w:val="0"/>
                <w:i w:val="0"/>
                <w:caps w:val="0"/>
                <w:color w:val="6B5E52"/>
                <w:sz w:val="19"/>
              </w:rPr>
              <w:t>Urgent customers often call the next electrician quickly. Even a modest number of unrecovered calls can represent significant lost job value.</w:t>
            </w:r>
          </w:p>
          <w:p>
            <w:pPr>
              <w:keepNext w:val="0"/>
              <w:spacing w:before="0" w:after="60" w:line="283" w:lineRule="auto"/>
            </w:pPr>
            <w:r>
              <w:rPr>
                <w:rFonts w:ascii="Inter" w:hAnsi="Inter"/>
                <w:b/>
                <w:i w:val="0"/>
                <w:caps w:val="0"/>
                <w:color w:val="1C1410"/>
                <w:sz w:val="19"/>
              </w:rPr>
              <w:t xml:space="preserve">Fastest win: </w:t>
            </w:r>
            <w:r>
              <w:rPr>
                <w:rFonts w:ascii="Inter" w:hAnsi="Inter"/>
                <w:b w:val="0"/>
                <w:i w:val="0"/>
                <w:caps w:val="0"/>
                <w:color w:val="6B5E52"/>
                <w:sz w:val="19"/>
              </w:rPr>
              <w:t>Send an immediate branded text acknowledgement and assign callback ownership.</w:t>
            </w:r>
          </w:p>
        </w:tc>
      </w:tr>
    </w:tbl>
    <w:p>
      <w:pPr>
        <w:spacing w:after="40"/>
      </w:pPr>
    </w:p>
    <w:tbl>
      <w:tblPr>
        <w:tblW w:type="dxa" w:w="9360"/>
        <w:jc w:val="left"/>
        <w:tblLayout w:type="fixed"/>
        <w:tblLook w:firstColumn="1" w:firstRow="1" w:lastColumn="0" w:lastRow="0" w:noHBand="0" w:noVBand="1" w:val="04A0"/>
      </w:tblPr>
      <w:tblGrid>
        <w:gridCol w:w="1540"/>
        <w:gridCol w:w="7820"/>
      </w:tblGrid>
      <w:tr>
        <w:tc>
          <w:tcPr>
            <w:tcW w:type="dxa" w:w="1540"/>
            <w:shd w:fill="A43B35"/>
            <w:tcMar>
              <w:top w:w="150" w:type="dxa"/>
              <w:start w:w="160" w:type="dxa"/>
              <w:bottom w:w="150" w:type="dxa"/>
              <w:end w:w="160" w:type="dxa"/>
            </w:tcMar>
            <w:tcBorders>
              <w:bottom w:val="single" w:sz="6" w:color="DDD5C8"/>
            </w:tcBorders>
            <w:vAlign w:val="center"/>
          </w:tcPr>
          <w:p>
            <w:pPr>
              <w:keepNext w:val="0"/>
              <w:spacing w:before="0" w:after="0" w:line="240" w:lineRule="auto"/>
              <w:jc w:val="center"/>
            </w:pPr>
            <w:r>
              <w:rPr>
                <w:rFonts w:ascii="Inter" w:hAnsi="Inter"/>
                <w:b/>
                <w:i w:val="0"/>
                <w:caps/>
                <w:color w:val="F9F6F1"/>
                <w:sz w:val="18"/>
              </w:rPr>
              <w:t>RED</w:t>
            </w:r>
          </w:p>
        </w:tc>
        <w:tc>
          <w:tcPr>
            <w:tcW w:type="dxa" w:w="7820"/>
            <w:shd w:fill="F9E8E6"/>
            <w:tcMar>
              <w:top w:w="150" w:type="dxa"/>
              <w:start w:w="160" w:type="dxa"/>
              <w:bottom w:w="150" w:type="dxa"/>
              <w:end w:w="160" w:type="dxa"/>
            </w:tcMar>
            <w:tcBorders>
              <w:bottom w:val="single" w:sz="6" w:color="DDD5C8"/>
            </w:tcBorders>
            <w:vAlign w:val="center"/>
          </w:tcPr>
          <w:p>
            <w:pPr>
              <w:keepNext w:val="0"/>
              <w:spacing w:before="0" w:after="80" w:line="264" w:lineRule="auto"/>
            </w:pPr>
            <w:r>
              <w:rPr>
                <w:rFonts w:ascii="Inter" w:hAnsi="Inter"/>
                <w:b/>
                <w:i w:val="0"/>
                <w:caps w:val="0"/>
                <w:color w:val="1C1410"/>
                <w:sz w:val="23"/>
              </w:rPr>
              <w:t>Quote follow-up</w:t>
            </w:r>
          </w:p>
          <w:p>
            <w:pPr>
              <w:keepNext w:val="0"/>
              <w:spacing w:before="0" w:after="60" w:line="283" w:lineRule="auto"/>
            </w:pPr>
            <w:r>
              <w:rPr>
                <w:rFonts w:ascii="Inter" w:hAnsi="Inter"/>
                <w:b/>
                <w:i w:val="0"/>
                <w:caps w:val="0"/>
                <w:color w:val="1C1410"/>
                <w:sz w:val="19"/>
              </w:rPr>
              <w:t xml:space="preserve">Current state: </w:t>
            </w:r>
            <w:r>
              <w:rPr>
                <w:rFonts w:ascii="Inter" w:hAnsi="Inter"/>
                <w:b w:val="0"/>
                <w:i w:val="0"/>
                <w:caps w:val="0"/>
                <w:color w:val="6B5E52"/>
                <w:sz w:val="19"/>
              </w:rPr>
              <w:t>Quotes are sent, but follow-up timing and ownership are inconsistent. Conversion is not visible in one place.</w:t>
            </w:r>
          </w:p>
          <w:p>
            <w:pPr>
              <w:keepNext w:val="0"/>
              <w:spacing w:before="0" w:after="60" w:line="283" w:lineRule="auto"/>
            </w:pPr>
            <w:r>
              <w:rPr>
                <w:rFonts w:ascii="Inter" w:hAnsi="Inter"/>
                <w:b/>
                <w:i w:val="0"/>
                <w:caps w:val="0"/>
                <w:color w:val="1C1410"/>
                <w:sz w:val="19"/>
              </w:rPr>
              <w:t xml:space="preserve">Likely impact: </w:t>
            </w:r>
            <w:r>
              <w:rPr>
                <w:rFonts w:ascii="Inter" w:hAnsi="Inter"/>
                <w:b w:val="0"/>
                <w:i w:val="0"/>
                <w:caps w:val="0"/>
                <w:color w:val="6B5E52"/>
                <w:sz w:val="19"/>
              </w:rPr>
              <w:t>Warm prospects can drift to competitors, while the business cannot distinguish price objections from simple lack of follow-up.</w:t>
            </w:r>
          </w:p>
          <w:p>
            <w:pPr>
              <w:keepNext w:val="0"/>
              <w:spacing w:before="0" w:after="60" w:line="283" w:lineRule="auto"/>
            </w:pPr>
            <w:r>
              <w:rPr>
                <w:rFonts w:ascii="Inter" w:hAnsi="Inter"/>
                <w:b/>
                <w:i w:val="0"/>
                <w:caps w:val="0"/>
                <w:color w:val="1C1410"/>
                <w:sz w:val="19"/>
              </w:rPr>
              <w:t xml:space="preserve">Fastest win: </w:t>
            </w:r>
            <w:r>
              <w:rPr>
                <w:rFonts w:ascii="Inter" w:hAnsi="Inter"/>
                <w:b w:val="0"/>
                <w:i w:val="0"/>
                <w:caps w:val="0"/>
                <w:color w:val="6B5E52"/>
                <w:sz w:val="19"/>
              </w:rPr>
              <w:t>Introduce two scheduled follow-ups and a clear won/lost outcome.</w:t>
            </w:r>
          </w:p>
        </w:tc>
      </w:tr>
    </w:tbl>
    <w:p>
      <w:pPr>
        <w:spacing w:after="40"/>
      </w:pPr>
    </w:p>
    <w:tbl>
      <w:tblPr>
        <w:tblW w:type="dxa" w:w="9360"/>
        <w:jc w:val="left"/>
        <w:tblLayout w:type="fixed"/>
        <w:tblLook w:firstColumn="1" w:firstRow="1" w:lastColumn="0" w:lastRow="0" w:noHBand="0" w:noVBand="1" w:val="04A0"/>
      </w:tblPr>
      <w:tblGrid>
        <w:gridCol w:w="1540"/>
        <w:gridCol w:w="7820"/>
      </w:tblGrid>
      <w:tr>
        <w:tc>
          <w:tcPr>
            <w:tcW w:type="dxa" w:w="1540"/>
            <w:shd w:fill="C47B2E"/>
            <w:tcMar>
              <w:top w:w="150" w:type="dxa"/>
              <w:start w:w="160" w:type="dxa"/>
              <w:bottom w:w="150" w:type="dxa"/>
              <w:end w:w="160" w:type="dxa"/>
            </w:tcMar>
            <w:tcBorders>
              <w:bottom w:val="single" w:sz="6" w:color="DDD5C8"/>
            </w:tcBorders>
            <w:vAlign w:val="center"/>
          </w:tcPr>
          <w:p>
            <w:pPr>
              <w:keepNext w:val="0"/>
              <w:spacing w:before="0" w:after="0" w:line="240" w:lineRule="auto"/>
              <w:jc w:val="center"/>
            </w:pPr>
            <w:r>
              <w:rPr>
                <w:rFonts w:ascii="Inter" w:hAnsi="Inter"/>
                <w:b/>
                <w:i w:val="0"/>
                <w:caps/>
                <w:color w:val="F9F6F1"/>
                <w:sz w:val="18"/>
              </w:rPr>
              <w:t>YELLOW</w:t>
            </w:r>
          </w:p>
        </w:tc>
        <w:tc>
          <w:tcPr>
            <w:tcW w:type="dxa" w:w="7820"/>
            <w:shd w:fill="FDF4E7"/>
            <w:tcMar>
              <w:top w:w="150" w:type="dxa"/>
              <w:start w:w="160" w:type="dxa"/>
              <w:bottom w:w="150" w:type="dxa"/>
              <w:end w:w="160" w:type="dxa"/>
            </w:tcMar>
            <w:tcBorders>
              <w:bottom w:val="single" w:sz="6" w:color="DDD5C8"/>
            </w:tcBorders>
            <w:vAlign w:val="center"/>
          </w:tcPr>
          <w:p>
            <w:pPr>
              <w:keepNext w:val="0"/>
              <w:spacing w:before="0" w:after="80" w:line="264" w:lineRule="auto"/>
            </w:pPr>
            <w:r>
              <w:rPr>
                <w:rFonts w:ascii="Inter" w:hAnsi="Inter"/>
                <w:b/>
                <w:i w:val="0"/>
                <w:caps w:val="0"/>
                <w:color w:val="1C1410"/>
                <w:sz w:val="23"/>
              </w:rPr>
              <w:t>Workflow visibility</w:t>
            </w:r>
          </w:p>
          <w:p>
            <w:pPr>
              <w:keepNext w:val="0"/>
              <w:spacing w:before="0" w:after="60" w:line="283" w:lineRule="auto"/>
            </w:pPr>
            <w:r>
              <w:rPr>
                <w:rFonts w:ascii="Inter" w:hAnsi="Inter"/>
                <w:b/>
                <w:i w:val="0"/>
                <w:caps w:val="0"/>
                <w:color w:val="1C1410"/>
                <w:sz w:val="19"/>
              </w:rPr>
              <w:t xml:space="preserve">Current state: </w:t>
            </w:r>
            <w:r>
              <w:rPr>
                <w:rFonts w:ascii="Inter" w:hAnsi="Inter"/>
                <w:b w:val="0"/>
                <w:i w:val="0"/>
                <w:caps w:val="0"/>
                <w:color w:val="6B5E52"/>
                <w:sz w:val="19"/>
              </w:rPr>
              <w:t>Core tools are in place, but staff still rely on memory and manual checking to know what needs attention.</w:t>
            </w:r>
          </w:p>
          <w:p>
            <w:pPr>
              <w:keepNext w:val="0"/>
              <w:spacing w:before="0" w:after="60" w:line="283" w:lineRule="auto"/>
            </w:pPr>
            <w:r>
              <w:rPr>
                <w:rFonts w:ascii="Inter" w:hAnsi="Inter"/>
                <w:b/>
                <w:i w:val="0"/>
                <w:caps w:val="0"/>
                <w:color w:val="1C1410"/>
                <w:sz w:val="19"/>
              </w:rPr>
              <w:t xml:space="preserve">Likely impact: </w:t>
            </w:r>
            <w:r>
              <w:rPr>
                <w:rFonts w:ascii="Inter" w:hAnsi="Inter"/>
                <w:b w:val="0"/>
                <w:i w:val="0"/>
                <w:caps w:val="0"/>
                <w:color w:val="6B5E52"/>
                <w:sz w:val="19"/>
              </w:rPr>
              <w:t>The system works while key people are present, but tasks can stall during busy periods or absences.</w:t>
            </w:r>
          </w:p>
          <w:p>
            <w:pPr>
              <w:keepNext w:val="0"/>
              <w:spacing w:before="0" w:after="60" w:line="283" w:lineRule="auto"/>
            </w:pPr>
            <w:r>
              <w:rPr>
                <w:rFonts w:ascii="Inter" w:hAnsi="Inter"/>
                <w:b/>
                <w:i w:val="0"/>
                <w:caps w:val="0"/>
                <w:color w:val="1C1410"/>
                <w:sz w:val="19"/>
              </w:rPr>
              <w:t xml:space="preserve">Fastest win: </w:t>
            </w:r>
            <w:r>
              <w:rPr>
                <w:rFonts w:ascii="Inter" w:hAnsi="Inter"/>
                <w:b w:val="0"/>
                <w:i w:val="0"/>
                <w:caps w:val="0"/>
                <w:color w:val="6B5E52"/>
                <w:sz w:val="19"/>
              </w:rPr>
              <w:t>Create one daily view of uncontacted leads, open quotes and jobs awaiting customer action.</w:t>
            </w:r>
          </w:p>
        </w:tc>
      </w:tr>
    </w:tbl>
    <w:p>
      <w:pPr>
        <w:spacing w:after="40"/>
      </w:pPr>
    </w:p>
    <w:tbl>
      <w:tblPr>
        <w:tblW w:type="dxa" w:w="9360"/>
        <w:jc w:val="left"/>
        <w:tblLayout w:type="fixed"/>
        <w:tblLook w:firstColumn="1" w:firstRow="1" w:lastColumn="0" w:lastRow="0" w:noHBand="0" w:noVBand="1" w:val="04A0"/>
      </w:tblPr>
      <w:tblGrid>
        <w:gridCol w:w="1540"/>
        <w:gridCol w:w="7820"/>
      </w:tblGrid>
      <w:tr>
        <w:tc>
          <w:tcPr>
            <w:tcW w:type="dxa" w:w="1540"/>
            <w:shd w:fill="C47B2E"/>
            <w:tcMar>
              <w:top w:w="150" w:type="dxa"/>
              <w:start w:w="160" w:type="dxa"/>
              <w:bottom w:w="150" w:type="dxa"/>
              <w:end w:w="160" w:type="dxa"/>
            </w:tcMar>
            <w:tcBorders>
              <w:bottom w:val="single" w:sz="6" w:color="DDD5C8"/>
            </w:tcBorders>
            <w:vAlign w:val="center"/>
          </w:tcPr>
          <w:p>
            <w:pPr>
              <w:keepNext w:val="0"/>
              <w:spacing w:before="0" w:after="0" w:line="240" w:lineRule="auto"/>
              <w:jc w:val="center"/>
            </w:pPr>
            <w:r>
              <w:rPr>
                <w:rFonts w:ascii="Inter" w:hAnsi="Inter"/>
                <w:b/>
                <w:i w:val="0"/>
                <w:caps/>
                <w:color w:val="F9F6F1"/>
                <w:sz w:val="18"/>
              </w:rPr>
              <w:t>YELLOW</w:t>
            </w:r>
          </w:p>
        </w:tc>
        <w:tc>
          <w:tcPr>
            <w:tcW w:type="dxa" w:w="7820"/>
            <w:shd w:fill="FDF4E7"/>
            <w:tcMar>
              <w:top w:w="150" w:type="dxa"/>
              <w:start w:w="160" w:type="dxa"/>
              <w:bottom w:w="150" w:type="dxa"/>
              <w:end w:w="160" w:type="dxa"/>
            </w:tcMar>
            <w:tcBorders>
              <w:bottom w:val="single" w:sz="6" w:color="DDD5C8"/>
            </w:tcBorders>
            <w:vAlign w:val="center"/>
          </w:tcPr>
          <w:p>
            <w:pPr>
              <w:keepNext w:val="0"/>
              <w:spacing w:before="0" w:after="80" w:line="264" w:lineRule="auto"/>
            </w:pPr>
            <w:r>
              <w:rPr>
                <w:rFonts w:ascii="Inter" w:hAnsi="Inter"/>
                <w:b/>
                <w:i w:val="0"/>
                <w:caps w:val="0"/>
                <w:color w:val="1C1410"/>
                <w:sz w:val="23"/>
              </w:rPr>
              <w:t>Reviews and repeat work</w:t>
            </w:r>
          </w:p>
          <w:p>
            <w:pPr>
              <w:keepNext w:val="0"/>
              <w:spacing w:before="0" w:after="60" w:line="283" w:lineRule="auto"/>
            </w:pPr>
            <w:r>
              <w:rPr>
                <w:rFonts w:ascii="Inter" w:hAnsi="Inter"/>
                <w:b/>
                <w:i w:val="0"/>
                <w:caps w:val="0"/>
                <w:color w:val="1C1410"/>
                <w:sz w:val="19"/>
              </w:rPr>
              <w:t xml:space="preserve">Current state: </w:t>
            </w:r>
            <w:r>
              <w:rPr>
                <w:rFonts w:ascii="Inter" w:hAnsi="Inter"/>
                <w:b w:val="0"/>
                <w:i w:val="0"/>
                <w:caps w:val="0"/>
                <w:color w:val="6B5E52"/>
                <w:sz w:val="19"/>
              </w:rPr>
              <w:t>Happy customers are not consistently prompted for a review or relevant future service.</w:t>
            </w:r>
          </w:p>
          <w:p>
            <w:pPr>
              <w:keepNext w:val="0"/>
              <w:spacing w:before="0" w:after="60" w:line="283" w:lineRule="auto"/>
            </w:pPr>
            <w:r>
              <w:rPr>
                <w:rFonts w:ascii="Inter" w:hAnsi="Inter"/>
                <w:b/>
                <w:i w:val="0"/>
                <w:caps w:val="0"/>
                <w:color w:val="1C1410"/>
                <w:sz w:val="19"/>
              </w:rPr>
              <w:t xml:space="preserve">Likely impact: </w:t>
            </w:r>
            <w:r>
              <w:rPr>
                <w:rFonts w:ascii="Inter" w:hAnsi="Inter"/>
                <w:b w:val="0"/>
                <w:i w:val="0"/>
                <w:caps w:val="0"/>
                <w:color w:val="6B5E52"/>
                <w:sz w:val="19"/>
              </w:rPr>
              <w:t>The business misses low-cost reputation growth and repeat-work opportunities after successful jobs.</w:t>
            </w:r>
          </w:p>
          <w:p>
            <w:pPr>
              <w:keepNext w:val="0"/>
              <w:spacing w:before="0" w:after="60" w:line="283" w:lineRule="auto"/>
            </w:pPr>
            <w:r>
              <w:rPr>
                <w:rFonts w:ascii="Inter" w:hAnsi="Inter"/>
                <w:b/>
                <w:i w:val="0"/>
                <w:caps w:val="0"/>
                <w:color w:val="1C1410"/>
                <w:sz w:val="19"/>
              </w:rPr>
              <w:t xml:space="preserve">Fastest win: </w:t>
            </w:r>
            <w:r>
              <w:rPr>
                <w:rFonts w:ascii="Inter" w:hAnsi="Inter"/>
                <w:b w:val="0"/>
                <w:i w:val="0"/>
                <w:caps w:val="0"/>
                <w:color w:val="6B5E52"/>
                <w:sz w:val="19"/>
              </w:rPr>
              <w:t>Trigger a review request after job completion and add one relevant next-step prompt.</w:t>
            </w:r>
          </w:p>
        </w:tc>
      </w:tr>
    </w:tbl>
    <w:p>
      <w:pPr>
        <w:spacing w:after="40"/>
      </w:pPr>
    </w:p>
    <w:p>
      <w:r>
        <w:br w:type="page"/>
      </w:r>
    </w:p>
    <w:p>
      <w:pPr>
        <w:keepNext/>
        <w:spacing w:before="0" w:after="160" w:line="240" w:lineRule="auto"/>
        <w:jc w:val="left"/>
      </w:pPr>
      <w:r>
        <w:rPr>
          <w:rFonts w:ascii="Inter" w:hAnsi="Inter"/>
          <w:b/>
          <w:i w:val="0"/>
          <w:caps/>
          <w:color w:val="7A4F1E"/>
          <w:sz w:val="17"/>
        </w:rPr>
        <w:t>04 | 30-DAY ACTION PLAN</w:t>
      </w:r>
    </w:p>
    <w:p>
      <w:pPr>
        <w:pStyle w:val="Heading1"/>
        <w:keepNext/>
        <w:spacing w:before="360" w:after="160" w:line="264" w:lineRule="auto"/>
      </w:pPr>
      <w:r>
        <w:rPr>
          <w:rFonts w:ascii="Inter" w:hAnsi="Inter"/>
          <w:b/>
          <w:i w:val="0"/>
          <w:caps w:val="0"/>
          <w:color w:val="1C1410"/>
          <w:sz w:val="36"/>
        </w:rPr>
        <w:t>Fix the fastest revenue leaks before adding complexity</w:t>
      </w: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1</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Days 1–7 | Missed-call recovery</w:t>
            </w:r>
          </w:p>
          <w:p>
            <w:pPr>
              <w:keepNext w:val="0"/>
              <w:spacing w:before="0" w:after="0" w:line="283" w:lineRule="auto"/>
            </w:pPr>
            <w:r>
              <w:rPr>
                <w:rFonts w:ascii="Inter" w:hAnsi="Inter"/>
                <w:b w:val="0"/>
                <w:i w:val="0"/>
                <w:caps w:val="0"/>
                <w:color w:val="6B5E52"/>
                <w:sz w:val="19"/>
              </w:rPr>
              <w:t>Map the current call path, assign callback ownership, and launch an immediate text acknowledgement for unanswered calls. Track response time and recovered bookings.</w:t>
            </w:r>
          </w:p>
        </w:tc>
      </w:tr>
    </w:tbl>
    <w:p>
      <w:pPr>
        <w:spacing w:after="20"/>
      </w:pP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2</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Days 8–14 | Quote follow-up</w:t>
            </w:r>
          </w:p>
          <w:p>
            <w:pPr>
              <w:keepNext w:val="0"/>
              <w:spacing w:before="0" w:after="0" w:line="283" w:lineRule="auto"/>
            </w:pPr>
            <w:r>
              <w:rPr>
                <w:rFonts w:ascii="Inter" w:hAnsi="Inter"/>
                <w:b w:val="0"/>
                <w:i w:val="0"/>
                <w:caps w:val="0"/>
                <w:color w:val="6B5E52"/>
                <w:sz w:val="19"/>
              </w:rPr>
              <w:t>Standardise follow-up at two agreed intervals, capture a simple status for every quote, and make open quotes visible to the responsible person.</w:t>
            </w:r>
          </w:p>
        </w:tc>
      </w:tr>
    </w:tbl>
    <w:p>
      <w:pPr>
        <w:spacing w:after="20"/>
      </w:pP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3</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Days 15–21 | Review capture</w:t>
            </w:r>
          </w:p>
          <w:p>
            <w:pPr>
              <w:keepNext w:val="0"/>
              <w:spacing w:before="0" w:after="0" w:line="283" w:lineRule="auto"/>
            </w:pPr>
            <w:r>
              <w:rPr>
                <w:rFonts w:ascii="Inter" w:hAnsi="Inter"/>
                <w:b w:val="0"/>
                <w:i w:val="0"/>
                <w:caps w:val="0"/>
                <w:color w:val="6B5E52"/>
                <w:sz w:val="19"/>
              </w:rPr>
              <w:t>Send a short review request after completed jobs, with a direct link and one reminder when appropriate.</w:t>
            </w:r>
          </w:p>
        </w:tc>
      </w:tr>
    </w:tbl>
    <w:p>
      <w:pPr>
        <w:spacing w:after="20"/>
      </w:pPr>
    </w:p>
    <w:tbl>
      <w:tblPr>
        <w:tblW w:type="dxa" w:w="9360"/>
        <w:jc w:val="left"/>
        <w:tblLayout w:type="fixed"/>
        <w:tblLook w:firstColumn="1" w:firstRow="1" w:lastColumn="0" w:lastRow="0" w:noHBand="0" w:noVBand="1" w:val="04A0"/>
      </w:tblPr>
      <w:tblGrid>
        <w:gridCol w:w="720"/>
        <w:gridCol w:w="8640"/>
      </w:tblGrid>
      <w:tr>
        <w:tc>
          <w:tcPr>
            <w:tcW w:type="dxa" w:w="720"/>
            <w:shd w:fill="7A4F1E"/>
            <w:tcMar>
              <w:top w:w="120" w:type="dxa"/>
              <w:start w:w="150" w:type="dxa"/>
              <w:bottom w:w="120" w:type="dxa"/>
              <w:end w:w="150" w:type="dxa"/>
            </w:tcMar>
            <w:tcBorders>
              <w:bottom w:val="single" w:sz="6" w:color="DDD5C8"/>
            </w:tcBorders>
            <w:vAlign w:val="center"/>
          </w:tcPr>
          <w:p>
            <w:pPr>
              <w:keepNext w:val="0"/>
              <w:spacing w:before="0" w:after="0" w:line="240" w:lineRule="auto"/>
              <w:jc w:val="center"/>
            </w:pPr>
            <w:r>
              <w:rPr>
                <w:rFonts w:ascii="Inter" w:hAnsi="Inter"/>
                <w:b/>
                <w:i w:val="0"/>
                <w:caps w:val="0"/>
                <w:color w:val="F9F6F1"/>
                <w:sz w:val="28"/>
              </w:rPr>
              <w:t>4</w:t>
            </w:r>
          </w:p>
        </w:tc>
        <w:tc>
          <w:tcPr>
            <w:tcW w:type="dxa" w:w="8640"/>
            <w:shd w:fill="F2EDE5"/>
            <w:tcMar>
              <w:top w:w="120" w:type="dxa"/>
              <w:start w:w="150" w:type="dxa"/>
              <w:bottom w:w="120" w:type="dxa"/>
              <w:end w:w="150" w:type="dxa"/>
            </w:tcMar>
            <w:tcBorders>
              <w:bottom w:val="single" w:sz="6" w:color="DDD5C8"/>
            </w:tcBorders>
            <w:vAlign w:val="center"/>
          </w:tcPr>
          <w:p>
            <w:pPr>
              <w:keepNext w:val="0"/>
              <w:spacing w:before="0" w:after="40" w:line="276" w:lineRule="auto"/>
            </w:pPr>
            <w:r>
              <w:rPr>
                <w:rFonts w:ascii="Inter" w:hAnsi="Inter"/>
                <w:b/>
                <w:i w:val="0"/>
                <w:caps w:val="0"/>
                <w:color w:val="1C1410"/>
                <w:sz w:val="21"/>
              </w:rPr>
              <w:t>Days 22–30 | Operating visibility</w:t>
            </w:r>
          </w:p>
          <w:p>
            <w:pPr>
              <w:keepNext w:val="0"/>
              <w:spacing w:before="0" w:after="0" w:line="283" w:lineRule="auto"/>
            </w:pPr>
            <w:r>
              <w:rPr>
                <w:rFonts w:ascii="Inter" w:hAnsi="Inter"/>
                <w:b w:val="0"/>
                <w:i w:val="0"/>
                <w:caps w:val="0"/>
                <w:color w:val="6B5E52"/>
                <w:sz w:val="19"/>
              </w:rPr>
              <w:t>Review the first month of missed calls, quote outcomes and review requests. Keep what works, remove friction, and decide whether deeper automation is justified.</w:t>
            </w:r>
          </w:p>
        </w:tc>
      </w:tr>
    </w:tbl>
    <w:p>
      <w:pPr>
        <w:spacing w:after="20"/>
      </w:pPr>
    </w:p>
    <w:p>
      <w:pPr>
        <w:pStyle w:val="Heading2"/>
        <w:keepNext/>
        <w:spacing w:before="260" w:after="120" w:line="264" w:lineRule="auto"/>
      </w:pPr>
      <w:r>
        <w:rPr>
          <w:rFonts w:ascii="Inter" w:hAnsi="Inter"/>
          <w:b/>
          <w:i w:val="0"/>
          <w:caps w:val="0"/>
          <w:color w:val="7A4F1E"/>
          <w:sz w:val="27"/>
        </w:rPr>
        <w:t>Measures to track</w:t>
      </w:r>
    </w:p>
    <w:tbl>
      <w:tblPr>
        <w:tblW w:type="dxa" w:w="9360"/>
        <w:jc w:val="left"/>
        <w:tblLayout w:type="fixed"/>
        <w:tblLook w:firstColumn="1" w:firstRow="1" w:lastColumn="0" w:lastRow="0" w:noHBand="0" w:noVBand="1" w:val="04A0"/>
      </w:tblPr>
      <w:tblGrid>
        <w:gridCol w:w="4680"/>
        <w:gridCol w:w="4680"/>
      </w:tblGrid>
      <w:tr>
        <w:trPr>
          <w:tblHeader w:val="true"/>
        </w:trPr>
        <w:tc>
          <w:tcPr>
            <w:tcW w:type="dxa" w:w="4680"/>
            <w:shd w:fill="1C1410"/>
            <w:tcMar>
              <w:top w:w="120" w:type="dxa"/>
              <w:start w:w="140" w:type="dxa"/>
              <w:bottom w:w="120" w:type="dxa"/>
              <w:end w:w="140" w:type="dxa"/>
            </w:tcMar>
            <w:tcBorders>
              <w:bottom w:val="single" w:sz="6" w:color="DDD5C8"/>
            </w:tcBorders>
          </w:tcPr>
          <w:p>
            <w:pPr>
              <w:keepNext w:val="0"/>
              <w:spacing w:before="0" w:after="0" w:line="240" w:lineRule="auto"/>
            </w:pPr>
            <w:r>
              <w:rPr>
                <w:rFonts w:ascii="Inter" w:hAnsi="Inter"/>
                <w:b/>
                <w:i w:val="0"/>
                <w:caps w:val="0"/>
                <w:color w:val="F9F6F1"/>
                <w:sz w:val="18"/>
              </w:rPr>
              <w:t>Measure</w:t>
            </w:r>
          </w:p>
        </w:tc>
        <w:tc>
          <w:tcPr>
            <w:tcW w:type="dxa" w:w="4680"/>
            <w:shd w:fill="1C1410"/>
            <w:tcMar>
              <w:top w:w="120" w:type="dxa"/>
              <w:start w:w="140" w:type="dxa"/>
              <w:bottom w:w="120" w:type="dxa"/>
              <w:end w:w="140" w:type="dxa"/>
            </w:tcMar>
            <w:tcBorders>
              <w:bottom w:val="single" w:sz="6" w:color="DDD5C8"/>
            </w:tcBorders>
          </w:tcPr>
          <w:p>
            <w:pPr>
              <w:keepNext w:val="0"/>
              <w:spacing w:before="0" w:after="0" w:line="240" w:lineRule="auto"/>
            </w:pPr>
            <w:r>
              <w:rPr>
                <w:rFonts w:ascii="Inter" w:hAnsi="Inter"/>
                <w:b/>
                <w:i w:val="0"/>
                <w:caps w:val="0"/>
                <w:color w:val="F9F6F1"/>
                <w:sz w:val="18"/>
              </w:rPr>
              <w:t>Initial standard</w:t>
            </w:r>
          </w:p>
        </w:tc>
      </w:tr>
      <w:tr>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i w:val="0"/>
                <w:caps w:val="0"/>
                <w:color w:val="1C1410"/>
                <w:sz w:val="18"/>
              </w:rPr>
              <w:t>Missed calls acknowledged</w:t>
            </w:r>
          </w:p>
        </w:tc>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val="0"/>
                <w:i w:val="0"/>
                <w:caps w:val="0"/>
                <w:color w:val="6B5E52"/>
                <w:sz w:val="18"/>
              </w:rPr>
              <w:t>Target: within 1 minute</w:t>
            </w:r>
          </w:p>
        </w:tc>
      </w:tr>
      <w:tr>
        <w:tc>
          <w:tcPr>
            <w:tcW w:type="dxa" w:w="4680"/>
            <w:shd w:fill="F9F6F1"/>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i w:val="0"/>
                <w:caps w:val="0"/>
                <w:color w:val="1C1410"/>
                <w:sz w:val="18"/>
              </w:rPr>
              <w:t>Callback speed</w:t>
            </w:r>
          </w:p>
        </w:tc>
        <w:tc>
          <w:tcPr>
            <w:tcW w:type="dxa" w:w="4680"/>
            <w:shd w:fill="F9F6F1"/>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val="0"/>
                <w:i w:val="0"/>
                <w:caps w:val="0"/>
                <w:color w:val="6B5E52"/>
                <w:sz w:val="18"/>
              </w:rPr>
              <w:t>Target: within 15 minutes during business hours</w:t>
            </w:r>
          </w:p>
        </w:tc>
      </w:tr>
      <w:tr>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i w:val="0"/>
                <w:caps w:val="0"/>
                <w:color w:val="1C1410"/>
                <w:sz w:val="18"/>
              </w:rPr>
              <w:t>Quotes followed up</w:t>
            </w:r>
          </w:p>
        </w:tc>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val="0"/>
                <w:i w:val="0"/>
                <w:caps w:val="0"/>
                <w:color w:val="6B5E52"/>
                <w:sz w:val="18"/>
              </w:rPr>
              <w:t>Target: 100% receive the agreed sequence</w:t>
            </w:r>
          </w:p>
        </w:tc>
      </w:tr>
      <w:tr>
        <w:tc>
          <w:tcPr>
            <w:tcW w:type="dxa" w:w="4680"/>
            <w:shd w:fill="F9F6F1"/>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i w:val="0"/>
                <w:caps w:val="0"/>
                <w:color w:val="1C1410"/>
                <w:sz w:val="18"/>
              </w:rPr>
              <w:t>Quote outcomes recorded</w:t>
            </w:r>
          </w:p>
        </w:tc>
        <w:tc>
          <w:tcPr>
            <w:tcW w:type="dxa" w:w="4680"/>
            <w:shd w:fill="F9F6F1"/>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val="0"/>
                <w:i w:val="0"/>
                <w:caps w:val="0"/>
                <w:color w:val="6B5E52"/>
                <w:sz w:val="18"/>
              </w:rPr>
              <w:t>Target: won, lost or pending</w:t>
            </w:r>
          </w:p>
        </w:tc>
      </w:tr>
      <w:tr>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i w:val="0"/>
                <w:caps w:val="0"/>
                <w:color w:val="1C1410"/>
                <w:sz w:val="18"/>
              </w:rPr>
              <w:t>Review requests sent</w:t>
            </w:r>
          </w:p>
        </w:tc>
        <w:tc>
          <w:tcPr>
            <w:tcW w:type="dxa" w:w="4680"/>
            <w:shd w:fill="F2EDE5"/>
            <w:tcMar>
              <w:top w:w="120" w:type="dxa"/>
              <w:start w:w="140" w:type="dxa"/>
              <w:bottom w:w="120" w:type="dxa"/>
              <w:end w:w="140" w:type="dxa"/>
            </w:tcMar>
            <w:tcBorders>
              <w:bottom w:val="single" w:sz="5" w:color="DDD5C8"/>
            </w:tcBorders>
          </w:tcPr>
          <w:p>
            <w:pPr>
              <w:keepNext w:val="0"/>
              <w:spacing w:before="0" w:after="0" w:line="269" w:lineRule="auto"/>
            </w:pPr>
            <w:r>
              <w:rPr>
                <w:rFonts w:ascii="Inter" w:hAnsi="Inter"/>
                <w:b w:val="0"/>
                <w:i w:val="0"/>
                <w:caps w:val="0"/>
                <w:color w:val="6B5E52"/>
                <w:sz w:val="18"/>
              </w:rPr>
              <w:t>Target: every eligible completed job</w:t>
            </w:r>
          </w:p>
        </w:tc>
      </w:tr>
    </w:tbl>
    <w:p>
      <w:r>
        <w:br w:type="page"/>
      </w:r>
    </w:p>
    <w:p>
      <w:pPr>
        <w:keepNext/>
        <w:spacing w:before="0" w:after="160" w:line="240" w:lineRule="auto"/>
        <w:jc w:val="left"/>
      </w:pPr>
      <w:r>
        <w:rPr>
          <w:rFonts w:ascii="Inter" w:hAnsi="Inter"/>
          <w:b/>
          <w:i w:val="0"/>
          <w:caps/>
          <w:color w:val="7A4F1E"/>
          <w:sz w:val="17"/>
        </w:rPr>
        <w:t>05 | RECOMMENDED NEXT STEP</w:t>
      </w:r>
    </w:p>
    <w:p>
      <w:pPr>
        <w:pStyle w:val="Heading1"/>
        <w:keepNext/>
        <w:spacing w:before="360" w:after="160" w:line="264" w:lineRule="auto"/>
      </w:pPr>
      <w:r>
        <w:rPr>
          <w:rFonts w:ascii="Inter" w:hAnsi="Inter"/>
          <w:b/>
          <w:i w:val="0"/>
          <w:caps w:val="0"/>
          <w:color w:val="1C1410"/>
          <w:sz w:val="36"/>
        </w:rPr>
        <w:t>Implement one contained commercial workflow and measure the result</w:t>
      </w:r>
    </w:p>
    <w:p>
      <w:pPr>
        <w:keepNext w:val="0"/>
        <w:spacing w:before="0" w:after="240" w:line="293" w:lineRule="auto"/>
        <w:jc w:val="left"/>
      </w:pPr>
      <w:r>
        <w:rPr>
          <w:rFonts w:ascii="Inter" w:hAnsi="Inter"/>
          <w:b w:val="0"/>
          <w:i w:val="0"/>
          <w:caps w:val="0"/>
          <w:color w:val="1C1410"/>
          <w:sz w:val="21"/>
        </w:rPr>
        <w:t>The recommended first engagement is a focused follow-up sprint: missed-call recovery, quote follow-up and review capture. It should improve the handling of existing demand without requiring a full CRM replacement or a broad transformation program.</w:t>
      </w:r>
    </w:p>
    <w:tbl>
      <w:tblPr>
        <w:tblW w:type="dxa" w:w="9360"/>
        <w:jc w:val="left"/>
        <w:tblLayout w:type="fixed"/>
        <w:tblLook w:firstColumn="1" w:firstRow="1" w:lastColumn="0" w:lastRow="0" w:noHBand="0" w:noVBand="1" w:val="04A0"/>
      </w:tblPr>
      <w:tblGrid>
        <w:gridCol w:w="9360"/>
      </w:tblGrid>
      <w:tr>
        <w:tc>
          <w:tcPr>
            <w:tcW w:type="dxa" w:w="9360"/>
            <w:shd w:fill="FDF4E7"/>
            <w:tcMar>
              <w:top w:w="200" w:type="dxa"/>
              <w:start w:w="220" w:type="dxa"/>
              <w:bottom w:w="200" w:type="dxa"/>
              <w:end w:w="220" w:type="dxa"/>
            </w:tcMar>
            <w:tcBorders>
              <w:left w:val="single" w:sz="24" w:color="7A4F1E"/>
            </w:tcBorders>
          </w:tcPr>
          <w:p>
            <w:pPr>
              <w:keepNext w:val="0"/>
              <w:spacing w:before="0" w:after="100" w:line="240" w:lineRule="auto"/>
            </w:pPr>
            <w:r>
              <w:rPr>
                <w:rFonts w:ascii="Inter" w:hAnsi="Inter"/>
                <w:b/>
                <w:i w:val="0"/>
                <w:caps/>
                <w:color w:val="7A4F1E"/>
                <w:sz w:val="16"/>
              </w:rPr>
              <w:t>IMPLEMENTATION PRINCIPLE</w:t>
            </w:r>
          </w:p>
          <w:p>
            <w:pPr>
              <w:keepNext w:val="0"/>
              <w:spacing w:before="0" w:after="100" w:line="269" w:lineRule="auto"/>
            </w:pPr>
            <w:r>
              <w:rPr>
                <w:rFonts w:ascii="Inter" w:hAnsi="Inter"/>
                <w:b/>
                <w:i w:val="0"/>
                <w:caps w:val="0"/>
                <w:color w:val="1C1410"/>
                <w:sz w:val="28"/>
              </w:rPr>
              <w:t>Automate the hand-off, not the relationship.</w:t>
            </w:r>
          </w:p>
          <w:p>
            <w:pPr>
              <w:keepNext w:val="0"/>
              <w:spacing w:before="0" w:after="0" w:line="288" w:lineRule="auto"/>
            </w:pPr>
            <w:r>
              <w:rPr>
                <w:rFonts w:ascii="Inter" w:hAnsi="Inter"/>
                <w:b w:val="0"/>
                <w:i w:val="0"/>
                <w:caps w:val="0"/>
                <w:color w:val="6B5E52"/>
                <w:sz w:val="20"/>
              </w:rPr>
              <w:t>Customers should still experience a capable local electrical business. Automation should make acknowledgement, reminders and visibility more reliable while people remain responsible for judgement and customer conversations.</w:t>
            </w:r>
          </w:p>
        </w:tc>
      </w:tr>
    </w:tbl>
    <w:p>
      <w:pPr>
        <w:pStyle w:val="Heading2"/>
        <w:keepNext/>
        <w:spacing w:before="260" w:after="120" w:line="264" w:lineRule="auto"/>
      </w:pPr>
      <w:r>
        <w:rPr>
          <w:rFonts w:ascii="Inter" w:hAnsi="Inter"/>
          <w:b/>
          <w:i w:val="0"/>
          <w:caps w:val="0"/>
          <w:color w:val="7A4F1E"/>
          <w:sz w:val="27"/>
        </w:rPr>
        <w:t>How this audit was prepared</w:t>
      </w:r>
    </w:p>
    <w:p>
      <w:pPr>
        <w:keepNext w:val="0"/>
        <w:spacing w:before="0" w:after="160" w:line="293" w:lineRule="auto"/>
        <w:jc w:val="left"/>
      </w:pPr>
      <w:r>
        <w:rPr>
          <w:rFonts w:ascii="Inter" w:hAnsi="Inter"/>
          <w:b w:val="0"/>
          <w:i w:val="0"/>
          <w:caps w:val="0"/>
          <w:color w:val="1C1410"/>
          <w:sz w:val="21"/>
        </w:rPr>
        <w:t>This report is based on the discovery assessment provided by the business. Findings are limited to the evidence captured during that assessment and are prioritised by likely commercial impact, urgency, implementation effort and speed to visible improvement.</w:t>
      </w:r>
    </w:p>
    <w:p>
      <w:pPr>
        <w:pStyle w:val="Heading2"/>
        <w:keepNext/>
        <w:spacing w:before="260" w:after="120" w:line="264" w:lineRule="auto"/>
      </w:pPr>
      <w:r>
        <w:rPr>
          <w:rFonts w:ascii="Inter" w:hAnsi="Inter"/>
          <w:b/>
          <w:i w:val="0"/>
          <w:caps w:val="0"/>
          <w:color w:val="7A4F1E"/>
          <w:sz w:val="27"/>
        </w:rPr>
        <w:t>Important note</w:t>
      </w:r>
    </w:p>
    <w:p>
      <w:pPr>
        <w:keepNext w:val="0"/>
        <w:spacing w:before="0" w:after="360" w:line="293" w:lineRule="auto"/>
        <w:jc w:val="left"/>
      </w:pPr>
      <w:r>
        <w:rPr>
          <w:rFonts w:ascii="Inter" w:hAnsi="Inter"/>
          <w:b w:val="0"/>
          <w:i/>
          <w:caps w:val="0"/>
          <w:color w:val="6B5E52"/>
          <w:sz w:val="21"/>
        </w:rPr>
        <w:t>The score is a decision aid, not a financial forecast. Any implementation should be confirmed against the business’s actual call volumes, quote data, software configuration and operating constraints.</w:t>
      </w:r>
    </w:p>
    <w:p>
      <w:pPr>
        <w:keepNext w:val="0"/>
        <w:spacing w:before="0" w:after="240" w:line="240" w:lineRule="auto"/>
        <w:pBdr>
          <w:bottom w:val="single" w:sz="6" w:space="1" w:color="DDD5C8"/>
        </w:pBdr>
      </w:pPr>
    </w:p>
    <w:p>
      <w:pPr>
        <w:keepNext w:val="0"/>
        <w:spacing w:before="0" w:after="60" w:line="293" w:lineRule="auto"/>
        <w:jc w:val="left"/>
      </w:pPr>
      <w:r>
        <w:rPr>
          <w:rFonts w:ascii="Inter" w:hAnsi="Inter"/>
          <w:b/>
          <w:i w:val="0"/>
          <w:caps w:val="0"/>
          <w:color w:val="1C1410"/>
          <w:sz w:val="26"/>
        </w:rPr>
        <w:t>AI Business Audit</w:t>
      </w:r>
    </w:p>
    <w:p>
      <w:pPr>
        <w:keepNext w:val="0"/>
        <w:spacing w:before="0" w:after="240" w:line="293" w:lineRule="auto"/>
        <w:jc w:val="left"/>
      </w:pPr>
      <w:r>
        <w:rPr>
          <w:rFonts w:ascii="Inter" w:hAnsi="Inter"/>
          <w:b w:val="0"/>
          <w:i w:val="0"/>
          <w:caps w:val="0"/>
          <w:color w:val="6B5E52"/>
          <w:sz w:val="20"/>
        </w:rPr>
        <w:t>Find the revenue leaks. Fix the highest-impact workflow first.</w:t>
      </w:r>
    </w:p>
    <w:p>
      <w:pPr>
        <w:keepNext w:val="0"/>
        <w:spacing w:before="0" w:after="0" w:line="293" w:lineRule="auto"/>
        <w:jc w:val="left"/>
      </w:pPr>
      <w:r>
        <w:rPr>
          <w:rFonts w:ascii="Inter" w:hAnsi="Inter"/>
          <w:b w:val="0"/>
          <w:i/>
          <w:caps w:val="0"/>
          <w:color w:val="6B5E52"/>
          <w:sz w:val="18"/>
        </w:rPr>
        <w:t>Prepared for discussion with Hugh.</w:t>
      </w:r>
    </w:p>
    <w:sectPr w:rsidR="00FC693F" w:rsidRPr="0006063C" w:rsidSect="00034616">
      <w:headerReference w:type="default" r:id="rId9"/>
      <w:footerReference w:type="default" r:id="rId10"/>
      <w:pgSz w:w="12240" w:h="15840"/>
      <w:pgMar w:top="1037" w:right="1181" w:bottom="1008" w:left="1181"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6768"/>
      <w:gridCol w:w="2592"/>
    </w:tblGrid>
    <w:tr>
      <w:tc>
        <w:tcPr>
          <w:tcW w:type="dxa" w:w="4680"/>
          <w:tcMar>
            <w:top w:w="40" w:type="dxa"/>
            <w:start w:w="0" w:type="dxa"/>
            <w:bottom w:w="0" w:type="dxa"/>
            <w:end w:w="0" w:type="dxa"/>
          </w:tcMar>
          <w:tcBorders>
            <w:top w:val="single" w:sz="5" w:color="DDD5C8"/>
          </w:tcBorders>
        </w:tcPr>
        <w:p>
          <w:pPr>
            <w:keepNext w:val="0"/>
            <w:spacing w:before="0" w:after="0" w:line="240" w:lineRule="auto"/>
          </w:pPr>
          <w:r>
            <w:rPr>
              <w:rFonts w:ascii="Inter" w:hAnsi="Inter"/>
              <w:b w:val="0"/>
              <w:i w:val="0"/>
              <w:caps w:val="0"/>
              <w:color w:val="6B5E52"/>
              <w:sz w:val="15"/>
            </w:rPr>
            <w:t>Confidential | Prepared for BrightSpark Electrical</w:t>
          </w:r>
        </w:p>
      </w:tc>
      <w:tc>
        <w:tcPr>
          <w:tcW w:type="dxa" w:w="4680"/>
          <w:tcMar>
            <w:top w:w="40" w:type="dxa"/>
            <w:start w:w="0" w:type="dxa"/>
            <w:bottom w:w="0" w:type="dxa"/>
            <w:end w:w="0" w:type="dxa"/>
          </w:tcMar>
          <w:tcBorders>
            <w:top w:val="single" w:sz="5" w:color="DDD5C8"/>
          </w:tcBorders>
        </w:tcPr>
        <w:p>
          <w:pPr>
            <w:keepNext w:val="0"/>
            <w:spacing w:before="0" w:after="0" w:line="240" w:lineRule="auto"/>
            <w:jc w:val="right"/>
          </w:pPr>
          <w:r>
            <w:rPr>
              <w:rFonts w:ascii="Inter" w:hAnsi="Inter"/>
              <w:b w:val="0"/>
              <w:i w:val="0"/>
              <w:caps w:val="0"/>
              <w:color w:val="6B5E52"/>
              <w:sz w:val="15"/>
            </w:rPr>
            <w:t>Design prototype | June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Inter" w:hAnsi="Inter"/>
        <w:b/>
        <w:i w:val="0"/>
        <w:caps/>
        <w:color w:val="7A4F1E"/>
        <w:sz w:val="16"/>
      </w:rPr>
      <w:t>AI BUSINESS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Inter" w:hAnsi="Inter"/>
      <w:color w:val="1C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C14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7A4F1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C1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3" w:lineRule="auto"/>
      <w:ind w:left="547" w:hanging="259"/>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Business Audit Premium Report Prototype</dc:title>
  <dc:subject>Revenue and operations readiness report design</dc:subject>
  <dc:creator>AI Business Audit</dc:creator>
  <cp:keywords>business audit, revenue leakage, electrician, automation</cp:keywords>
  <dc:description>generated by python-docx</dc:description>
  <cp:lastModifiedBy/>
  <cp:revision>1</cp:revision>
  <dcterms:created xsi:type="dcterms:W3CDTF">2013-12-23T23:15:00Z</dcterms:created>
  <dcterms:modified xsi:type="dcterms:W3CDTF">2013-12-23T23:15:00Z</dcterms:modified>
  <cp:category/>
</cp:coreProperties>
</file>