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</w:pPr>
      <w:r>
        <w:rPr>
          <w:rFonts w:ascii="Calibri" w:hAnsi="Calibri"/>
          <w:b/>
          <w:color w:val="1F4E78"/>
          <w:sz w:val="32"/>
        </w:rPr>
        <w:t>LIST OF FIGURES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E78"/>
          <w:sz w:val="22"/>
        </w:rPr>
        <w:t>Figure 1.1:</w:t>
      </w:r>
      <w:r>
        <w:rPr>
          <w:rFonts w:ascii="Calibri" w:hAnsi="Calibri"/>
          <w:b w:val="0"/>
          <w:color w:val="282828"/>
          <w:sz w:val="22"/>
        </w:rPr>
        <w:t xml:space="preserve"> Afri-SET Co-location Facility and Ambient Monitoring Platform at the Department of Physics, University of Ghana, Legon.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E78"/>
          <w:sz w:val="22"/>
        </w:rPr>
        <w:t>Figure 2.1:</w:t>
      </w:r>
      <w:r>
        <w:rPr>
          <w:rFonts w:ascii="Calibri" w:hAnsi="Calibri"/>
          <w:b w:val="0"/>
          <w:color w:val="282828"/>
          <w:sz w:val="22"/>
        </w:rPr>
        <w:t xml:space="preserve"> Working Principle of Optical Particle Counters (OPC) based on Mie Light Scattering Theory.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E78"/>
          <w:sz w:val="22"/>
        </w:rPr>
        <w:t>Figure 2.2:</w:t>
      </w:r>
      <w:r>
        <w:rPr>
          <w:rFonts w:ascii="Calibri" w:hAnsi="Calibri"/>
          <w:b w:val="0"/>
          <w:color w:val="282828"/>
          <w:sz w:val="22"/>
        </w:rPr>
        <w:t xml:space="preserve"> Aerosol Hygroscopic Particle Growth and Deliquescence Threshold Curve under Elevated Relative Humidity.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E78"/>
          <w:sz w:val="22"/>
        </w:rPr>
        <w:t>Figure 2.3:</w:t>
      </w:r>
      <w:r>
        <w:rPr>
          <w:rFonts w:ascii="Calibri" w:hAnsi="Calibri"/>
          <w:b w:val="0"/>
          <w:color w:val="282828"/>
          <w:sz w:val="22"/>
        </w:rPr>
        <w:t xml:space="preserve"> Seasonal Meteorological Dynamics in West Africa: Monsoon Wet Season vs. Dry Saharan Harmattan Dust Transport.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E78"/>
          <w:sz w:val="22"/>
        </w:rPr>
        <w:t>Figure 3.1:</w:t>
      </w:r>
      <w:r>
        <w:rPr>
          <w:rFonts w:ascii="Calibri" w:hAnsi="Calibri"/>
          <w:b w:val="0"/>
          <w:color w:val="282828"/>
          <w:sz w:val="22"/>
        </w:rPr>
        <w:t xml:space="preserve"> Geographic Co-location Site at Afri-SET, University of Ghana, Legon (5.6512° N, -0.1855° W).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E78"/>
          <w:sz w:val="22"/>
        </w:rPr>
        <w:t>Figure 3.2:</w:t>
      </w:r>
      <w:r>
        <w:rPr>
          <w:rFonts w:ascii="Calibri" w:hAnsi="Calibri"/>
          <w:b w:val="0"/>
          <w:color w:val="282828"/>
          <w:sz w:val="22"/>
        </w:rPr>
        <w:t xml:space="preserve"> End-to-End Machine Learning Calibration Pipeline Architecture for Low-Cost Modulair-PM Sensors.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E78"/>
          <w:sz w:val="22"/>
        </w:rPr>
        <w:t>Figure 3.3:</w:t>
      </w:r>
      <w:r>
        <w:rPr>
          <w:rFonts w:ascii="Calibri" w:hAnsi="Calibri"/>
          <w:b w:val="0"/>
          <w:color w:val="282828"/>
          <w:sz w:val="22"/>
        </w:rPr>
        <w:t xml:space="preserve"> Scatter Plot of Raw Modulair-PM PM₂.₅ Concentrations vs. Reference Teledyne API T640 Measurements across Calendar Months.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E78"/>
          <w:sz w:val="22"/>
        </w:rPr>
        <w:t>Figure 3.4:</w:t>
      </w:r>
      <w:r>
        <w:rPr>
          <w:rFonts w:ascii="Calibri" w:hAnsi="Calibri"/>
          <w:b w:val="0"/>
          <w:color w:val="282828"/>
          <w:sz w:val="22"/>
        </w:rPr>
        <w:t xml:space="preserve"> Hourly Time-Series Comparison of Raw Low-Cost Sensor PM₂.₅ and Reference Teledyne T640 Data.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E78"/>
          <w:sz w:val="22"/>
        </w:rPr>
        <w:t>Figure 3.5:</w:t>
      </w:r>
      <w:r>
        <w:rPr>
          <w:rFonts w:ascii="Calibri" w:hAnsi="Calibri"/>
          <w:b w:val="0"/>
          <w:color w:val="282828"/>
          <w:sz w:val="22"/>
        </w:rPr>
        <w:t xml:space="preserve"> Multi-Gamma Köhler Hygroscopic Growth Curves f(RH, γ) across Exponents γ ∈ [0.05, 0.50].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E78"/>
          <w:sz w:val="22"/>
        </w:rPr>
        <w:t>Figure 3.6:</w:t>
      </w:r>
      <w:r>
        <w:rPr>
          <w:rFonts w:ascii="Calibri" w:hAnsi="Calibri"/>
          <w:b w:val="0"/>
          <w:color w:val="282828"/>
          <w:sz w:val="22"/>
        </w:rPr>
        <w:t xml:space="preserve"> Stacked Physics-Informed Meta-Ensemble (SPIME v4) Architecture showing Level 0 Base Learners and Level 1 RidgeCV Meta-Learner with 5-Fold OOF Stacking.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E78"/>
          <w:sz w:val="22"/>
        </w:rPr>
        <w:t>Figure 3.7:</w:t>
      </w:r>
      <w:r>
        <w:rPr>
          <w:rFonts w:ascii="Calibri" w:hAnsi="Calibri"/>
          <w:b w:val="0"/>
          <w:color w:val="282828"/>
          <w:sz w:val="22"/>
        </w:rPr>
        <w:t xml:space="preserve"> Chronological Train-Test and Unseen 6-Month Out-of-Sample Holdout Validation Partition Scheme.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E78"/>
          <w:sz w:val="22"/>
        </w:rPr>
        <w:t>Figure 4.1:</w:t>
      </w:r>
      <w:r>
        <w:rPr>
          <w:rFonts w:ascii="Calibri" w:hAnsi="Calibri"/>
          <w:b w:val="0"/>
          <w:color w:val="282828"/>
          <w:sz w:val="22"/>
        </w:rPr>
        <w:t xml:space="preserve"> Scatter Plot of Actual Teledyne T640 Reference PM₂.₅ vs. SPIME v4 Calibrated PM₂.₅ Predictions on 6-Month Unseen Holdout Data.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E78"/>
          <w:sz w:val="22"/>
        </w:rPr>
        <w:t>Figure 4.2:</w:t>
      </w:r>
      <w:r>
        <w:rPr>
          <w:rFonts w:ascii="Calibri" w:hAnsi="Calibri"/>
          <w:b w:val="0"/>
          <w:color w:val="282828"/>
          <w:sz w:val="22"/>
        </w:rPr>
        <w:t xml:space="preserve"> Time-Series Tracking of Calibrated PM₂.₅ Predictions against Ground Truth Reference Measurements (Subset).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E78"/>
          <w:sz w:val="22"/>
        </w:rPr>
        <w:t>Figure 4.3:</w:t>
      </w:r>
      <w:r>
        <w:rPr>
          <w:rFonts w:ascii="Calibri" w:hAnsi="Calibri"/>
          <w:b w:val="0"/>
          <w:color w:val="282828"/>
          <w:sz w:val="22"/>
        </w:rPr>
        <w:t xml:space="preserve"> Comparative Time-Series Prediction Performance: Multi-Layer Perceptron (MLP) Neural Network vs. Random Forest vs. SPIME v4 Meta-Ensemble.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E78"/>
          <w:sz w:val="22"/>
        </w:rPr>
        <w:t>Figure 4.4:</w:t>
      </w:r>
      <w:r>
        <w:rPr>
          <w:rFonts w:ascii="Calibri" w:hAnsi="Calibri"/>
          <w:b w:val="0"/>
          <w:color w:val="282828"/>
          <w:sz w:val="22"/>
        </w:rPr>
        <w:t xml:space="preserve"> Top 20 Feature Importance Rankings Extracted from SPIME v4 Base Estimators highlighting Köhler Physics and Thermodynamic Predictors.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E78"/>
          <w:sz w:val="22"/>
        </w:rPr>
        <w:t>Figure 4.5:</w:t>
      </w:r>
      <w:r>
        <w:rPr>
          <w:rFonts w:ascii="Calibri" w:hAnsi="Calibri"/>
          <w:b w:val="0"/>
          <w:color w:val="282828"/>
          <w:sz w:val="22"/>
        </w:rPr>
        <w:t xml:space="preserve"> Residual Error Histogram and Kernel Density Estimation (KDE) Distribution for the Calibrated SPIME v4 Model.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E78"/>
          <w:sz w:val="22"/>
        </w:rPr>
        <w:t>Figure 4.6:</w:t>
      </w:r>
      <w:r>
        <w:rPr>
          <w:rFonts w:ascii="Calibri" w:hAnsi="Calibri"/>
          <w:b w:val="0"/>
          <w:color w:val="282828"/>
          <w:sz w:val="22"/>
        </w:rPr>
        <w:t xml:space="preserve"> Quantile-Quantile (Q-Q) Plot of Standardized Calibration Residuals against Theoretical Normal Quantiles.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E78"/>
          <w:sz w:val="22"/>
        </w:rPr>
        <w:t>Figure 4.7:</w:t>
      </w:r>
      <w:r>
        <w:rPr>
          <w:rFonts w:ascii="Calibri" w:hAnsi="Calibri"/>
          <w:b w:val="0"/>
          <w:color w:val="282828"/>
          <w:sz w:val="22"/>
        </w:rPr>
        <w:t xml:space="preserve"> Homoscedasticity Diagnostic Plot: Calibration Model Residuals vs. Predicted PM₂.₅ Concentrations.</w:t>
      </w:r>
    </w:p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1F4E78"/>
          <w:sz w:val="32"/>
        </w:rPr>
        <w:t>LIST OF TABLES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E78"/>
          <w:sz w:val="22"/>
        </w:rPr>
        <w:t>Table 1.1:</w:t>
      </w:r>
      <w:r>
        <w:rPr>
          <w:rFonts w:ascii="Calibri" w:hAnsi="Calibri"/>
          <w:b w:val="0"/>
          <w:color w:val="282828"/>
          <w:sz w:val="22"/>
        </w:rPr>
        <w:t xml:space="preserve"> Comparison of Reference-Grade Regulatory Particulate Monitors and Low-Cost Optical Particle Counters.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E78"/>
          <w:sz w:val="22"/>
        </w:rPr>
        <w:t>Table 2.1:</w:t>
      </w:r>
      <w:r>
        <w:rPr>
          <w:rFonts w:ascii="Calibri" w:hAnsi="Calibri"/>
          <w:b w:val="0"/>
          <w:color w:val="282828"/>
          <w:sz w:val="22"/>
        </w:rPr>
        <w:t xml:space="preserve"> Summary of Literature on Machine Learning Calibration Algorithms for Low-Cost Air Quality Sensors (2017–2025).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E78"/>
          <w:sz w:val="22"/>
        </w:rPr>
        <w:t>Table 3.1:</w:t>
      </w:r>
      <w:r>
        <w:rPr>
          <w:rFonts w:ascii="Calibri" w:hAnsi="Calibri"/>
          <w:b w:val="0"/>
          <w:color w:val="282828"/>
          <w:sz w:val="22"/>
        </w:rPr>
        <w:t xml:space="preserve"> Technical Specifications and Measurement Parameters of the QuantAQ Modulair-PM (Unit MOD-PM-01068).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E78"/>
          <w:sz w:val="22"/>
        </w:rPr>
        <w:t>Table 3.2:</w:t>
      </w:r>
      <w:r>
        <w:rPr>
          <w:rFonts w:ascii="Calibri" w:hAnsi="Calibri"/>
          <w:b w:val="0"/>
          <w:color w:val="282828"/>
          <w:sz w:val="22"/>
        </w:rPr>
        <w:t xml:space="preserve"> Technical Specifications and Operating Parameters of the Teledyne API T640 Reference Monitor.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E78"/>
          <w:sz w:val="22"/>
        </w:rPr>
        <w:t>Table 3.3:</w:t>
      </w:r>
      <w:r>
        <w:rPr>
          <w:rFonts w:ascii="Calibri" w:hAnsi="Calibri"/>
          <w:b w:val="0"/>
          <w:color w:val="282828"/>
          <w:sz w:val="22"/>
        </w:rPr>
        <w:t xml:space="preserve"> Systematic Summary of the 75 Engineered Physics-Informed, Thermodynamic, and Cyclical Temporal Features.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E78"/>
          <w:sz w:val="22"/>
        </w:rPr>
        <w:t>Table 3.4:</w:t>
      </w:r>
      <w:r>
        <w:rPr>
          <w:rFonts w:ascii="Calibri" w:hAnsi="Calibri"/>
          <w:b w:val="0"/>
          <w:color w:val="282828"/>
          <w:sz w:val="22"/>
        </w:rPr>
        <w:t xml:space="preserve"> Optimal Hyperparameter Configurations for SPIME v4 Level 0 Base Estimators and Level 1 Meta-Learner.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E78"/>
          <w:sz w:val="22"/>
        </w:rPr>
        <w:t>Table 4.1:</w:t>
      </w:r>
      <w:r>
        <w:rPr>
          <w:rFonts w:ascii="Calibri" w:hAnsi="Calibri"/>
          <w:b w:val="0"/>
          <w:color w:val="282828"/>
          <w:sz w:val="22"/>
        </w:rPr>
        <w:t xml:space="preserve"> Comparative Performance Metrics on Out-of-Sample Holdout Data (3,468 Unseen Hourly Samples across 6 Models).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E78"/>
          <w:sz w:val="22"/>
        </w:rPr>
        <w:t>Table 4.2:</w:t>
      </w:r>
      <w:r>
        <w:rPr>
          <w:rFonts w:ascii="Calibri" w:hAnsi="Calibri"/>
          <w:b w:val="0"/>
          <w:color w:val="282828"/>
          <w:sz w:val="22"/>
        </w:rPr>
        <w:t xml:space="preserve"> Seasonal Performance Breakdown: Model Calibration Accuracy during Monsoon Wet Season vs. Harmattan Dry Season.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E78"/>
          <w:sz w:val="22"/>
        </w:rPr>
        <w:t>Table 4.3:</w:t>
      </w:r>
      <w:r>
        <w:rPr>
          <w:rFonts w:ascii="Calibri" w:hAnsi="Calibri"/>
          <w:b w:val="0"/>
          <w:color w:val="282828"/>
          <w:sz w:val="22"/>
        </w:rPr>
        <w:t xml:space="preserve"> Generalization and Overfitting Gap Diagnostics (R²_train - R²_test) across Linear, Neural, and Meta-Ensemble Paradigms.</w:t>
      </w:r>
    </w:p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1F4E78"/>
          <w:sz w:val="32"/>
        </w:rPr>
        <w:t>LIST OF ABBREVIATIONS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8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Abbreviation / Acronym</w:t>
            </w:r>
          </w:p>
        </w:tc>
        <w:tc>
          <w:tcPr>
            <w:tcW w:type="dxa" w:w="4680"/>
            <w:shd w:fill="1F4E78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Full Meaning / Description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Afri-SET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African Clean Air Technology Centre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AH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Absolute Humidity (g/m³)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AI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Artificial Intelligence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ANN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Artificial Neural Network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API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Advanced Pollution Instrumentation / Application Programming Interface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BAM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Beta Attenuation Monitor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CO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Carbon Monoxide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COPD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Chronic Obstructive Pulmonary Disease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CV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Cross-Validation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DRH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Deliquescence Relative Humidity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EPA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Environmental Protection Agency (United States)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ET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ExtraTrees (Extremely Randomized Trees)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EWMA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Exponentially Weighted Moving Average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FEM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Federal Equivalent Method (US EPA)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FRM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Federal Reference Method (US EPA)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GBDT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Gradient Boosted Decision Trees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HistGB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Histogram-Based Gradient Boosting Regressor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IQR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Interquartile Range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KDE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Kernel Density Estimation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LCS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Low-Cost Sensor(s)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LED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Light Emitting Diode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LightGBM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Light Gradient Boosting Machine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LLM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Large Language Model / Deep Neural LLM Regressor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MAE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Mean Absolute Error (µg/m³)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ML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Machine Learning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MLP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Multi-Layer Perceptron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MLR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Multiple Linear Regression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MOD-PM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Modulair Particulate Matter Sensor Unit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MSE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Mean Squared Error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NO₂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Nitrogen Dioxide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NOₓ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Nitrogen Oxides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O₃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Ozone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OOF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Out-of-Fold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OPC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Optical Particle Counter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PM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Particulate Matter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PM₁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Particulate Matter with aerodynamic diameter ≤ 1.0 µm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PM₂.₅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Particulate Matter with aerodynamic diameter ≤ 2.5 µm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PM₁₀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Particulate Matter with aerodynamic diameter ≤ 10 µm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Q-Q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Quantile-Quantile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Q1 / Q3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First Quartile (25th percentile) / Third Quartile (75th percentile)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R²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Coefficient of Determination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RF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Random Forest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RH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Relative Humidity (%)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RidgeCV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Ridge Regression with Built-in Cross-Validation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RMSE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Root Mean Squared Error (µg/m³)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SLR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Simple Linear Regression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SPIME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Stacked Physics-Informed Meta-Ensemble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SSA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Sub-Saharan Africa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T_dew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Dew Point Temperature (°C)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UTC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Coordinated Universal Time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VPD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Vapor Pressure Deficit (kPa)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WHO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color w:val="282828"/>
                <w:sz w:val="20"/>
              </w:rPr>
              <w:t>World Health Organization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F4E78"/>
                <w:sz w:val="20"/>
              </w:rPr>
              <w:t>XGBoost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color w:val="282828"/>
                <w:sz w:val="20"/>
              </w:rPr>
              <w:t>Extreme Gradient Boosting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