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160"/>
      </w:pPr>
      <w:bookmarkStart w:id="501" w:name="chap1"/>
      <w:bookmarkEnd w:id="501"/>
      <w:r>
        <w:rPr>
          <w:rFonts w:ascii="Times New Roman" w:hAnsi="Times New Roman"/>
          <w:b/>
          <w:i w:val="0"/>
          <w:rFonts w:ascii="Times New Roman" w:hAnsi="Times New Roman" w:cs="Times New Roman"/>
          <w:color w:val="1F4E78"/>
          <w:sz w:val="36"/>
        </w:rPr>
        <w:t>CHAPTER 1: INTRODUCTION</w:t>
      </w:r>
    </w:p>
    <w:p>
      <w:pPr>
        <w:keepNext/>
        <w:spacing w:before="280" w:after="120"/>
      </w:pPr>
      <w:bookmarkStart w:id="502" w:name="sec_1_1"/>
      <w:bookmarkEnd w:id="502"/>
      <w:r>
        <w:rPr>
          <w:rFonts w:ascii="Times New Roman" w:hAnsi="Times New Roman"/>
          <w:b/>
          <w:i w:val="0"/>
          <w:rFonts w:ascii="Times New Roman" w:hAnsi="Times New Roman" w:cs="Times New Roman"/>
          <w:color w:val="2F5597"/>
          <w:sz w:val="28"/>
        </w:rPr>
        <w:t>1.1 Background and Motivation</w:t>
      </w:r>
    </w:p>
    <w:p>
      <w:pPr>
        <w:spacing w:before="0" w:after="120" w:line="288" w:lineRule="auto"/>
      </w:pPr>
      <w:r>
        <w:rPr>
          <w:rFonts w:ascii="Times New Roman" w:hAnsi="Times New Roman"/>
          <w:b w:val="0"/>
          <w:i w:val="0"/>
          <w:rFonts w:ascii="Times New Roman" w:hAnsi="Times New Roman" w:cs="Times New Roman"/>
          <w:color w:val="282828"/>
          <w:sz w:val="22"/>
        </w:rPr>
        <w:t xml:space="preserve">Ambient air pollution constitutes one of the most severe public health crises of the twenty-first century, contributing to an estimated 6.7 million premature deaths globally each year </w:t>
      </w:r>
      <w:hyperlink w:anchor="ref_who2021" w:history="1">
        <w:r>
          <w:rPr>
            <w:color w:val="0563C1"/>
            <w:u w:val="single"/>
            <w:sz w:val="22"/>
            <w:rFonts w:ascii="Times New Roman" w:hAnsi="Times New Roman" w:cs="Times New Roman"/>
          </w:rPr>
          <w:t xml:space="preserve">(World Health Organization, 2021)</w:t>
        </w:r>
      </w:hyperlink>
      <w:r>
        <w:rPr>
          <w:rFonts w:ascii="Times New Roman" w:hAnsi="Times New Roman"/>
          <w:b w:val="0"/>
          <w:i w:val="0"/>
          <w:rFonts w:ascii="Times New Roman" w:hAnsi="Times New Roman" w:cs="Times New Roman"/>
          <w:color w:val="282828"/>
          <w:sz w:val="22"/>
        </w:rPr>
        <w:t xml:space="preserve">. Among various airborne contaminants, fine particulate matter with an aerodynamic diameter equal to or less than 2.5 micrometers (PM2.5) represents the most hazardous pollutant to human physiology. Because of its microscopic aerodynamic dimensions, PM2.5 can bypass the upper respiratory defenses of the nasal cavity, penetrate deeply into the pulmonary alveoli, and translocate directly into the systemic bloodstream </w:t>
      </w:r>
      <w:hyperlink w:anchor="ref_mauderly2008" w:history="1">
        <w:r>
          <w:rPr>
            <w:color w:val="0563C1"/>
            <w:u w:val="single"/>
            <w:sz w:val="22"/>
            <w:rFonts w:ascii="Times New Roman" w:hAnsi="Times New Roman" w:cs="Times New Roman"/>
          </w:rPr>
          <w:t xml:space="preserve">(Mauderly &amp; Chow, 2008)</w:t>
        </w:r>
      </w:hyperlink>
      <w:r>
        <w:rPr>
          <w:rFonts w:ascii="Times New Roman" w:hAnsi="Times New Roman"/>
          <w:b w:val="0"/>
          <w:i w:val="0"/>
          <w:rFonts w:ascii="Times New Roman" w:hAnsi="Times New Roman" w:cs="Times New Roman"/>
          <w:color w:val="282828"/>
          <w:sz w:val="22"/>
        </w:rPr>
        <w:t>. Long-term inhalation of elevated PM2.5 concentrations is epidemiologically linked to ischemic heart disease, stroke, chronic obstructive pulmonary disease (COPD), lung carcinoma, and acute lower respiratory infections in young children.</w:t>
      </w:r>
    </w:p>
    <w:p>
      <w:pPr>
        <w:spacing w:before="0" w:after="120" w:line="288" w:lineRule="auto"/>
      </w:pPr>
      <w:r>
        <w:rPr>
          <w:rFonts w:ascii="Times New Roman" w:hAnsi="Times New Roman"/>
          <w:b w:val="0"/>
          <w:i w:val="0"/>
          <w:rFonts w:ascii="Times New Roman" w:hAnsi="Times New Roman" w:cs="Times New Roman"/>
          <w:color w:val="282828"/>
          <w:sz w:val="22"/>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ref_desouza2017" w:history="1">
        <w:r>
          <w:rPr>
            <w:color w:val="0563C1"/>
            <w:u w:val="single"/>
            <w:sz w:val="22"/>
            <w:rFonts w:ascii="Times New Roman" w:hAnsi="Times New Roman" w:cs="Times New Roman"/>
          </w:rPr>
          <w:t xml:space="preserve">(DeSouza et al., 2017)</w:t>
        </w:r>
      </w:hyperlink>
      <w:r>
        <w:rPr>
          <w:rFonts w:ascii="Times New Roman" w:hAnsi="Times New Roman"/>
          <w:b w:val="0"/>
          <w:i w:val="0"/>
          <w:rFonts w:ascii="Times New Roman" w:hAnsi="Times New Roman" w:cs="Times New Roman"/>
          <w:color w:val="282828"/>
          <w:sz w:val="22"/>
        </w:rPr>
        <w:t xml:space="preserve">. Establishing and maintaining conventional regulatory reference stations—such as Beta Attenuation Monitors (BAM) or broad-spectrum optical spectroscopy systems like the Teledyne API T640—demands prohibitive capital expenditures exceeding </w:t>
      </w:r>
      <w:r>
        <w:rPr>
          <w:rFonts w:ascii="Cambria Math" w:hAnsi="Cambria Math"/>
          <w:b w:val="0"/>
          <w:i w:val="0"/>
          <w:rFonts w:ascii="Cambria Math" w:hAnsi="Cambria Math" w:cs="Cambria Math"/>
          <w:color w:val="282828"/>
          <w:sz w:val="22"/>
        </w:rPr>
        <w:t xml:space="preserve">20,000 to </w:t>
      </w:r>
      <w:r>
        <w:rPr>
          <w:rFonts w:ascii="Times New Roman" w:hAnsi="Times New Roman"/>
          <w:b w:val="0"/>
          <w:i w:val="0"/>
          <w:rFonts w:ascii="Times New Roman" w:hAnsi="Times New Roman" w:cs="Times New Roman"/>
          <w:color w:val="282828"/>
          <w:sz w:val="22"/>
        </w:rPr>
        <w:t>35,000 per unit,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pPr>
        <w:spacing w:before="0" w:after="120" w:line="288" w:lineRule="auto"/>
      </w:pPr>
      <w:r>
        <w:rPr>
          <w:rFonts w:ascii="Times New Roman" w:hAnsi="Times New Roman"/>
          <w:b w:val="0"/>
          <w:i w:val="0"/>
          <w:rFonts w:ascii="Times New Roman" w:hAnsi="Times New Roman" w:cs="Times New Roman"/>
          <w:color w:val="282828"/>
          <w:sz w:val="22"/>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hAnsi="Cambria Math"/>
          <w:b w:val="0"/>
          <w:i w:val="0"/>
          <w:rFonts w:ascii="Cambria Math" w:hAnsi="Cambria Math" w:cs="Cambria Math"/>
          <w:color w:val="282828"/>
          <w:sz w:val="22"/>
        </w:rPr>
        <w:t xml:space="preserve">200 to </w:t>
      </w:r>
      <w:r>
        <w:rPr>
          <w:rFonts w:ascii="Times New Roman" w:hAnsi="Times New Roman"/>
          <w:b w:val="0"/>
          <w:i w:val="0"/>
          <w:rFonts w:ascii="Times New Roman" w:hAnsi="Times New Roman" w:cs="Times New Roman"/>
          <w:color w:val="282828"/>
          <w:sz w:val="22"/>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ref_hagan2019" w:history="1">
        <w:r>
          <w:rPr>
            <w:color w:val="0563C1"/>
            <w:u w:val="single"/>
            <w:sz w:val="22"/>
            <w:rFonts w:ascii="Times New Roman" w:hAnsi="Times New Roman" w:cs="Times New Roman"/>
          </w:rPr>
          <w:t xml:space="preserve">(Hagan et al., 2019)</w:t>
        </w:r>
      </w:hyperlink>
      <w:r>
        <w:rPr>
          <w:rFonts w:ascii="Times New Roman" w:hAnsi="Times New Roman"/>
          <w:b w:val="0"/>
          <w:i w:val="0"/>
          <w:rFonts w:ascii="Times New Roman" w:hAnsi="Times New Roman" w:cs="Times New Roman"/>
          <w:color w:val="282828"/>
          <w:sz w:val="22"/>
        </w:rPr>
        <w:t>.</w:t>
      </w:r>
    </w:p>
    <w:p>
      <w:pPr>
        <w:spacing w:before="0" w:after="120" w:line="288" w:lineRule="auto"/>
      </w:pPr>
      <w:r>
        <w:rPr>
          <w:rFonts w:ascii="Times New Roman" w:hAnsi="Times New Roman"/>
          <w:b w:val="0"/>
          <w:i w:val="0"/>
          <w:rFonts w:ascii="Times New Roman" w:hAnsi="Times New Roman" w:cs="Times New Roman"/>
          <w:color w:val="282828"/>
          <w:sz w:val="22"/>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ref_crilley2018" w:history="1">
        <w:r>
          <w:rPr>
            <w:color w:val="0563C1"/>
            <w:u w:val="single"/>
            <w:sz w:val="22"/>
            <w:rFonts w:ascii="Times New Roman" w:hAnsi="Times New Roman" w:cs="Times New Roman"/>
          </w:rPr>
          <w:t xml:space="preserve">(Crilley et al., 2018)</w:t>
        </w:r>
      </w:hyperlink>
      <w:r>
        <w:rPr>
          <w:rFonts w:ascii="Times New Roman" w:hAnsi="Times New Roman"/>
          <w:b w:val="0"/>
          <w:i w:val="0"/>
          <w:rFonts w:ascii="Times New Roman" w:hAnsi="Times New Roman" w:cs="Times New Roman"/>
          <w:color w:val="282828"/>
          <w:sz w:val="22"/>
        </w:rPr>
        <w:t>. In real-world ambient atmospheres, these mathematical assumptions break down due to three primary environmental interferences:</w:t>
      </w:r>
    </w:p>
    <w:p>
      <w:pPr>
        <w:pStyle w:val="ListBullet"/>
        <w:spacing w:before="20" w:after="60" w:line="276" w:lineRule="auto"/>
      </w:pPr>
      <w:r>
        <w:rPr>
          <w:rFonts w:ascii="Times New Roman" w:hAnsi="Times New Roman"/>
          <w:b/>
          <w:i w:val="0"/>
          <w:rFonts w:ascii="Times New Roman" w:hAnsi="Times New Roman" w:cs="Times New Roman"/>
          <w:color w:val="282828"/>
          <w:sz w:val="22"/>
        </w:rPr>
        <w:t>Hygroscopic Aerosol Growth under Elevated Relative Humidity:</w:t>
      </w:r>
      <w:r>
        <w:rPr>
          <w:rFonts w:ascii="Times New Roman" w:hAnsi="Times New Roman"/>
          <w:b w:val="0"/>
          <w:i w:val="0"/>
          <w:rFonts w:ascii="Times New Roman" w:hAnsi="Times New Roman" w:cs="Times New Roman"/>
          <w:color w:val="282828"/>
          <w:sz w:val="22"/>
        </w:rPr>
        <w:t xml:space="preserve"> Tropical ambient moisture causes soluble aerosol particles to absorb water and swell in size once relative humidity exceeds the Deliquescence Relative Humidity (DRH) threshold (70%–80%). Optical sensors interpret these water-swollen droplets as larger solid particles, drastically overestimating dry particulate mass concentrations (Di Antonio et al., 2018; Pope et al., 2018).</w:t>
      </w:r>
    </w:p>
    <w:p>
      <w:pPr>
        <w:pStyle w:val="ListBullet"/>
        <w:spacing w:before="20" w:after="60" w:line="276" w:lineRule="auto"/>
      </w:pPr>
      <w:r>
        <w:rPr>
          <w:rFonts w:ascii="Times New Roman" w:hAnsi="Times New Roman"/>
          <w:b/>
          <w:i w:val="0"/>
          <w:rFonts w:ascii="Times New Roman" w:hAnsi="Times New Roman" w:cs="Times New Roman"/>
          <w:color w:val="282828"/>
          <w:sz w:val="22"/>
        </w:rPr>
        <w:t>Aerosol Composition Transitions during Saharan Harmattan Winds:</w:t>
      </w:r>
      <w:r>
        <w:rPr>
          <w:rFonts w:ascii="Times New Roman" w:hAnsi="Times New Roman"/>
          <w:b w:val="0"/>
          <w:i w:val="0"/>
          <w:rFonts w:ascii="Times New Roman" w:hAnsi="Times New Roman" w:cs="Times New Roman"/>
          <w:color w:val="282828"/>
          <w:sz w:val="22"/>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pPr>
        <w:pStyle w:val="ListBullet"/>
        <w:spacing w:before="20" w:after="60" w:line="276" w:lineRule="auto"/>
      </w:pPr>
      <w:r>
        <w:rPr>
          <w:rFonts w:ascii="Times New Roman" w:hAnsi="Times New Roman"/>
          <w:b/>
          <w:i w:val="0"/>
          <w:rFonts w:ascii="Times New Roman" w:hAnsi="Times New Roman" w:cs="Times New Roman"/>
          <w:color w:val="282828"/>
          <w:sz w:val="22"/>
        </w:rPr>
        <w:t>Physical Sensor Aging and Baseline Drift:</w:t>
      </w:r>
      <w:r>
        <w:rPr>
          <w:rFonts w:ascii="Times New Roman" w:hAnsi="Times New Roman"/>
          <w:b w:val="0"/>
          <w:i w:val="0"/>
          <w:rFonts w:ascii="Times New Roman" w:hAnsi="Times New Roman" w:cs="Times New Roman"/>
          <w:color w:val="282828"/>
          <w:sz w:val="22"/>
        </w:rPr>
        <w:t xml:space="preserve"> Extended field deployment leads to optical degradation, photodiode sensitivity decay, dust accumulation on optical flow chambers, and sampling fan degradation, causing gradual baseline calibration drift </w:t>
      </w:r>
      <w:hyperlink w:anchor="ref_feenstra2019" w:history="1">
        <w:r>
          <w:rPr>
            <w:color w:val="0563C1"/>
            <w:u w:val="single"/>
            <w:sz w:val="22"/>
            <w:rFonts w:ascii="Times New Roman" w:hAnsi="Times New Roman" w:cs="Times New Roman"/>
          </w:rPr>
          <w:t xml:space="preserve">(Feenstra et al., 2019)</w:t>
        </w:r>
      </w:hyperlink>
      <w:r>
        <w:rPr>
          <w:rFonts w:ascii="Times New Roman" w:hAnsi="Times New Roman"/>
          <w:b w:val="0"/>
          <w:i w:val="0"/>
          <w:rFonts w:ascii="Times New Roman" w:hAnsi="Times New Roman" w:cs="Times New Roman"/>
          <w:color w:val="282828"/>
          <w:sz w:val="22"/>
        </w:rPr>
        <w:t>.</w:t>
      </w:r>
    </w:p>
    <w:p>
      <w:pPr>
        <w:spacing w:before="0" w:after="120" w:line="288" w:lineRule="auto"/>
      </w:pPr>
      <w:r>
        <w:rPr>
          <w:rFonts w:ascii="Times New Roman" w:hAnsi="Times New Roman"/>
          <w:b w:val="0"/>
          <w:i w:val="0"/>
          <w:rFonts w:ascii="Times New Roman" w:hAnsi="Times New Roman" w:cs="Times New Roman"/>
          <w:color w:val="282828"/>
          <w:sz w:val="22"/>
        </w:rPr>
        <w:t>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correcting low-cost sensor data to reference-grade standards (Zimmerman et al., 2018; Malings et al., 2019; Lim et al., 2021).</w:t>
      </w:r>
    </w:p>
    <w:p>
      <w:pPr>
        <w:keepNext/>
        <w:spacing w:before="280" w:after="120"/>
      </w:pPr>
      <w:bookmarkStart w:id="503" w:name="sec_1_2"/>
      <w:bookmarkEnd w:id="503"/>
      <w:r>
        <w:rPr>
          <w:rFonts w:ascii="Times New Roman" w:hAnsi="Times New Roman"/>
          <w:b/>
          <w:i w:val="0"/>
          <w:rFonts w:ascii="Times New Roman" w:hAnsi="Times New Roman" w:cs="Times New Roman"/>
          <w:color w:val="2F5597"/>
          <w:sz w:val="28"/>
        </w:rPr>
        <w:t>1.2 Air Quality Challenges in Sub-Saharan Africa and West Africa</w:t>
      </w:r>
    </w:p>
    <w:p>
      <w:pPr>
        <w:spacing w:before="0" w:after="120" w:line="288" w:lineRule="auto"/>
      </w:pPr>
      <w:r>
        <w:rPr>
          <w:rFonts w:ascii="Times New Roman" w:hAnsi="Times New Roman"/>
          <w:b w:val="0"/>
          <w:i w:val="0"/>
          <w:rFonts w:ascii="Times New Roman" w:hAnsi="Times New Roman" w:cs="Times New Roman"/>
          <w:color w:val="282828"/>
          <w:sz w:val="22"/>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ref_appoh2020" w:history="1">
        <w:r>
          <w:rPr>
            <w:color w:val="0563C1"/>
            <w:u w:val="single"/>
            <w:sz w:val="22"/>
            <w:rFonts w:ascii="Times New Roman" w:hAnsi="Times New Roman" w:cs="Times New Roman"/>
          </w:rPr>
          <w:t xml:space="preserve">(Appoh et al., 2020)</w:t>
        </w:r>
      </w:hyperlink>
      <w:r>
        <w:rPr>
          <w:rFonts w:ascii="Times New Roman" w:hAnsi="Times New Roman"/>
          <w:b w:val="0"/>
          <w:i w:val="0"/>
          <w:rFonts w:ascii="Times New Roman" w:hAnsi="Times New Roman" w:cs="Times New Roman"/>
          <w:color w:val="282828"/>
          <w:sz w:val="22"/>
        </w:rPr>
        <w:t>:</w:t>
      </w:r>
    </w:p>
    <w:p>
      <w:pPr>
        <w:pStyle w:val="ListBullet"/>
        <w:spacing w:before="20" w:after="60" w:line="276" w:lineRule="auto"/>
      </w:pPr>
      <w:r>
        <w:rPr>
          <w:rFonts w:ascii="Times New Roman" w:hAnsi="Times New Roman"/>
          <w:b/>
          <w:i w:val="0"/>
          <w:rFonts w:ascii="Times New Roman" w:hAnsi="Times New Roman" w:cs="Times New Roman"/>
          <w:color w:val="282828"/>
          <w:sz w:val="22"/>
        </w:rPr>
        <w:t>Intense Anthropogenic Emissions:</w:t>
      </w:r>
      <w:r>
        <w:rPr>
          <w:rFonts w:ascii="Times New Roman" w:hAnsi="Times New Roman"/>
          <w:b w:val="0"/>
          <w:i w:val="0"/>
          <w:rFonts w:ascii="Times New Roman" w:hAnsi="Times New Roman" w:cs="Times New Roman"/>
          <w:color w:val="282828"/>
          <w:sz w:val="22"/>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pPr>
        <w:pStyle w:val="ListBullet"/>
        <w:spacing w:before="20" w:after="60" w:line="276" w:lineRule="auto"/>
      </w:pPr>
      <w:r>
        <w:rPr>
          <w:rFonts w:ascii="Times New Roman" w:hAnsi="Times New Roman"/>
          <w:b/>
          <w:i w:val="0"/>
          <w:rFonts w:ascii="Times New Roman" w:hAnsi="Times New Roman" w:cs="Times New Roman"/>
          <w:color w:val="282828"/>
          <w:sz w:val="22"/>
        </w:rPr>
        <w:t>Seasonal Saharan Mineral Dust Incursions:</w:t>
      </w:r>
      <w:r>
        <w:rPr>
          <w:rFonts w:ascii="Times New Roman" w:hAnsi="Times New Roman"/>
          <w:b w:val="0"/>
          <w:i w:val="0"/>
          <w:rFonts w:ascii="Times New Roman" w:hAnsi="Times New Roman" w:cs="Times New Roman"/>
          <w:color w:val="282828"/>
          <w:sz w:val="22"/>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pPr>
        <w:pStyle w:val="ListBullet"/>
        <w:spacing w:before="20" w:after="60" w:line="276" w:lineRule="auto"/>
      </w:pPr>
      <w:r>
        <w:rPr>
          <w:rFonts w:ascii="Times New Roman" w:hAnsi="Times New Roman"/>
          <w:b/>
          <w:i w:val="0"/>
          <w:rFonts w:ascii="Times New Roman" w:hAnsi="Times New Roman" w:cs="Times New Roman"/>
          <w:color w:val="282828"/>
          <w:sz w:val="22"/>
        </w:rPr>
        <w:t>Tropical Monsoon Humidity and Washout Dynamics:</w:t>
      </w:r>
      <w:r>
        <w:rPr>
          <w:rFonts w:ascii="Times New Roman" w:hAnsi="Times New Roman"/>
          <w:b w:val="0"/>
          <w:i w:val="0"/>
          <w:rFonts w:ascii="Times New Roman" w:hAnsi="Times New Roman" w:cs="Times New Roman"/>
          <w:color w:val="282828"/>
          <w:sz w:val="22"/>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pPr>
        <w:spacing w:before="0" w:after="120" w:line="288" w:lineRule="auto"/>
      </w:pPr>
      <w:r>
        <w:rPr>
          <w:rFonts w:ascii="Times New Roman" w:hAnsi="Times New Roman"/>
          <w:b w:val="0"/>
          <w:i w:val="0"/>
          <w:rFonts w:ascii="Times New Roman" w:hAnsi="Times New Roman" w:cs="Times New Roman"/>
          <w:color w:val="282828"/>
          <w:sz w:val="22"/>
        </w:rPr>
        <w:t>Standard factory calibration algorithms supplied by low-cost sensor manufacturers are developed in temperate European or North American laboratory chambers under low-humidity conditions and combustion-dominated aerosol regimes. When these factory models are deployed in the high-humidity, high-dust conditions of Accra, they fail catastrophically, exhibiting negative correlation coefficients (R² &lt; 0) and systematic measurement biases exceeding 100% (Westervelt et al., 2019; Maclean et al., 2021).</w:t>
      </w:r>
    </w:p>
    <w:p>
      <w:pPr>
        <w:keepNext/>
        <w:spacing w:before="280" w:after="120"/>
      </w:pPr>
      <w:bookmarkStart w:id="504" w:name="sec_1_3"/>
      <w:bookmarkEnd w:id="504"/>
      <w:r>
        <w:rPr>
          <w:rFonts w:ascii="Times New Roman" w:hAnsi="Times New Roman"/>
          <w:b/>
          <w:i w:val="0"/>
          <w:rFonts w:ascii="Times New Roman" w:hAnsi="Times New Roman" w:cs="Times New Roman"/>
          <w:color w:val="2F5597"/>
          <w:sz w:val="28"/>
        </w:rPr>
        <w:t>1.3 The Afri-SET Initiative and the Modulair-PM Project</w:t>
      </w:r>
    </w:p>
    <w:p>
      <w:pPr>
        <w:spacing w:before="0" w:after="120" w:line="288" w:lineRule="auto"/>
      </w:pPr>
      <w:r>
        <w:rPr>
          <w:rFonts w:ascii="Times New Roman" w:hAnsi="Times New Roman"/>
          <w:b w:val="0"/>
          <w:i w:val="0"/>
          <w:rFonts w:ascii="Times New Roman" w:hAnsi="Times New Roman" w:cs="Times New Roman"/>
          <w:color w:val="282828"/>
          <w:sz w:val="22"/>
        </w:rPr>
        <w:t xml:space="preserve">This research is embedded within the experimental operations of the </w:t>
      </w:r>
      <w:r>
        <w:rPr>
          <w:rFonts w:ascii="Times New Roman" w:hAnsi="Times New Roman"/>
          <w:b/>
          <w:i w:val="0"/>
          <w:rFonts w:ascii="Times New Roman" w:hAnsi="Times New Roman" w:cs="Times New Roman"/>
          <w:color w:val="282828"/>
          <w:sz w:val="22"/>
        </w:rPr>
        <w:t>African Clean Air Technology Centre (Afri-SET)</w:t>
      </w:r>
      <w:r>
        <w:rPr>
          <w:rFonts w:ascii="Times New Roman" w:hAnsi="Times New Roman"/>
          <w:b w:val="0"/>
          <w:i w:val="0"/>
          <w:rFonts w:ascii="Times New Roman" w:hAnsi="Times New Roman" w:cs="Times New Roman"/>
          <w:color w:val="282828"/>
          <w:sz w:val="22"/>
        </w:rPr>
        <w:t>, situated at the Department of Physics, University of Ghana, Legon, Accra. Afri-SET serves as the premier regional testing and calibration hub in West Africa, dedicated to evaluating candidate low-cost environmental sensing technologies under authentic Sub-Saharan meteorological and atmospheric conditions.</w:t>
      </w:r>
    </w:p>
    <w:p>
      <w:pPr>
        <w:spacing w:before="0" w:after="120" w:line="288" w:lineRule="auto"/>
      </w:pPr>
      <w:r>
        <w:rPr>
          <w:rFonts w:ascii="Times New Roman" w:hAnsi="Times New Roman"/>
          <w:b w:val="0"/>
          <w:i w:val="0"/>
          <w:rFonts w:ascii="Times New Roman" w:hAnsi="Times New Roman" w:cs="Times New Roman"/>
          <w:color w:val="282828"/>
          <w:sz w:val="22"/>
        </w:rPr>
        <w:t xml:space="preserve">The core experimental platform at Afri-SET co-locates candidate low-cost monitoring units with US EPA Federal Equivalent Method (FEM) reference-grade instrumentation. In this study, we investigate the </w:t>
      </w:r>
      <w:r>
        <w:rPr>
          <w:rFonts w:ascii="Times New Roman" w:hAnsi="Times New Roman"/>
          <w:b/>
          <w:i w:val="0"/>
          <w:rFonts w:ascii="Times New Roman" w:hAnsi="Times New Roman" w:cs="Times New Roman"/>
          <w:color w:val="282828"/>
          <w:sz w:val="22"/>
        </w:rPr>
        <w:t>QuantAQ Modulair-PM</w:t>
      </w:r>
      <w:r>
        <w:rPr>
          <w:rFonts w:ascii="Times New Roman" w:hAnsi="Times New Roman"/>
          <w:b w:val="0"/>
          <w:i w:val="0"/>
          <w:rFonts w:ascii="Times New Roman" w:hAnsi="Times New Roman" w:cs="Times New Roman"/>
          <w:color w:val="282828"/>
          <w:sz w:val="22"/>
        </w:rPr>
        <w:t xml:space="preserve"> (sensor unit </w:t>
      </w:r>
      <w:r>
        <w:rPr>
          <w:rFonts w:ascii="Consolas" w:hAnsi="Consolas"/>
          <w:b w:val="0"/>
          <w:i w:val="0"/>
          <w:rFonts w:ascii="Consolas" w:hAnsi="Consolas" w:cs="Consolas"/>
          <w:color w:val="282828"/>
          <w:sz w:val="20"/>
        </w:rPr>
        <w:t>MOD-PM-01068</w:t>
      </w:r>
      <w:r>
        <w:rPr>
          <w:rFonts w:ascii="Times New Roman" w:hAnsi="Times New Roman"/>
          <w:b w:val="0"/>
          <w:i w:val="0"/>
          <w:rFonts w:ascii="Times New Roman" w:hAnsi="Times New Roman" w:cs="Times New Roman"/>
          <w:color w:val="282828"/>
          <w:sz w:val="22"/>
        </w:rPr>
        <w:t xml:space="preserve">), an advanced low-cost ambient air quality monitor incorporating an Alphasense OPC-N3 optical particle counter alongside precision relative humidity, temperature, and atmospheric pressure sensors. Co-located adjacent to a </w:t>
      </w:r>
      <w:r>
        <w:rPr>
          <w:rFonts w:ascii="Times New Roman" w:hAnsi="Times New Roman"/>
          <w:b/>
          <w:i w:val="0"/>
          <w:rFonts w:ascii="Times New Roman" w:hAnsi="Times New Roman" w:cs="Times New Roman"/>
          <w:color w:val="282828"/>
          <w:sz w:val="22"/>
        </w:rPr>
        <w:t>Teledyne API T640</w:t>
      </w:r>
      <w:r>
        <w:rPr>
          <w:rFonts w:ascii="Times New Roman" w:hAnsi="Times New Roman"/>
          <w:b w:val="0"/>
          <w:i w:val="0"/>
          <w:rFonts w:ascii="Times New Roman" w:hAnsi="Times New Roman" w:cs="Times New Roman"/>
          <w:color w:val="282828"/>
          <w:sz w:val="22"/>
        </w:rPr>
        <w:t xml:space="preserve"> continuous particulate spectrometer, a high-resolution hourly dataset spanning the years 2024 to 2025 was curated. This multi-season dataset captures the complete atmospheric spectrum of West Africa—from severe Saharan dust episodes to monsoon humidity surges—providing an empirical foundation for training physics-informed machine learning models.</w:t>
      </w:r>
    </w:p>
    <w:p>
      <w:pPr>
        <w:keepNext/>
        <w:spacing w:before="280" w:after="120"/>
      </w:pPr>
      <w:bookmarkStart w:id="505" w:name="sec_1_4"/>
      <w:bookmarkEnd w:id="505"/>
      <w:r>
        <w:rPr>
          <w:rFonts w:ascii="Times New Roman" w:hAnsi="Times New Roman"/>
          <w:b/>
          <w:i w:val="0"/>
          <w:rFonts w:ascii="Times New Roman" w:hAnsi="Times New Roman" w:cs="Times New Roman"/>
          <w:color w:val="2F5597"/>
          <w:sz w:val="28"/>
        </w:rPr>
        <w:t>1.4 Problem Statement</w:t>
      </w:r>
    </w:p>
    <w:p>
      <w:pPr>
        <w:spacing w:before="0" w:after="120" w:line="288" w:lineRule="auto"/>
      </w:pPr>
      <w:r>
        <w:rPr>
          <w:rFonts w:ascii="Times New Roman" w:hAnsi="Times New Roman"/>
          <w:b w:val="0"/>
          <w:i w:val="0"/>
          <w:rFonts w:ascii="Times New Roman" w:hAnsi="Times New Roman" w:cs="Times New Roman"/>
          <w:color w:val="282828"/>
          <w:sz w:val="22"/>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pPr>
        <w:keepNext/>
        <w:spacing w:before="280" w:after="120"/>
      </w:pPr>
      <w:bookmarkStart w:id="506" w:name="sec_1_5"/>
      <w:bookmarkEnd w:id="506"/>
      <w:r>
        <w:rPr>
          <w:rFonts w:ascii="Times New Roman" w:hAnsi="Times New Roman"/>
          <w:b/>
          <w:i w:val="0"/>
          <w:rFonts w:ascii="Times New Roman" w:hAnsi="Times New Roman" w:cs="Times New Roman"/>
          <w:color w:val="2F5597"/>
          <w:sz w:val="28"/>
        </w:rPr>
        <w:t>1.5 Research Aim and Objectives</w:t>
      </w:r>
    </w:p>
    <w:p>
      <w:pPr>
        <w:spacing w:before="0" w:after="120" w:line="288" w:lineRule="auto"/>
      </w:pPr>
      <w:r>
        <w:rPr>
          <w:rFonts w:ascii="Times New Roman" w:hAnsi="Times New Roman"/>
          <w:b/>
          <w:i w:val="0"/>
          <w:rFonts w:ascii="Times New Roman" w:hAnsi="Times New Roman" w:cs="Times New Roman"/>
          <w:color w:val="282828"/>
          <w:sz w:val="22"/>
        </w:rPr>
        <w:t>Primary Aim:</w:t>
      </w:r>
      <w:r>
        <w:rPr>
          <w:rFonts w:ascii="Times New Roman" w:hAnsi="Times New Roman"/>
          <w:b w:val="0"/>
          <w:i w:val="0"/>
          <w:rFonts w:ascii="Times New Roman" w:hAnsi="Times New Roman" w:cs="Times New Roman"/>
          <w:color w:val="282828"/>
          <w:sz w:val="22"/>
        </w:rPr>
        <w:t xml:space="preserve"> To develop, evaluate, and deploy a physics-informed, non-overfitting machine learning calibration framework (SPIME v4) that corrects raw QuantAQ Modulair-PM sensor measurements to achieve regulatory reference-grade PM2.5 monitoring accuracy against a co-located FEM Teledyne API T640 monitor in Accra, Ghana.</w:t>
      </w:r>
    </w:p>
    <w:p>
      <w:pPr>
        <w:spacing w:before="0" w:after="120" w:line="288" w:lineRule="auto"/>
      </w:pPr>
      <w:r>
        <w:rPr>
          <w:rFonts w:ascii="Times New Roman" w:hAnsi="Times New Roman"/>
          <w:b/>
          <w:i w:val="0"/>
          <w:rFonts w:ascii="Times New Roman" w:hAnsi="Times New Roman" w:cs="Times New Roman"/>
          <w:color w:val="282828"/>
          <w:sz w:val="22"/>
        </w:rPr>
        <w:t>Specific Objectives:</w:t>
      </w:r>
    </w:p>
    <w:p>
      <w:pPr>
        <w:pStyle w:val="ListNumber"/>
        <w:spacing w:before="20" w:after="60" w:line="276" w:lineRule="auto"/>
      </w:pPr>
      <w:r>
        <w:rPr>
          <w:rFonts w:ascii="Times New Roman" w:hAnsi="Times New Roman"/>
          <w:b/>
          <w:i w:val="0"/>
          <w:rFonts w:ascii="Times New Roman" w:hAnsi="Times New Roman" w:cs="Times New Roman"/>
          <w:color w:val="282828"/>
          <w:sz w:val="22"/>
        </w:rPr>
        <w:t>Curate and Preprocess Co-located Database:</w:t>
      </w:r>
      <w:r>
        <w:rPr>
          <w:rFonts w:ascii="Times New Roman" w:hAnsi="Times New Roman"/>
          <w:b w:val="0"/>
          <w:i w:val="0"/>
          <w:rFonts w:ascii="Times New Roman" w:hAnsi="Times New Roman" w:cs="Times New Roman"/>
          <w:color w:val="282828"/>
          <w:sz w:val="22"/>
        </w:rPr>
        <w:t xml:space="preserve"> Synchronize, reindex, and quality-filter hourly particulate and meteorological measurements from the QuantAQ Modulair-PM sensor and Teledyne T640 reference monitor collected at the University of Ghana, Legon across 2024–2025.</w:t>
      </w:r>
    </w:p>
    <w:p>
      <w:pPr>
        <w:pStyle w:val="ListNumber"/>
        <w:spacing w:before="20" w:after="60" w:line="276" w:lineRule="auto"/>
      </w:pPr>
      <w:r>
        <w:rPr>
          <w:rFonts w:ascii="Times New Roman" w:hAnsi="Times New Roman"/>
          <w:b/>
          <w:i w:val="0"/>
          <w:rFonts w:ascii="Times New Roman" w:hAnsi="Times New Roman" w:cs="Times New Roman"/>
          <w:color w:val="282828"/>
          <w:sz w:val="22"/>
        </w:rPr>
        <w:t>Formulate Physics-Informed Features:</w:t>
      </w:r>
      <w:r>
        <w:rPr>
          <w:rFonts w:ascii="Times New Roman" w:hAnsi="Times New Roman"/>
          <w:b w:val="0"/>
          <w:i w:val="0"/>
          <w:rFonts w:ascii="Times New Roman" w:hAnsi="Times New Roman" w:cs="Times New Roman"/>
          <w:color w:val="282828"/>
          <w:sz w:val="22"/>
        </w:rPr>
        <w:t xml:space="preserve"> Engineer a comprehensive 75-dimensional feature space integrating multi-gamma empirical Köhler hygroscopic growth equations f(RH, γ), thermodynamic water mass parameters (Absolute Humidity, Vapor Pressure Deficit, Dew Point depression), multi-window EWMA time-series trends (1h to 24h), cyclical temporal harmonics, and regional Harmattan dust storm indicators.</w:t>
      </w:r>
    </w:p>
    <w:p>
      <w:pPr>
        <w:pStyle w:val="ListNumber"/>
        <w:spacing w:before="20" w:after="60" w:line="276" w:lineRule="auto"/>
      </w:pPr>
      <w:r>
        <w:rPr>
          <w:rFonts w:ascii="Times New Roman" w:hAnsi="Times New Roman"/>
          <w:b/>
          <w:i w:val="0"/>
          <w:rFonts w:ascii="Times New Roman" w:hAnsi="Times New Roman" w:cs="Times New Roman"/>
          <w:color w:val="282828"/>
          <w:sz w:val="22"/>
        </w:rPr>
        <w:t>Construct Stacked Meta-Ensemble Architecture (SPIME v4):</w:t>
      </w:r>
      <w:r>
        <w:rPr>
          <w:rFonts w:ascii="Times New Roman" w:hAnsi="Times New Roman"/>
          <w:b w:val="0"/>
          <w:i w:val="0"/>
          <w:rFonts w:ascii="Times New Roman" w:hAnsi="Times New Roman" w:cs="Times New Roman"/>
          <w:color w:val="282828"/>
          <w:sz w:val="22"/>
        </w:rPr>
        <w:t xml:space="preserve"> Develop a two-level calibration architecture combining four diverse base estimators (Random Forest, ExtraTrees, LightGBM, HistGradientBoosting) with 5-Fold out-of-fold cross-validated stacking and an L2-regularized RidgeCV meta-regressor.</w:t>
      </w:r>
    </w:p>
    <w:p>
      <w:pPr>
        <w:pStyle w:val="ListNumber"/>
        <w:spacing w:before="20" w:after="60" w:line="276" w:lineRule="auto"/>
      </w:pPr>
      <w:r>
        <w:rPr>
          <w:rFonts w:ascii="Times New Roman" w:hAnsi="Times New Roman"/>
          <w:b/>
          <w:i w:val="0"/>
          <w:rFonts w:ascii="Times New Roman" w:hAnsi="Times New Roman" w:cs="Times New Roman"/>
          <w:color w:val="282828"/>
          <w:sz w:val="22"/>
        </w:rPr>
        <w:t>Evaluate Generalization and Overfitting Elimination:</w:t>
      </w:r>
      <w:r>
        <w:rPr>
          <w:rFonts w:ascii="Times New Roman" w:hAnsi="Times New Roman"/>
          <w:b w:val="0"/>
          <w:i w:val="0"/>
          <w:rFonts w:ascii="Times New Roman" w:hAnsi="Times New Roman" w:cs="Times New Roman"/>
          <w:color w:val="282828"/>
          <w:sz w:val="22"/>
        </w:rPr>
        <w:t xml:space="preserve"> Validate calibration performance across chronological partitions and an unseen 6-month out-of-sample holdout dataset (3,468 hourly records), assessing R², MAE, RMSE, systematic bias, and generalization gap (R²_train - R²_test).</w:t>
      </w:r>
    </w:p>
    <w:p>
      <w:pPr>
        <w:pStyle w:val="ListNumber"/>
        <w:spacing w:before="20" w:after="60" w:line="276" w:lineRule="auto"/>
      </w:pPr>
      <w:r>
        <w:rPr>
          <w:rFonts w:ascii="Times New Roman" w:hAnsi="Times New Roman"/>
          <w:b/>
          <w:i w:val="0"/>
          <w:rFonts w:ascii="Times New Roman" w:hAnsi="Times New Roman" w:cs="Times New Roman"/>
          <w:color w:val="282828"/>
          <w:sz w:val="22"/>
        </w:rPr>
        <w:t>Conduct Residual Diagnostics and Feature Attribution:</w:t>
      </w:r>
      <w:r>
        <w:rPr>
          <w:rFonts w:ascii="Times New Roman" w:hAnsi="Times New Roman"/>
          <w:b w:val="0"/>
          <w:i w:val="0"/>
          <w:rFonts w:ascii="Times New Roman" w:hAnsi="Times New Roman" w:cs="Times New Roman"/>
          <w:color w:val="282828"/>
          <w:sz w:val="22"/>
        </w:rPr>
        <w:t xml:space="preserve"> Perform comprehensive error diagnostics (normality, Q-Q plots, homoscedasticity) and extract tree-based feature importances to quantify the physical drivers of optical sensor error correction.</w:t>
      </w:r>
    </w:p>
    <w:p>
      <w:pPr>
        <w:keepNext/>
        <w:spacing w:before="280" w:after="120"/>
      </w:pPr>
      <w:bookmarkStart w:id="507" w:name="sec_1_6"/>
      <w:bookmarkEnd w:id="507"/>
      <w:r>
        <w:rPr>
          <w:rFonts w:ascii="Times New Roman" w:hAnsi="Times New Roman"/>
          <w:b/>
          <w:i w:val="0"/>
          <w:rFonts w:ascii="Times New Roman" w:hAnsi="Times New Roman" w:cs="Times New Roman"/>
          <w:color w:val="2F5597"/>
          <w:sz w:val="28"/>
        </w:rPr>
        <w:t>1.6 Research Contributions</w:t>
      </w:r>
    </w:p>
    <w:p>
      <w:pPr>
        <w:spacing w:before="0" w:after="120" w:line="288" w:lineRule="auto"/>
      </w:pPr>
      <w:r>
        <w:rPr>
          <w:rFonts w:ascii="Times New Roman" w:hAnsi="Times New Roman"/>
          <w:b w:val="0"/>
          <w:i w:val="0"/>
          <w:rFonts w:ascii="Times New Roman" w:hAnsi="Times New Roman" w:cs="Times New Roman"/>
          <w:color w:val="282828"/>
          <w:sz w:val="22"/>
        </w:rPr>
        <w:t>This study provides several substantial contributions to environmental data science and low-cost sensor calibration in Sub-Saharan Africa:</w:t>
      </w:r>
    </w:p>
    <w:p>
      <w:pPr>
        <w:pStyle w:val="ListBullet"/>
        <w:spacing w:before="20" w:after="60" w:line="276" w:lineRule="auto"/>
      </w:pPr>
      <w:r>
        <w:rPr>
          <w:rFonts w:ascii="Times New Roman" w:hAnsi="Times New Roman"/>
          <w:b/>
          <w:i w:val="0"/>
          <w:rFonts w:ascii="Times New Roman" w:hAnsi="Times New Roman" w:cs="Times New Roman"/>
          <w:color w:val="282828"/>
          <w:sz w:val="22"/>
        </w:rPr>
        <w:t>First Integration of Multi-Gamma Köhler Physics in SSA Sensor Calibration:</w:t>
      </w:r>
      <w:r>
        <w:rPr>
          <w:rFonts w:ascii="Times New Roman" w:hAnsi="Times New Roman"/>
          <w:b w:val="0"/>
          <w:i w:val="0"/>
          <w:rFonts w:ascii="Times New Roman" w:hAnsi="Times New Roman" w:cs="Times New Roman"/>
          <w:color w:val="282828"/>
          <w:sz w:val="22"/>
        </w:rPr>
        <w:t xml:space="preserve"> Formulated eight continuous empirical Köhler hygroscopic swelling functions that provide decision trees with explicit physical laws of aerosol water uptake, eliminating reliance on arbitrary humidity splits.</w:t>
      </w:r>
    </w:p>
    <w:p>
      <w:pPr>
        <w:pStyle w:val="ListBullet"/>
        <w:spacing w:before="20" w:after="60" w:line="276" w:lineRule="auto"/>
      </w:pPr>
      <w:r>
        <w:rPr>
          <w:rFonts w:ascii="Times New Roman" w:hAnsi="Times New Roman"/>
          <w:b/>
          <w:i w:val="0"/>
          <w:rFonts w:ascii="Times New Roman" w:hAnsi="Times New Roman" w:cs="Times New Roman"/>
          <w:color w:val="282828"/>
          <w:sz w:val="22"/>
        </w:rPr>
        <w:t>Development of the SPIME v4 Meta-Ensemble:</w:t>
      </w:r>
      <w:r>
        <w:rPr>
          <w:rFonts w:ascii="Times New Roman" w:hAnsi="Times New Roman"/>
          <w:b w:val="0"/>
          <w:i w:val="0"/>
          <w:rFonts w:ascii="Times New Roman" w:hAnsi="Times New Roman" w:cs="Times New Roman"/>
          <w:color w:val="282828"/>
          <w:sz w:val="22"/>
        </w:rPr>
        <w:t xml:space="preserve"> Designed a stacked calibration architecture that leverages out-of-fold cross-validation stacking to achieve reference-grade accuracy (Holdout R² = 0.9632, MAE = 0.61 µg/m³) while completely eliminating generalization overfitting (gap = -0.0002).</w:t>
      </w:r>
    </w:p>
    <w:p>
      <w:pPr>
        <w:pStyle w:val="ListBullet"/>
        <w:spacing w:before="20" w:after="60" w:line="276" w:lineRule="auto"/>
      </w:pPr>
      <w:r>
        <w:rPr>
          <w:rFonts w:ascii="Times New Roman" w:hAnsi="Times New Roman"/>
          <w:b/>
          <w:i w:val="0"/>
          <w:rFonts w:ascii="Times New Roman" w:hAnsi="Times New Roman" w:cs="Times New Roman"/>
          <w:color w:val="282828"/>
          <w:sz w:val="22"/>
        </w:rPr>
        <w:t>Harmattan Dust Storm Adaptation:</w:t>
      </w:r>
      <w:r>
        <w:rPr>
          <w:rFonts w:ascii="Times New Roman" w:hAnsi="Times New Roman"/>
          <w:b w:val="0"/>
          <w:i w:val="0"/>
          <w:rFonts w:ascii="Times New Roman" w:hAnsi="Times New Roman" w:cs="Times New Roman"/>
          <w:color w:val="282828"/>
          <w:sz w:val="22"/>
        </w:rPr>
        <w:t xml:space="preserve"> Introduced domain-specific Harmattan scoring algorithms that protect the calibration model against over-correcting dry mineral dust as humidity swell during the Saharan dust season.</w:t>
      </w:r>
    </w:p>
    <w:p>
      <w:pPr>
        <w:pStyle w:val="ListBullet"/>
        <w:spacing w:before="20" w:after="60" w:line="276" w:lineRule="auto"/>
      </w:pPr>
      <w:r>
        <w:rPr>
          <w:rFonts w:ascii="Times New Roman" w:hAnsi="Times New Roman"/>
          <w:b/>
          <w:i w:val="0"/>
          <w:rFonts w:ascii="Times New Roman" w:hAnsi="Times New Roman" w:cs="Times New Roman"/>
          <w:color w:val="282828"/>
          <w:sz w:val="22"/>
        </w:rPr>
        <w:t>Deployable Open-Source Pipeline for Afri-SET:</w:t>
      </w:r>
      <w:r>
        <w:rPr>
          <w:rFonts w:ascii="Times New Roman" w:hAnsi="Times New Roman"/>
          <w:b w:val="0"/>
          <w:i w:val="0"/>
          <w:rFonts w:ascii="Times New Roman" w:hAnsi="Times New Roman" w:cs="Times New Roman"/>
          <w:color w:val="282828"/>
          <w:sz w:val="22"/>
        </w:rPr>
        <w:t xml:space="preserve"> Encapsulated the trained SPIME v4 model into a lightweight, deployable Python artifact for automated real-time calibration on the Afri-SET web portal.</w:t>
      </w:r>
    </w:p>
    <w:p>
      <w:pPr>
        <w:keepNext/>
        <w:spacing w:before="280" w:after="120"/>
      </w:pPr>
      <w:bookmarkStart w:id="508" w:name="sec_1_7"/>
      <w:bookmarkEnd w:id="508"/>
      <w:r>
        <w:rPr>
          <w:rFonts w:ascii="Times New Roman" w:hAnsi="Times New Roman"/>
          <w:b/>
          <w:i w:val="0"/>
          <w:rFonts w:ascii="Times New Roman" w:hAnsi="Times New Roman" w:cs="Times New Roman"/>
          <w:color w:val="2F5597"/>
          <w:sz w:val="28"/>
        </w:rPr>
        <w:t>1.7 Scope of the Study</w:t>
      </w:r>
    </w:p>
    <w:p>
      <w:pPr>
        <w:spacing w:before="0" w:after="120" w:line="288" w:lineRule="auto"/>
      </w:pPr>
      <w:r>
        <w:rPr>
          <w:rFonts w:ascii="Times New Roman" w:hAnsi="Times New Roman"/>
          <w:b w:val="0"/>
          <w:i w:val="0"/>
          <w:rFonts w:ascii="Times New Roman" w:hAnsi="Times New Roman" w:cs="Times New Roman"/>
          <w:color w:val="282828"/>
          <w:sz w:val="22"/>
        </w:rPr>
        <w:t xml:space="preserve">This study is focused on the calibration of fine particulate matter (PM2.5) measurements from the QuantAQ Modulair-PM sensor (unit </w:t>
      </w:r>
      <w:r>
        <w:rPr>
          <w:rFonts w:ascii="Consolas" w:hAnsi="Consolas"/>
          <w:b w:val="0"/>
          <w:i w:val="0"/>
          <w:rFonts w:ascii="Consolas" w:hAnsi="Consolas" w:cs="Consolas"/>
          <w:color w:val="282828"/>
          <w:sz w:val="20"/>
        </w:rPr>
        <w:t>MOD-PM-01068</w:t>
      </w:r>
      <w:r>
        <w:rPr>
          <w:rFonts w:ascii="Times New Roman" w:hAnsi="Times New Roman"/>
          <w:b w:val="0"/>
          <w:i w:val="0"/>
          <w:rFonts w:ascii="Times New Roman" w:hAnsi="Times New Roman" w:cs="Times New Roman"/>
          <w:color w:val="282828"/>
          <w:sz w:val="22"/>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pPr>
        <w:keepNext/>
        <w:spacing w:before="280" w:after="120"/>
      </w:pPr>
      <w:bookmarkStart w:id="509" w:name="sec_1_8"/>
      <w:bookmarkEnd w:id="509"/>
      <w:r>
        <w:rPr>
          <w:rFonts w:ascii="Times New Roman" w:hAnsi="Times New Roman"/>
          <w:b/>
          <w:i w:val="0"/>
          <w:rFonts w:ascii="Times New Roman" w:hAnsi="Times New Roman" w:cs="Times New Roman"/>
          <w:color w:val="2F5597"/>
          <w:sz w:val="28"/>
        </w:rPr>
        <w:t>1.8 Organization of the Study</w:t>
      </w:r>
    </w:p>
    <w:p>
      <w:pPr>
        <w:spacing w:before="0" w:after="120" w:line="288" w:lineRule="auto"/>
      </w:pPr>
      <w:r>
        <w:rPr>
          <w:rFonts w:ascii="Times New Roman" w:hAnsi="Times New Roman"/>
          <w:b w:val="0"/>
          <w:i w:val="0"/>
          <w:rFonts w:ascii="Times New Roman" w:hAnsi="Times New Roman" w:cs="Times New Roman"/>
          <w:color w:val="282828"/>
          <w:sz w:val="22"/>
        </w:rPr>
        <w:t>The remainder of this project report is structured as follows: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2: Literature Review</w:t>
      </w:r>
      <w:r>
        <w:rPr>
          <w:rFonts w:ascii="Times New Roman" w:hAnsi="Times New Roman"/>
          <w:b w:val="0"/>
          <w:i w:val="0"/>
          <w:rFonts w:ascii="Times New Roman" w:hAnsi="Times New Roman" w:cs="Times New Roman"/>
          <w:color w:val="282828"/>
          <w:sz w:val="22"/>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3: Research Methodology</w:t>
      </w:r>
      <w:r>
        <w:rPr>
          <w:rFonts w:ascii="Times New Roman" w:hAnsi="Times New Roman"/>
          <w:b w:val="0"/>
          <w:i w:val="0"/>
          <w:rFonts w:ascii="Times New Roman" w:hAnsi="Times New Roman" w:cs="Times New Roman"/>
          <w:color w:val="282828"/>
          <w:sz w:val="22"/>
        </w:rPr>
        <w:t xml:space="preserve"> describes the experimental co-location facility at Afri-SET, sensor technical specifications, data preprocessing pipelines, the 75-dimensional feature engineering formulation, the SPIME v4 meta-ensemble architecture, validation partitions, and evaluation metrics.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4: Experimental Results and Discussion</w:t>
      </w:r>
      <w:r>
        <w:rPr>
          <w:rFonts w:ascii="Times New Roman" w:hAnsi="Times New Roman"/>
          <w:b w:val="0"/>
          <w:i w:val="0"/>
          <w:rFonts w:ascii="Times New Roman" w:hAnsi="Times New Roman" w:cs="Times New Roman"/>
          <w:color w:val="282828"/>
          <w:sz w:val="22"/>
        </w:rPr>
        <w:t xml:space="preserve"> presents empirical performance metrics on unseen holdout data, comparative evaluations across six model paradigms, overfitting diagnostics, feature importance rankings, seasonal performance breakdowns, and residual error tests.</w:t>
      </w:r>
    </w:p>
    <w:p>
      <w:pPr>
        <w:pStyle w:val="ListBullet"/>
        <w:spacing w:before="20" w:after="60" w:line="276" w:lineRule="auto"/>
      </w:pPr>
      <w:r>
        <w:rPr>
          <w:rFonts w:ascii="Times New Roman" w:hAnsi="Times New Roman"/>
          <w:b/>
          <w:i w:val="0"/>
          <w:rFonts w:ascii="Times New Roman" w:hAnsi="Times New Roman" w:cs="Times New Roman"/>
          <w:color w:val="282828"/>
          <w:sz w:val="22"/>
        </w:rPr>
        <w:t>Chapter 5: Concluding Remarks</w:t>
      </w:r>
      <w:r>
        <w:rPr>
          <w:rFonts w:ascii="Times New Roman" w:hAnsi="Times New Roman"/>
          <w:b w:val="0"/>
          <w:i w:val="0"/>
          <w:rFonts w:ascii="Times New Roman" w:hAnsi="Times New Roman" w:cs="Times New Roman"/>
          <w:color w:val="282828"/>
          <w:sz w:val="22"/>
        </w:rPr>
        <w:t xml:space="preserve"> summarizes the major findings against the research objectives, details practical deployment guidelines for Afri-SET, identifies study limitations, and outlines directions for future research.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