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BCBB" w14:textId="77777777" w:rsidR="003F2FE3" w:rsidRDefault="00000000">
      <w:pPr>
        <w:spacing w:before="360" w:after="160"/>
      </w:pPr>
      <w:r>
        <w:rPr>
          <w:rFonts w:ascii="Calibri" w:hAnsi="Calibri"/>
          <w:b/>
          <w:color w:val="1F4E78"/>
          <w:sz w:val="40"/>
        </w:rPr>
        <w:t>Chapter 4: Results and Discussion</w:t>
      </w:r>
    </w:p>
    <w:p w14:paraId="76AD08B4" w14:textId="77777777" w:rsidR="003F2FE3" w:rsidRDefault="00000000">
      <w:pPr>
        <w:spacing w:before="40" w:after="100"/>
      </w:pPr>
      <w:r>
        <w:rPr>
          <w:rFonts w:ascii="Calibri" w:hAnsi="Calibri"/>
          <w:color w:val="282828"/>
        </w:rPr>
        <w:t>This chapter presents the empirical findings, comparative performance evaluation, generalization diagnostics, and physical interpretation of the machine learning calibration models developed for the QuantAQ Modulair-PM sensor co-located with the Teledyne API T640 reference monitor at the University of Ghana, Legon.</w:t>
      </w:r>
    </w:p>
    <w:p w14:paraId="6733D920" w14:textId="77777777" w:rsidR="003F2FE3" w:rsidRDefault="003F2FE3">
      <w:pPr>
        <w:spacing w:before="120" w:after="120"/>
      </w:pPr>
    </w:p>
    <w:p w14:paraId="4B1D84A7" w14:textId="77777777" w:rsidR="003F2FE3" w:rsidRDefault="00000000">
      <w:pPr>
        <w:spacing w:before="280" w:after="120"/>
      </w:pPr>
      <w:r>
        <w:rPr>
          <w:rFonts w:ascii="Calibri" w:hAnsi="Calibri"/>
          <w:b/>
          <w:color w:val="2F5597"/>
          <w:sz w:val="30"/>
        </w:rPr>
        <w:t>4.1 Comparative Model Calibration Performance</w:t>
      </w:r>
    </w:p>
    <w:p w14:paraId="4676E750" w14:textId="77777777" w:rsidR="003F2FE3" w:rsidRDefault="00000000">
      <w:pPr>
        <w:spacing w:before="40" w:after="100"/>
      </w:pPr>
      <w:r>
        <w:rPr>
          <w:rFonts w:ascii="Calibri" w:hAnsi="Calibri"/>
          <w:color w:val="282828"/>
        </w:rPr>
        <w:t>All calibration models were evaluated on the true unseen out-of-sample holdout dataset comprising 3,468 hourly records spanning June 21, 2025 to December 31, 2025. Table 4.1 summarizes the performance metrics across all evaluated model architectures.</w:t>
      </w:r>
    </w:p>
    <w:p w14:paraId="5A94D070" w14:textId="77777777" w:rsidR="003F2FE3" w:rsidRDefault="00000000">
      <w:pPr>
        <w:spacing w:before="200" w:after="80"/>
        <w:rPr>
          <w:rFonts w:ascii="Calibri" w:hAnsi="Calibri"/>
          <w:b/>
          <w:color w:val="1F4E78"/>
          <w:sz w:val="26"/>
        </w:rPr>
      </w:pPr>
      <w:r>
        <w:rPr>
          <w:rFonts w:ascii="Calibri" w:hAnsi="Calibri"/>
          <w:b/>
          <w:color w:val="1F4E78"/>
          <w:sz w:val="26"/>
        </w:rPr>
        <w:t>Table 4.1: Comparative Performance Metrics on Out-of-Sample Holdout Data (3,468 Unseen Hourly Samples)</w:t>
      </w:r>
    </w:p>
    <w:p w14:paraId="56F3232E" w14:textId="77777777" w:rsidR="004E3799" w:rsidRDefault="004E3799">
      <w:pPr>
        <w:spacing w:before="200" w:after="80"/>
      </w:pPr>
    </w:p>
    <w:tbl>
      <w:tblPr>
        <w:tblW w:w="10782" w:type="dxa"/>
        <w:jc w:val="center"/>
        <w:tblLook w:val="04A0" w:firstRow="1" w:lastRow="0" w:firstColumn="1" w:lastColumn="0" w:noHBand="0" w:noVBand="1"/>
      </w:tblPr>
      <w:tblGrid>
        <w:gridCol w:w="1386"/>
        <w:gridCol w:w="1337"/>
        <w:gridCol w:w="1337"/>
        <w:gridCol w:w="1337"/>
        <w:gridCol w:w="1337"/>
        <w:gridCol w:w="1337"/>
        <w:gridCol w:w="2711"/>
      </w:tblGrid>
      <w:tr w:rsidR="003F2FE3" w14:paraId="453513C2" w14:textId="77777777" w:rsidTr="004E3799">
        <w:trPr>
          <w:jc w:val="center"/>
        </w:trPr>
        <w:tc>
          <w:tcPr>
            <w:tcW w:w="1386" w:type="dxa"/>
            <w:shd w:val="clear" w:color="auto" w:fill="1F4E78"/>
          </w:tcPr>
          <w:p w14:paraId="1A0D3381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Calibration Model Architecture</w:t>
            </w:r>
          </w:p>
        </w:tc>
        <w:tc>
          <w:tcPr>
            <w:tcW w:w="1337" w:type="dxa"/>
            <w:shd w:val="clear" w:color="auto" w:fill="1F4E78"/>
          </w:tcPr>
          <w:p w14:paraId="077D950A" w14:textId="423F2F4B" w:rsidR="003F2FE3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Test Partition </w:t>
            </w:r>
            <m:oMath>
              <m:sSup>
                <m:sSupPr>
                  <m:ctrlPr>
                    <w:rPr>
                      <w:rFonts w:ascii="Cambria Math" w:hAnsi="Cambria Math"/>
                      <w:color w:val="FFFFFF"/>
                      <w:sz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FFFF"/>
                      <w:sz w:val="20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FFFFFF"/>
                      <w:sz w:val="20"/>
                    </w:rPr>
                    <m:t>2</m:t>
                  </m:r>
                </m:sup>
              </m:sSup>
            </m:oMath>
          </w:p>
        </w:tc>
        <w:tc>
          <w:tcPr>
            <w:tcW w:w="1337" w:type="dxa"/>
            <w:shd w:val="clear" w:color="auto" w:fill="1F4E78"/>
          </w:tcPr>
          <w:p w14:paraId="77CB4472" w14:textId="52043D58" w:rsidR="003F2FE3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Holdout </w:t>
            </w:r>
            <m:oMath>
              <m:sSup>
                <m:sSupPr>
                  <m:ctrlPr>
                    <w:rPr>
                      <w:rFonts w:ascii="Cambria Math" w:hAnsi="Cambria Math"/>
                      <w:color w:val="FFFFFF"/>
                      <w:sz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FFFF"/>
                      <w:sz w:val="20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FFFFFF"/>
                      <w:sz w:val="20"/>
                    </w:rPr>
                    <m:t>2</m:t>
                  </m:r>
                </m:sup>
              </m:sSup>
            </m:oMath>
            <w:r>
              <w:rPr>
                <w:rFonts w:ascii="Calibri" w:hAnsi="Calibri"/>
                <w:b/>
                <w:color w:val="FFFFFF"/>
                <w:sz w:val="20"/>
              </w:rPr>
              <w:t xml:space="preserve"> Score↑</w:t>
            </w:r>
          </w:p>
        </w:tc>
        <w:tc>
          <w:tcPr>
            <w:tcW w:w="1337" w:type="dxa"/>
            <w:shd w:val="clear" w:color="auto" w:fill="1F4E78"/>
          </w:tcPr>
          <w:p w14:paraId="4C0DC2DF" w14:textId="221D6BA8" w:rsidR="003F2FE3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MAE </w:t>
            </w:r>
            <m:oMath>
              <m:d>
                <m:dPr>
                  <m:ctrlPr>
                    <w:rPr>
                      <w:rFonts w:ascii="Cambria Math" w:hAnsi="Cambria Math"/>
                      <w:color w:val="FFFFFF"/>
                      <w:sz w:val="2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FFFF"/>
                      <w:sz w:val="20"/>
                    </w:rPr>
                    <m:t>μ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FFFF"/>
                          <w:sz w:val="20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libri" w:hAnsi="Calibri"/>
                          <w:color w:val="FFFFFF"/>
                          <w:sz w:val="20"/>
                        </w:rPr>
                        <m:t>g/m</m:t>
                      </m:r>
                    </m:e>
                    <m:sup>
                      <m:r>
                        <w:rPr>
                          <w:rFonts w:ascii="Cambria Math" w:hAnsi="Cambria Math"/>
                          <w:color w:val="FFFFFF"/>
                          <w:sz w:val="20"/>
                        </w:rPr>
                        <m:t>3</m:t>
                      </m:r>
                    </m:sup>
                  </m:sSup>
                </m:e>
              </m:d>
            </m:oMath>
            <w:r>
              <w:rPr>
                <w:rFonts w:ascii="Calibri" w:hAnsi="Calibri"/>
                <w:b/>
                <w:color w:val="FFFFFF"/>
                <w:sz w:val="20"/>
              </w:rPr>
              <w:t>↓</w:t>
            </w:r>
          </w:p>
        </w:tc>
        <w:tc>
          <w:tcPr>
            <w:tcW w:w="1337" w:type="dxa"/>
            <w:shd w:val="clear" w:color="auto" w:fill="1F4E78"/>
          </w:tcPr>
          <w:p w14:paraId="46F9CFC9" w14:textId="1900E2A9" w:rsidR="003F2FE3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RMSE </w:t>
            </w:r>
            <m:oMath>
              <m:d>
                <m:dPr>
                  <m:ctrlPr>
                    <w:rPr>
                      <w:rFonts w:ascii="Cambria Math" w:hAnsi="Cambria Math"/>
                      <w:color w:val="FFFFFF"/>
                      <w:sz w:val="2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FFFF"/>
                      <w:sz w:val="20"/>
                    </w:rPr>
                    <m:t>μ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FFFF"/>
                          <w:sz w:val="20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libri" w:hAnsi="Calibri"/>
                          <w:color w:val="FFFFFF"/>
                          <w:sz w:val="20"/>
                        </w:rPr>
                        <m:t>g/m</m:t>
                      </m:r>
                    </m:e>
                    <m:sup>
                      <m:r>
                        <w:rPr>
                          <w:rFonts w:ascii="Cambria Math" w:hAnsi="Cambria Math"/>
                          <w:color w:val="FFFFFF"/>
                          <w:sz w:val="20"/>
                        </w:rPr>
                        <m:t>3</m:t>
                      </m:r>
                    </m:sup>
                  </m:sSup>
                </m:e>
              </m:d>
            </m:oMath>
            <w:r>
              <w:rPr>
                <w:rFonts w:ascii="Calibri" w:hAnsi="Calibri"/>
                <w:b/>
                <w:color w:val="FFFFFF"/>
                <w:sz w:val="20"/>
              </w:rPr>
              <w:t>↓</w:t>
            </w:r>
          </w:p>
        </w:tc>
        <w:tc>
          <w:tcPr>
            <w:tcW w:w="1337" w:type="dxa"/>
            <w:shd w:val="clear" w:color="auto" w:fill="1F4E78"/>
          </w:tcPr>
          <w:p w14:paraId="78A525A3" w14:textId="4CA3DE66" w:rsidR="003F2FE3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Systematic Bias </w:t>
            </w:r>
            <m:oMath>
              <m:d>
                <m:dPr>
                  <m:ctrlPr>
                    <w:rPr>
                      <w:rFonts w:ascii="Cambria Math" w:hAnsi="Cambria Math"/>
                      <w:color w:val="FFFFFF"/>
                      <w:sz w:val="2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FFFF"/>
                      <w:sz w:val="20"/>
                    </w:rPr>
                    <m:t>μ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FFFF"/>
                          <w:sz w:val="20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libri" w:hAnsi="Calibri"/>
                          <w:color w:val="FFFFFF"/>
                          <w:sz w:val="20"/>
                        </w:rPr>
                        <m:t>g/m</m:t>
                      </m:r>
                    </m:e>
                    <m:sup>
                      <m:r>
                        <w:rPr>
                          <w:rFonts w:ascii="Cambria Math" w:hAnsi="Cambria Math"/>
                          <w:color w:val="FFFFFF"/>
                          <w:sz w:val="20"/>
                        </w:rPr>
                        <m:t>3</m:t>
                      </m:r>
                    </m:sup>
                  </m:sSup>
                </m:e>
              </m:d>
            </m:oMath>
          </w:p>
        </w:tc>
        <w:tc>
          <w:tcPr>
            <w:tcW w:w="2711" w:type="dxa"/>
            <w:shd w:val="clear" w:color="auto" w:fill="1F4E78"/>
          </w:tcPr>
          <w:p w14:paraId="72A1D353" w14:textId="3A1BC282" w:rsidR="003F2FE3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Generalization Overfitting Gap </w:t>
            </w:r>
            <m:oMath>
              <m:r>
                <w:rPr>
                  <w:rFonts w:ascii="Cambria Math" w:hAnsi="Cambria Math"/>
                  <w:color w:val="FFFFFF"/>
                  <w:sz w:val="20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color w:val="FFFFFF"/>
                      <w:sz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FFFF"/>
                      <w:sz w:val="20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FFFFFF"/>
                      <w:sz w:val="20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libri" w:hAnsi="Calibri"/>
                  <w:color w:val="FFFFFF"/>
                  <w:sz w:val="20"/>
                </w:rPr>
                <m:t>train</m:t>
              </m:r>
            </m:oMath>
            <w:r>
              <w:rPr>
                <w:rFonts w:ascii="Calibri" w:hAnsi="Calibri"/>
                <w:b/>
                <w:color w:val="FFFFFF"/>
                <w:sz w:val="20"/>
              </w:rPr>
              <w:t xml:space="preserve">- </w:t>
            </w:r>
            <m:oMath>
              <m:sSup>
                <m:sSupPr>
                  <m:ctrlPr>
                    <w:rPr>
                      <w:rFonts w:ascii="Cambria Math" w:hAnsi="Cambria Math"/>
                      <w:color w:val="FFFFFF"/>
                      <w:sz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FFFF"/>
                      <w:sz w:val="20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FFFFFF"/>
                      <w:sz w:val="20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libri" w:hAnsi="Calibri"/>
                  <w:color w:val="FFFFFF"/>
                  <w:sz w:val="20"/>
                </w:rPr>
                <m:t>test</m:t>
              </m:r>
            </m:oMath>
            <w:r>
              <w:rPr>
                <w:rFonts w:ascii="Calibri" w:hAnsi="Calibri"/>
                <w:b/>
                <w:color w:val="FFFFFF"/>
                <w:sz w:val="20"/>
              </w:rPr>
              <w:t>) ↓</w:t>
            </w:r>
          </w:p>
        </w:tc>
      </w:tr>
      <w:tr w:rsidR="003F2FE3" w14:paraId="1D6AD35C" w14:textId="77777777" w:rsidTr="004E3799">
        <w:trPr>
          <w:jc w:val="center"/>
        </w:trPr>
        <w:tc>
          <w:tcPr>
            <w:tcW w:w="1386" w:type="dxa"/>
            <w:shd w:val="clear" w:color="auto" w:fill="F2F2F2"/>
          </w:tcPr>
          <w:p w14:paraId="2043D604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QuantAQ Factory Default (Uncalibrated)</w:t>
            </w:r>
          </w:p>
        </w:tc>
        <w:tc>
          <w:tcPr>
            <w:tcW w:w="1337" w:type="dxa"/>
            <w:shd w:val="clear" w:color="auto" w:fill="F2F2F2"/>
          </w:tcPr>
          <w:p w14:paraId="65761771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N/A</w:t>
            </w:r>
          </w:p>
        </w:tc>
        <w:tc>
          <w:tcPr>
            <w:tcW w:w="1337" w:type="dxa"/>
            <w:shd w:val="clear" w:color="auto" w:fill="F2F2F2"/>
          </w:tcPr>
          <w:p w14:paraId="7E6E2888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-0.0133</w:t>
            </w:r>
          </w:p>
        </w:tc>
        <w:tc>
          <w:tcPr>
            <w:tcW w:w="1337" w:type="dxa"/>
            <w:shd w:val="clear" w:color="auto" w:fill="F2F2F2"/>
          </w:tcPr>
          <w:p w14:paraId="6315EB7B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5.30</w:t>
            </w:r>
          </w:p>
        </w:tc>
        <w:tc>
          <w:tcPr>
            <w:tcW w:w="1337" w:type="dxa"/>
            <w:shd w:val="clear" w:color="auto" w:fill="F2F2F2"/>
          </w:tcPr>
          <w:p w14:paraId="5AF7B41C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6.47</w:t>
            </w:r>
          </w:p>
        </w:tc>
        <w:tc>
          <w:tcPr>
            <w:tcW w:w="1337" w:type="dxa"/>
            <w:shd w:val="clear" w:color="auto" w:fill="F2F2F2"/>
          </w:tcPr>
          <w:p w14:paraId="6BC57B9F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-5.00</w:t>
            </w:r>
          </w:p>
        </w:tc>
        <w:tc>
          <w:tcPr>
            <w:tcW w:w="2711" w:type="dxa"/>
            <w:shd w:val="clear" w:color="auto" w:fill="F2F2F2"/>
          </w:tcPr>
          <w:p w14:paraId="122480B8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N/A</w:t>
            </w:r>
          </w:p>
        </w:tc>
      </w:tr>
      <w:tr w:rsidR="003F2FE3" w14:paraId="752CDED0" w14:textId="77777777" w:rsidTr="004E3799">
        <w:trPr>
          <w:jc w:val="center"/>
        </w:trPr>
        <w:tc>
          <w:tcPr>
            <w:tcW w:w="1386" w:type="dxa"/>
          </w:tcPr>
          <w:p w14:paraId="263B32F6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Multiple Linear Regression (Baseline)</w:t>
            </w:r>
          </w:p>
        </w:tc>
        <w:tc>
          <w:tcPr>
            <w:tcW w:w="1337" w:type="dxa"/>
          </w:tcPr>
          <w:p w14:paraId="481EC63B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0.6760</w:t>
            </w:r>
          </w:p>
        </w:tc>
        <w:tc>
          <w:tcPr>
            <w:tcW w:w="1337" w:type="dxa"/>
          </w:tcPr>
          <w:p w14:paraId="5FA7AE7B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0.6760</w:t>
            </w:r>
          </w:p>
        </w:tc>
        <w:tc>
          <w:tcPr>
            <w:tcW w:w="1337" w:type="dxa"/>
          </w:tcPr>
          <w:p w14:paraId="3EDD97D9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2.71</w:t>
            </w:r>
          </w:p>
        </w:tc>
        <w:tc>
          <w:tcPr>
            <w:tcW w:w="1337" w:type="dxa"/>
          </w:tcPr>
          <w:p w14:paraId="561740A3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3.66</w:t>
            </w:r>
          </w:p>
        </w:tc>
        <w:tc>
          <w:tcPr>
            <w:tcW w:w="1337" w:type="dxa"/>
          </w:tcPr>
          <w:p w14:paraId="5517A121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-0.45</w:t>
            </w:r>
          </w:p>
        </w:tc>
        <w:tc>
          <w:tcPr>
            <w:tcW w:w="2711" w:type="dxa"/>
          </w:tcPr>
          <w:p w14:paraId="068D48C2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0.0120</w:t>
            </w:r>
          </w:p>
        </w:tc>
      </w:tr>
      <w:tr w:rsidR="003F2FE3" w14:paraId="1498F7B8" w14:textId="77777777" w:rsidTr="004E3799">
        <w:trPr>
          <w:jc w:val="center"/>
        </w:trPr>
        <w:tc>
          <w:tcPr>
            <w:tcW w:w="1386" w:type="dxa"/>
            <w:shd w:val="clear" w:color="auto" w:fill="F2F2F2"/>
          </w:tcPr>
          <w:p w14:paraId="556CD56F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Deep Neural LLM Regressor</w:t>
            </w:r>
          </w:p>
        </w:tc>
        <w:tc>
          <w:tcPr>
            <w:tcW w:w="1337" w:type="dxa"/>
            <w:shd w:val="clear" w:color="auto" w:fill="F2F2F2"/>
          </w:tcPr>
          <w:p w14:paraId="4B44F78A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0.4927</w:t>
            </w:r>
          </w:p>
        </w:tc>
        <w:tc>
          <w:tcPr>
            <w:tcW w:w="1337" w:type="dxa"/>
            <w:shd w:val="clear" w:color="auto" w:fill="F2F2F2"/>
          </w:tcPr>
          <w:p w14:paraId="2FD93869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0.4927</w:t>
            </w:r>
          </w:p>
        </w:tc>
        <w:tc>
          <w:tcPr>
            <w:tcW w:w="1337" w:type="dxa"/>
            <w:shd w:val="clear" w:color="auto" w:fill="F2F2F2"/>
          </w:tcPr>
          <w:p w14:paraId="3B55CE5D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3.27</w:t>
            </w:r>
          </w:p>
        </w:tc>
        <w:tc>
          <w:tcPr>
            <w:tcW w:w="1337" w:type="dxa"/>
            <w:shd w:val="clear" w:color="auto" w:fill="F2F2F2"/>
          </w:tcPr>
          <w:p w14:paraId="65DAA4CB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4.57</w:t>
            </w:r>
          </w:p>
        </w:tc>
        <w:tc>
          <w:tcPr>
            <w:tcW w:w="1337" w:type="dxa"/>
            <w:shd w:val="clear" w:color="auto" w:fill="F2F2F2"/>
          </w:tcPr>
          <w:p w14:paraId="0FF0E5E0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-1.28</w:t>
            </w:r>
          </w:p>
        </w:tc>
        <w:tc>
          <w:tcPr>
            <w:tcW w:w="2711" w:type="dxa"/>
            <w:shd w:val="clear" w:color="auto" w:fill="F2F2F2"/>
          </w:tcPr>
          <w:p w14:paraId="27AF8BF5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0.4100</w:t>
            </w:r>
          </w:p>
        </w:tc>
      </w:tr>
      <w:tr w:rsidR="003F2FE3" w14:paraId="0CEAF05F" w14:textId="77777777" w:rsidTr="004E3799">
        <w:trPr>
          <w:jc w:val="center"/>
        </w:trPr>
        <w:tc>
          <w:tcPr>
            <w:tcW w:w="1386" w:type="dxa"/>
          </w:tcPr>
          <w:p w14:paraId="4B640CC8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MLP Neural Network Regressor</w:t>
            </w:r>
          </w:p>
        </w:tc>
        <w:tc>
          <w:tcPr>
            <w:tcW w:w="1337" w:type="dxa"/>
          </w:tcPr>
          <w:p w14:paraId="584B44AC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0.5170</w:t>
            </w:r>
          </w:p>
        </w:tc>
        <w:tc>
          <w:tcPr>
            <w:tcW w:w="1337" w:type="dxa"/>
          </w:tcPr>
          <w:p w14:paraId="5A966987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0.5170</w:t>
            </w:r>
          </w:p>
        </w:tc>
        <w:tc>
          <w:tcPr>
            <w:tcW w:w="1337" w:type="dxa"/>
          </w:tcPr>
          <w:p w14:paraId="575B4139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3.21</w:t>
            </w:r>
          </w:p>
        </w:tc>
        <w:tc>
          <w:tcPr>
            <w:tcW w:w="1337" w:type="dxa"/>
          </w:tcPr>
          <w:p w14:paraId="62E21819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4.46</w:t>
            </w:r>
          </w:p>
        </w:tc>
        <w:tc>
          <w:tcPr>
            <w:tcW w:w="1337" w:type="dxa"/>
          </w:tcPr>
          <w:p w14:paraId="16C3629B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-1.28</w:t>
            </w:r>
          </w:p>
        </w:tc>
        <w:tc>
          <w:tcPr>
            <w:tcW w:w="2711" w:type="dxa"/>
          </w:tcPr>
          <w:p w14:paraId="60AAA0E2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0.3800</w:t>
            </w:r>
          </w:p>
        </w:tc>
      </w:tr>
      <w:tr w:rsidR="003F2FE3" w14:paraId="7C086CF3" w14:textId="77777777" w:rsidTr="004E3799">
        <w:trPr>
          <w:jc w:val="center"/>
        </w:trPr>
        <w:tc>
          <w:tcPr>
            <w:tcW w:w="1386" w:type="dxa"/>
            <w:shd w:val="clear" w:color="auto" w:fill="F2F2F2"/>
          </w:tcPr>
          <w:p w14:paraId="2C142010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Random Forest Regressor (v2 Previous Best)</w:t>
            </w:r>
          </w:p>
        </w:tc>
        <w:tc>
          <w:tcPr>
            <w:tcW w:w="1337" w:type="dxa"/>
            <w:shd w:val="clear" w:color="auto" w:fill="F2F2F2"/>
          </w:tcPr>
          <w:p w14:paraId="1B1EDE75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0.9677</w:t>
            </w:r>
          </w:p>
        </w:tc>
        <w:tc>
          <w:tcPr>
            <w:tcW w:w="1337" w:type="dxa"/>
            <w:shd w:val="clear" w:color="auto" w:fill="F2F2F2"/>
          </w:tcPr>
          <w:p w14:paraId="0A48DD6A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0.8318</w:t>
            </w:r>
          </w:p>
        </w:tc>
        <w:tc>
          <w:tcPr>
            <w:tcW w:w="1337" w:type="dxa"/>
            <w:shd w:val="clear" w:color="auto" w:fill="F2F2F2"/>
          </w:tcPr>
          <w:p w14:paraId="2862D3BF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1.81</w:t>
            </w:r>
          </w:p>
        </w:tc>
        <w:tc>
          <w:tcPr>
            <w:tcW w:w="1337" w:type="dxa"/>
            <w:shd w:val="clear" w:color="auto" w:fill="F2F2F2"/>
          </w:tcPr>
          <w:p w14:paraId="72620E9D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2.63</w:t>
            </w:r>
          </w:p>
        </w:tc>
        <w:tc>
          <w:tcPr>
            <w:tcW w:w="1337" w:type="dxa"/>
            <w:shd w:val="clear" w:color="auto" w:fill="F2F2F2"/>
          </w:tcPr>
          <w:p w14:paraId="36D7A122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-0.81</w:t>
            </w:r>
          </w:p>
        </w:tc>
        <w:tc>
          <w:tcPr>
            <w:tcW w:w="2711" w:type="dxa"/>
            <w:shd w:val="clear" w:color="auto" w:fill="F2F2F2"/>
          </w:tcPr>
          <w:p w14:paraId="094D7830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0.1413</w:t>
            </w:r>
          </w:p>
        </w:tc>
      </w:tr>
      <w:tr w:rsidR="003F2FE3" w14:paraId="150932FD" w14:textId="77777777" w:rsidTr="004E3799">
        <w:trPr>
          <w:jc w:val="center"/>
        </w:trPr>
        <w:tc>
          <w:tcPr>
            <w:tcW w:w="1386" w:type="dxa"/>
          </w:tcPr>
          <w:p w14:paraId="6A48AA39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lastRenderedPageBreak/>
              <w:t>Stacked Physics-Informed Meta-Ensemble (SPIME v4) [PRIMARY]</w:t>
            </w:r>
          </w:p>
        </w:tc>
        <w:tc>
          <w:tcPr>
            <w:tcW w:w="1337" w:type="dxa"/>
          </w:tcPr>
          <w:p w14:paraId="00B747F8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0.9732</w:t>
            </w:r>
          </w:p>
        </w:tc>
        <w:tc>
          <w:tcPr>
            <w:tcW w:w="1337" w:type="dxa"/>
          </w:tcPr>
          <w:p w14:paraId="1250A0DB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0.9632</w:t>
            </w:r>
          </w:p>
        </w:tc>
        <w:tc>
          <w:tcPr>
            <w:tcW w:w="1337" w:type="dxa"/>
          </w:tcPr>
          <w:p w14:paraId="3A37A809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0.61</w:t>
            </w:r>
          </w:p>
        </w:tc>
        <w:tc>
          <w:tcPr>
            <w:tcW w:w="1337" w:type="dxa"/>
          </w:tcPr>
          <w:p w14:paraId="04362246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1.23</w:t>
            </w:r>
          </w:p>
        </w:tc>
        <w:tc>
          <w:tcPr>
            <w:tcW w:w="1337" w:type="dxa"/>
          </w:tcPr>
          <w:p w14:paraId="2BCD8DAE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-0.23</w:t>
            </w:r>
          </w:p>
        </w:tc>
        <w:tc>
          <w:tcPr>
            <w:tcW w:w="2711" w:type="dxa"/>
          </w:tcPr>
          <w:p w14:paraId="07C1132C" w14:textId="77777777" w:rsidR="003F2FE3" w:rsidRDefault="00000000">
            <w:pPr>
              <w:spacing w:before="60" w:after="60"/>
            </w:pPr>
            <w:r>
              <w:rPr>
                <w:rFonts w:ascii="Calibri" w:hAnsi="Calibri"/>
                <w:color w:val="323232"/>
                <w:sz w:val="20"/>
              </w:rPr>
              <w:t>-0.0002 (~0.00%)</w:t>
            </w:r>
          </w:p>
        </w:tc>
      </w:tr>
    </w:tbl>
    <w:p w14:paraId="1CF5C9A3" w14:textId="77777777" w:rsidR="003F2FE3" w:rsidRDefault="003F2FE3">
      <w:pPr>
        <w:spacing w:after="120"/>
      </w:pPr>
    </w:p>
    <w:p w14:paraId="1C452EC2" w14:textId="77777777" w:rsidR="003F2FE3" w:rsidRDefault="003F2FE3">
      <w:pPr>
        <w:spacing w:before="120" w:after="120"/>
      </w:pPr>
    </w:p>
    <w:p w14:paraId="251F9953" w14:textId="77777777" w:rsidR="003F2FE3" w:rsidRDefault="00000000">
      <w:pPr>
        <w:spacing w:before="280" w:after="120"/>
      </w:pPr>
      <w:r>
        <w:rPr>
          <w:rFonts w:ascii="Calibri" w:hAnsi="Calibri"/>
          <w:b/>
          <w:color w:val="2F5597"/>
          <w:sz w:val="30"/>
        </w:rPr>
        <w:t>4.2 Key Findings and Diagnostic Analysis</w:t>
      </w:r>
    </w:p>
    <w:p w14:paraId="4849DE9E" w14:textId="77777777" w:rsidR="003F2FE3" w:rsidRDefault="00000000">
      <w:pPr>
        <w:spacing w:before="200" w:after="80"/>
      </w:pPr>
      <w:r>
        <w:rPr>
          <w:rFonts w:ascii="Calibri" w:hAnsi="Calibri"/>
          <w:b/>
          <w:color w:val="1F4E78"/>
          <w:sz w:val="26"/>
        </w:rPr>
        <w:t>4.2.1 Failure of Factory Calibration and Baseline Models</w:t>
      </w:r>
    </w:p>
    <w:p w14:paraId="54EE2897" w14:textId="00EFCDC4" w:rsidR="003F2FE3" w:rsidRDefault="00000000">
      <w:pPr>
        <w:spacing w:before="40" w:after="100"/>
      </w:pPr>
      <w:r>
        <w:rPr>
          <w:rFonts w:ascii="Calibri" w:hAnsi="Calibri"/>
          <w:color w:val="282828"/>
        </w:rPr>
        <w:t xml:space="preserve">The uncalibrated factory output of the QuantAQ Modulair-PM sensor yielded a negative R^2 score (-0.0133), an MAE of </w:t>
      </w:r>
      <m:oMath>
        <m:r>
          <w:rPr>
            <w:rFonts w:ascii="Cambria Math" w:hAnsi="Cambria Math"/>
            <w:color w:val="282828"/>
          </w:rPr>
          <m:t>5.30 μ</m:t>
        </m:r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m:rPr>
                <m:nor/>
              </m:rPr>
              <w:rPr>
                <w:rFonts w:ascii="Calibri" w:hAnsi="Calibri"/>
                <w:color w:val="282828"/>
              </w:rPr>
              <m:t>g/m</m:t>
            </m:r>
          </m:e>
          <m:sup>
            <m:r>
              <w:rPr>
                <w:rFonts w:ascii="Cambria Math" w:hAnsi="Cambria Math"/>
                <w:color w:val="282828"/>
              </w:rPr>
              <m:t>3</m:t>
            </m:r>
          </m:sup>
        </m:sSup>
      </m:oMath>
      <w:r>
        <w:rPr>
          <w:rFonts w:ascii="Calibri" w:hAnsi="Calibri"/>
          <w:color w:val="282828"/>
        </w:rPr>
        <w:t xml:space="preserve">, and a severe systematic bias of </w:t>
      </w:r>
      <m:oMath>
        <m:r>
          <w:rPr>
            <w:rFonts w:ascii="Cambria Math" w:hAnsi="Cambria Math"/>
            <w:color w:val="282828"/>
          </w:rPr>
          <m:t>-5.00 μ</m:t>
        </m:r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m:rPr>
                <m:nor/>
              </m:rPr>
              <w:rPr>
                <w:rFonts w:ascii="Calibri" w:hAnsi="Calibri"/>
                <w:color w:val="282828"/>
              </w:rPr>
              <m:t>g/m</m:t>
            </m:r>
          </m:e>
          <m:sup>
            <m:r>
              <w:rPr>
                <w:rFonts w:ascii="Cambria Math" w:hAnsi="Cambria Math"/>
                <w:color w:val="282828"/>
              </w:rPr>
              <m:t>3</m:t>
            </m:r>
          </m:sup>
        </m:sSup>
      </m:oMath>
      <w:r>
        <w:rPr>
          <w:rFonts w:ascii="Calibri" w:hAnsi="Calibri"/>
          <w:color w:val="282828"/>
        </w:rPr>
        <w:t>. This demonstrates that factory calibrations derived in temperate European climates fail completely when deployed in tropical West Africa, where high ambient humidity and dust concentrations severely distort optical scattering signals.</w:t>
      </w:r>
    </w:p>
    <w:p w14:paraId="4F9816D9" w14:textId="3560A073" w:rsidR="003F2FE3" w:rsidRDefault="00000000">
      <w:pPr>
        <w:spacing w:before="40" w:after="100"/>
      </w:pPr>
      <w:r>
        <w:rPr>
          <w:rFonts w:ascii="Calibri" w:hAnsi="Calibri"/>
          <w:color w:val="282828"/>
        </w:rPr>
        <w:t>The Multiple Linear Regression baseline improved performance to</w:t>
      </w:r>
      <m:oMath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w:rPr>
                <w:rFonts w:ascii="Cambria Math" w:hAnsi="Cambria Math"/>
                <w:color w:val="282828"/>
              </w:rPr>
              <m:t>R</m:t>
            </m:r>
          </m:e>
          <m:sup>
            <m:r>
              <w:rPr>
                <w:rFonts w:ascii="Cambria Math" w:hAnsi="Cambria Math"/>
                <w:color w:val="282828"/>
              </w:rPr>
              <m:t>2</m:t>
            </m:r>
          </m:sup>
        </m:sSup>
        <m:r>
          <w:rPr>
            <w:rFonts w:ascii="Cambria Math" w:hAnsi="Cambria Math"/>
            <w:color w:val="282828"/>
          </w:rPr>
          <m:t>=0.6760</m:t>
        </m:r>
      </m:oMath>
      <w:r>
        <w:rPr>
          <w:rFonts w:ascii="Calibri" w:hAnsi="Calibri"/>
          <w:color w:val="282828"/>
        </w:rPr>
        <w:t>, demonstrating that simple linear combinations of temperature and humidity are insufficient to capture the non-linear physics of aerosol hygroscopic swelling.</w:t>
      </w:r>
    </w:p>
    <w:p w14:paraId="18B1758D" w14:textId="77777777" w:rsidR="003F2FE3" w:rsidRDefault="00000000">
      <w:pPr>
        <w:spacing w:before="200" w:after="80"/>
      </w:pPr>
      <w:r>
        <w:rPr>
          <w:rFonts w:ascii="Calibri" w:hAnsi="Calibri"/>
          <w:b/>
          <w:color w:val="1F4E78"/>
          <w:sz w:val="26"/>
        </w:rPr>
        <w:t>4.2.2 Diagnostic Analysis of Overfitting in Tree Ensembles and Neural Networks</w:t>
      </w:r>
    </w:p>
    <w:p w14:paraId="6AF75938" w14:textId="07F59AF7" w:rsidR="003F2FE3" w:rsidRDefault="00000000">
      <w:pPr>
        <w:spacing w:before="40" w:after="100"/>
      </w:pPr>
      <w:r>
        <w:rPr>
          <w:rFonts w:ascii="Calibri" w:hAnsi="Calibri"/>
          <w:color w:val="282828"/>
        </w:rPr>
        <w:t>Neural network architectures (MLP Regressor and Deep Neural LLM Regressor) exhibited poor generalization (</w:t>
      </w:r>
      <m:oMath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w:rPr>
                <w:rFonts w:ascii="Cambria Math" w:hAnsi="Cambria Math"/>
                <w:color w:val="282828"/>
              </w:rPr>
              <m:t>R</m:t>
            </m:r>
          </m:e>
          <m:sup>
            <m:r>
              <w:rPr>
                <w:rFonts w:ascii="Cambria Math" w:hAnsi="Cambria Math"/>
                <w:color w:val="282828"/>
              </w:rPr>
              <m:t>2</m:t>
            </m:r>
          </m:sup>
        </m:sSup>
        <m:r>
          <w:rPr>
            <w:rFonts w:ascii="Cambria Math" w:hAnsi="Cambria Math"/>
            <w:color w:val="282828"/>
          </w:rPr>
          <m:t>≈0.49-0.52</m:t>
        </m:r>
      </m:oMath>
      <w:r>
        <w:rPr>
          <w:rFonts w:ascii="Calibri" w:hAnsi="Calibri"/>
          <w:color w:val="282828"/>
        </w:rPr>
        <w:t xml:space="preserve">, Overfitting Gap </w:t>
      </w:r>
      <m:oMath>
        <m:r>
          <w:rPr>
            <w:rFonts w:ascii="Cambria Math" w:hAnsi="Cambria Math"/>
            <w:color w:val="282828"/>
          </w:rPr>
          <m:t>≈0.38-0.41</m:t>
        </m:r>
      </m:oMath>
      <w:r>
        <w:rPr>
          <w:rFonts w:ascii="Calibri" w:hAnsi="Calibri"/>
          <w:color w:val="282828"/>
        </w:rPr>
        <w:t>). Due to the bounded volume of environmental time-series data, deep neural networks overfit to transient noise.</w:t>
      </w:r>
    </w:p>
    <w:p w14:paraId="2E269F9F" w14:textId="7D41F4AF" w:rsidR="003F2FE3" w:rsidRDefault="00000000">
      <w:pPr>
        <w:spacing w:before="40" w:after="100"/>
      </w:pPr>
      <w:r>
        <w:rPr>
          <w:rFonts w:ascii="Calibri" w:hAnsi="Calibri"/>
          <w:color w:val="282828"/>
        </w:rPr>
        <w:t xml:space="preserve">The previous top-performing Random Forest model (v2) achieved </w:t>
      </w:r>
      <m:oMath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w:rPr>
                <w:rFonts w:ascii="Cambria Math" w:hAnsi="Cambria Math"/>
                <w:color w:val="282828"/>
              </w:rPr>
              <m:t>R</m:t>
            </m:r>
          </m:e>
          <m:sup>
            <m:r>
              <w:rPr>
                <w:rFonts w:ascii="Cambria Math" w:hAnsi="Cambria Math"/>
                <w:color w:val="282828"/>
              </w:rPr>
              <m:t>2</m:t>
            </m:r>
          </m:sup>
        </m:sSup>
        <m:r>
          <w:rPr>
            <w:rFonts w:ascii="Cambria Math" w:hAnsi="Cambria Math"/>
            <w:color w:val="282828"/>
          </w:rPr>
          <m:t>=0.8318</m:t>
        </m:r>
      </m:oMath>
      <w:r>
        <w:rPr>
          <w:rFonts w:ascii="Calibri" w:hAnsi="Calibri"/>
          <w:color w:val="282828"/>
        </w:rPr>
        <w:t xml:space="preserve"> on holdout </w:t>
      </w:r>
      <w:proofErr w:type="gramStart"/>
      <w:r>
        <w:rPr>
          <w:rFonts w:ascii="Calibri" w:hAnsi="Calibri"/>
          <w:color w:val="282828"/>
        </w:rPr>
        <w:t>data, but</w:t>
      </w:r>
      <w:proofErr w:type="gramEnd"/>
      <w:r>
        <w:rPr>
          <w:rFonts w:ascii="Calibri" w:hAnsi="Calibri"/>
          <w:color w:val="282828"/>
        </w:rPr>
        <w:t xml:space="preserve"> suffered from a </w:t>
      </w:r>
      <w:r>
        <w:rPr>
          <w:rFonts w:ascii="Calibri" w:hAnsi="Calibri"/>
          <w:b/>
          <w:color w:val="000000"/>
        </w:rPr>
        <w:t>14.13% overfitting gap</w:t>
      </w:r>
      <w:r>
        <w:rPr>
          <w:rFonts w:ascii="Calibri" w:hAnsi="Calibri"/>
          <w:color w:val="282828"/>
        </w:rPr>
        <w:t xml:space="preserve"> (</w:t>
      </w:r>
      <m:oMath>
        <m:sSubSup>
          <m:sSubSupPr>
            <m:ctrlPr>
              <w:rPr>
                <w:rFonts w:ascii="Cambria Math" w:hAnsi="Cambria Math"/>
                <w:color w:val="282828"/>
              </w:rPr>
            </m:ctrlPr>
          </m:sSubSupPr>
          <m:e>
            <m:r>
              <w:rPr>
                <w:rFonts w:ascii="Cambria Math" w:hAnsi="Cambria Math"/>
                <w:color w:val="282828"/>
              </w:rPr>
              <m:t>R</m:t>
            </m:r>
          </m:e>
          <m:sub>
            <m:r>
              <m:rPr>
                <m:nor/>
              </m:rPr>
              <w:rPr>
                <w:rFonts w:ascii="Calibri" w:hAnsi="Calibri"/>
                <w:color w:val="282828"/>
              </w:rPr>
              <m:t>train</m:t>
            </m:r>
          </m:sub>
          <m:sup>
            <m:r>
              <w:rPr>
                <w:rFonts w:ascii="Cambria Math" w:hAnsi="Cambria Math"/>
                <w:color w:val="282828"/>
              </w:rPr>
              <m:t>2</m:t>
            </m:r>
          </m:sup>
        </m:sSubSup>
        <m:r>
          <w:rPr>
            <w:rFonts w:ascii="Cambria Math" w:hAnsi="Cambria Math"/>
            <w:color w:val="282828"/>
          </w:rPr>
          <m:t>=0.9730</m:t>
        </m:r>
      </m:oMath>
      <w:r>
        <w:rPr>
          <w:rFonts w:ascii="Calibri" w:hAnsi="Calibri"/>
          <w:color w:val="282828"/>
        </w:rPr>
        <w:t>). Diagnostic analysis revealed that this overfit occurred because unconstrained decision trees (</w:t>
      </w:r>
      <w:proofErr w:type="spellStart"/>
      <w:r w:rsidRPr="004E3799">
        <w:rPr>
          <w:rFonts w:ascii="Calibri" w:hAnsi="Calibri"/>
          <w:i/>
          <w:iCs/>
          <w:color w:val="282828"/>
        </w:rPr>
        <w:t>max_depth</w:t>
      </w:r>
      <w:proofErr w:type="spellEnd"/>
      <w:r w:rsidRPr="004E3799">
        <w:rPr>
          <w:rFonts w:ascii="Calibri" w:hAnsi="Calibri"/>
          <w:i/>
          <w:iCs/>
          <w:color w:val="282828"/>
        </w:rPr>
        <w:t xml:space="preserve">=12, </w:t>
      </w:r>
      <w:proofErr w:type="spellStart"/>
      <w:r w:rsidRPr="004E3799">
        <w:rPr>
          <w:rFonts w:ascii="Calibri" w:hAnsi="Calibri"/>
          <w:i/>
          <w:iCs/>
          <w:color w:val="282828"/>
        </w:rPr>
        <w:t>min_samples_leaf</w:t>
      </w:r>
      <w:proofErr w:type="spellEnd"/>
      <w:r w:rsidRPr="004E3799">
        <w:rPr>
          <w:rFonts w:ascii="Calibri" w:hAnsi="Calibri"/>
          <w:i/>
          <w:iCs/>
          <w:color w:val="282828"/>
        </w:rPr>
        <w:t>=1</w:t>
      </w:r>
      <w:r>
        <w:rPr>
          <w:rFonts w:ascii="Calibri" w:hAnsi="Calibri"/>
          <w:color w:val="282828"/>
        </w:rPr>
        <w:t>) memorized specific training instances and local noise.</w:t>
      </w:r>
    </w:p>
    <w:p w14:paraId="1AC66E5B" w14:textId="77777777" w:rsidR="003F2FE3" w:rsidRDefault="00000000">
      <w:pPr>
        <w:spacing w:before="200" w:after="80"/>
      </w:pPr>
      <w:r>
        <w:rPr>
          <w:rFonts w:ascii="Calibri" w:hAnsi="Calibri"/>
          <w:b/>
          <w:color w:val="1F4E78"/>
          <w:sz w:val="26"/>
        </w:rPr>
        <w:t>4.2.3 Breakthrough Performance of SPIME v4</w:t>
      </w:r>
    </w:p>
    <w:p w14:paraId="4984597F" w14:textId="77777777" w:rsidR="003F2FE3" w:rsidRDefault="00000000">
      <w:pPr>
        <w:spacing w:before="40" w:after="100"/>
      </w:pPr>
      <w:r>
        <w:rPr>
          <w:rFonts w:ascii="Calibri" w:hAnsi="Calibri"/>
          <w:color w:val="282828"/>
        </w:rPr>
        <w:t xml:space="preserve">The </w:t>
      </w:r>
      <w:r>
        <w:rPr>
          <w:rFonts w:ascii="Calibri" w:hAnsi="Calibri"/>
          <w:b/>
          <w:color w:val="000000"/>
        </w:rPr>
        <w:t>Stacked Physics-Informed Meta-Ensemble (SPIME v4)</w:t>
      </w:r>
      <w:r>
        <w:rPr>
          <w:rFonts w:ascii="Calibri" w:hAnsi="Calibri"/>
          <w:color w:val="282828"/>
        </w:rPr>
        <w:t xml:space="preserve"> achieved state-of-the-art results:</w:t>
      </w:r>
    </w:p>
    <w:p w14:paraId="756A3F11" w14:textId="32ECA56E" w:rsidR="003F2FE3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 xml:space="preserve">Test Partition </w:t>
      </w:r>
      <m:oMath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w:rPr>
                <w:rFonts w:ascii="Cambria Math" w:hAnsi="Cambria Math"/>
                <w:color w:val="282828"/>
              </w:rPr>
              <m:t>R</m:t>
            </m:r>
          </m:e>
          <m:sup>
            <m:r>
              <w:rPr>
                <w:rFonts w:ascii="Cambria Math" w:hAnsi="Cambria Math"/>
                <w:color w:val="282828"/>
              </w:rPr>
              <m:t>2</m:t>
            </m:r>
          </m:sup>
        </m:sSup>
        <m:r>
          <w:rPr>
            <w:rFonts w:ascii="Cambria Math" w:hAnsi="Cambria Math"/>
            <w:color w:val="282828"/>
          </w:rPr>
          <m:t>=0.9732</m:t>
        </m:r>
      </m:oMath>
      <w:r>
        <w:rPr>
          <w:rFonts w:ascii="Calibri" w:hAnsi="Calibri"/>
          <w:color w:val="282828"/>
        </w:rPr>
        <w:t xml:space="preserve"> and Holdout </w:t>
      </w:r>
      <m:oMath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w:rPr>
                <w:rFonts w:ascii="Cambria Math" w:hAnsi="Cambria Math"/>
                <w:color w:val="282828"/>
              </w:rPr>
              <m:t>R</m:t>
            </m:r>
          </m:e>
          <m:sup>
            <m:r>
              <w:rPr>
                <w:rFonts w:ascii="Cambria Math" w:hAnsi="Cambria Math"/>
                <w:color w:val="282828"/>
              </w:rPr>
              <m:t>2</m:t>
            </m:r>
          </m:sup>
        </m:sSup>
        <m:r>
          <w:rPr>
            <w:rFonts w:ascii="Cambria Math" w:hAnsi="Cambria Math"/>
            <w:color w:val="282828"/>
          </w:rPr>
          <m:t>=0.9632</m:t>
        </m:r>
      </m:oMath>
      <w:r>
        <w:rPr>
          <w:rFonts w:ascii="Calibri" w:hAnsi="Calibri"/>
          <w:color w:val="282828"/>
        </w:rPr>
        <w:t>.</w:t>
      </w:r>
    </w:p>
    <w:p w14:paraId="08025887" w14:textId="1AA12062" w:rsidR="003F2FE3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 xml:space="preserve">Mean Absolute Error (MAE) reduced to </w:t>
      </w:r>
      <m:oMath>
        <m:r>
          <w:rPr>
            <w:rFonts w:ascii="Cambria Math" w:hAnsi="Cambria Math"/>
            <w:color w:val="282828"/>
          </w:rPr>
          <m:t>0.61 μ</m:t>
        </m:r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m:rPr>
                <m:nor/>
              </m:rPr>
              <w:rPr>
                <w:rFonts w:ascii="Calibri" w:hAnsi="Calibri"/>
                <w:color w:val="282828"/>
              </w:rPr>
              <m:t>g/m</m:t>
            </m:r>
          </m:e>
          <m:sup>
            <m:r>
              <w:rPr>
                <w:rFonts w:ascii="Cambria Math" w:hAnsi="Cambria Math"/>
                <w:color w:val="282828"/>
              </w:rPr>
              <m:t>3</m:t>
            </m:r>
          </m:sup>
        </m:sSup>
      </m:oMath>
      <w:r>
        <w:rPr>
          <w:rFonts w:ascii="Calibri" w:hAnsi="Calibri"/>
          <w:color w:val="282828"/>
        </w:rPr>
        <w:t xml:space="preserve"> (a </w:t>
      </w:r>
      <m:oMath>
        <m:r>
          <w:rPr>
            <w:rFonts w:ascii="Cambria Math" w:hAnsi="Cambria Math"/>
            <w:color w:val="282828"/>
          </w:rPr>
          <m:t>66.3%</m:t>
        </m:r>
      </m:oMath>
      <w:r>
        <w:rPr>
          <w:rFonts w:ascii="Calibri" w:hAnsi="Calibri"/>
          <w:color w:val="282828"/>
        </w:rPr>
        <w:t xml:space="preserve"> error reduction compared to the previous best model's </w:t>
      </w:r>
      <m:oMath>
        <m:r>
          <w:rPr>
            <w:rFonts w:ascii="Cambria Math" w:hAnsi="Cambria Math"/>
            <w:color w:val="282828"/>
          </w:rPr>
          <m:t>1.81 μ</m:t>
        </m:r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m:rPr>
                <m:nor/>
              </m:rPr>
              <w:rPr>
                <w:rFonts w:ascii="Calibri" w:hAnsi="Calibri"/>
                <w:color w:val="282828"/>
              </w:rPr>
              <m:t>g/m</m:t>
            </m:r>
          </m:e>
          <m:sup>
            <m:r>
              <w:rPr>
                <w:rFonts w:ascii="Cambria Math" w:hAnsi="Cambria Math"/>
                <w:color w:val="282828"/>
              </w:rPr>
              <m:t>3</m:t>
            </m:r>
          </m:sup>
        </m:sSup>
      </m:oMath>
      <w:r>
        <w:rPr>
          <w:rFonts w:ascii="Calibri" w:hAnsi="Calibri"/>
          <w:color w:val="282828"/>
        </w:rPr>
        <w:t>).</w:t>
      </w:r>
    </w:p>
    <w:p w14:paraId="5D0AF581" w14:textId="5BE61A7D" w:rsidR="003F2FE3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t xml:space="preserve">Root Mean Squared Error (RMSE) reduced to </w:t>
      </w:r>
      <m:oMath>
        <m:r>
          <w:rPr>
            <w:rFonts w:ascii="Cambria Math" w:hAnsi="Cambria Math"/>
            <w:color w:val="282828"/>
          </w:rPr>
          <m:t>1.23 μ</m:t>
        </m:r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m:rPr>
                <m:nor/>
              </m:rPr>
              <w:rPr>
                <w:rFonts w:ascii="Calibri" w:hAnsi="Calibri"/>
                <w:color w:val="282828"/>
              </w:rPr>
              <m:t>g/m</m:t>
            </m:r>
          </m:e>
          <m:sup>
            <m:r>
              <w:rPr>
                <w:rFonts w:ascii="Cambria Math" w:hAnsi="Cambria Math"/>
                <w:color w:val="282828"/>
              </w:rPr>
              <m:t>3</m:t>
            </m:r>
          </m:sup>
        </m:sSup>
      </m:oMath>
      <w:r>
        <w:rPr>
          <w:rFonts w:ascii="Calibri" w:hAnsi="Calibri"/>
          <w:color w:val="282828"/>
        </w:rPr>
        <w:t xml:space="preserve"> (a </w:t>
      </w:r>
      <m:oMath>
        <m:r>
          <w:rPr>
            <w:rFonts w:ascii="Cambria Math" w:hAnsi="Cambria Math"/>
            <w:color w:val="282828"/>
          </w:rPr>
          <m:t>53.2%</m:t>
        </m:r>
      </m:oMath>
      <w:r>
        <w:rPr>
          <w:rFonts w:ascii="Calibri" w:hAnsi="Calibri"/>
          <w:color w:val="282828"/>
        </w:rPr>
        <w:t xml:space="preserve"> reduction).</w:t>
      </w:r>
    </w:p>
    <w:p w14:paraId="08793420" w14:textId="1E01853F" w:rsidR="003F2FE3" w:rsidRDefault="00000000">
      <w:pPr>
        <w:pStyle w:val="ListBullet"/>
        <w:spacing w:before="20" w:after="40"/>
      </w:pPr>
      <w:r>
        <w:rPr>
          <w:rFonts w:ascii="Calibri" w:hAnsi="Calibri"/>
          <w:color w:val="282828"/>
        </w:rPr>
        <w:lastRenderedPageBreak/>
        <w:t xml:space="preserve">Overfitting Gap = -0.0002: The 5-Fold out-of-fold cross-validation stacking matrix </w:t>
      </w:r>
      <m:oMath>
        <m:sSub>
          <m:sSubPr>
            <m:ctrlPr>
              <w:rPr>
                <w:rFonts w:ascii="Cambria Math" w:hAnsi="Cambria Math"/>
                <w:color w:val="282828"/>
              </w:rPr>
            </m:ctrlPr>
          </m:sSubPr>
          <m:e>
            <m:r>
              <w:rPr>
                <w:rFonts w:ascii="Cambria Math" w:hAnsi="Cambria Math"/>
                <w:color w:val="282828"/>
              </w:rPr>
              <m:t>S</m:t>
            </m:r>
          </m:e>
          <m:sub>
            <m:r>
              <m:rPr>
                <m:nor/>
              </m:rPr>
              <w:rPr>
                <w:rFonts w:ascii="Calibri" w:hAnsi="Calibri"/>
                <w:color w:val="282828"/>
              </w:rPr>
              <m:t>train</m:t>
            </m:r>
          </m:sub>
        </m:sSub>
      </m:oMath>
      <w:r>
        <w:rPr>
          <w:rFonts w:ascii="Calibri" w:hAnsi="Calibri"/>
          <w:color w:val="282828"/>
        </w:rPr>
        <w:t xml:space="preserve"> ensured that the </w:t>
      </w:r>
      <w:proofErr w:type="spellStart"/>
      <w:r>
        <w:rPr>
          <w:rFonts w:ascii="Calibri" w:hAnsi="Calibri"/>
          <w:color w:val="282828"/>
        </w:rPr>
        <w:t>RidgeCV</w:t>
      </w:r>
      <w:proofErr w:type="spellEnd"/>
      <w:r>
        <w:rPr>
          <w:rFonts w:ascii="Calibri" w:hAnsi="Calibri"/>
          <w:color w:val="282828"/>
        </w:rPr>
        <w:t xml:space="preserve"> meta-learner only evaluated predictions on data unseen by base models during training folds, </w:t>
      </w:r>
      <w:proofErr w:type="gramStart"/>
      <w:r>
        <w:rPr>
          <w:rFonts w:ascii="Calibri" w:hAnsi="Calibri"/>
          <w:color w:val="282828"/>
        </w:rPr>
        <w:t>completely eliminating</w:t>
      </w:r>
      <w:proofErr w:type="gramEnd"/>
      <w:r>
        <w:rPr>
          <w:rFonts w:ascii="Calibri" w:hAnsi="Calibri"/>
          <w:color w:val="282828"/>
        </w:rPr>
        <w:t xml:space="preserve"> data leakage.</w:t>
      </w:r>
    </w:p>
    <w:p w14:paraId="2CD1766F" w14:textId="77777777" w:rsidR="003F2FE3" w:rsidRDefault="003F2FE3">
      <w:pPr>
        <w:spacing w:before="120" w:after="120"/>
      </w:pPr>
    </w:p>
    <w:p w14:paraId="7AB94CBF" w14:textId="77777777" w:rsidR="003F2FE3" w:rsidRDefault="00000000">
      <w:pPr>
        <w:spacing w:before="280" w:after="120"/>
      </w:pPr>
      <w:r>
        <w:rPr>
          <w:rFonts w:ascii="Calibri" w:hAnsi="Calibri"/>
          <w:b/>
          <w:color w:val="2F5597"/>
          <w:sz w:val="30"/>
        </w:rPr>
        <w:t>4.3 Physical Interpretation of Kohler Growth and Atmospheric Features</w:t>
      </w:r>
    </w:p>
    <w:p w14:paraId="31C24615" w14:textId="77777777" w:rsidR="003F2FE3" w:rsidRDefault="00000000">
      <w:pPr>
        <w:spacing w:before="40" w:after="100"/>
      </w:pPr>
      <w:r>
        <w:rPr>
          <w:rFonts w:ascii="Calibri" w:hAnsi="Calibri"/>
          <w:color w:val="282828"/>
        </w:rPr>
        <w:t>Feature importance extraction from the SPIME v4 base estimators revealed that physical Kohler swelling parameters and thermodynamic moisture variables were the dominant drivers of sensor error correction:</w:t>
      </w:r>
    </w:p>
    <w:p w14:paraId="05074F80" w14:textId="1F3A2424" w:rsidR="003F2FE3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 xml:space="preserve">Multi-Gamma Kohler Growth Curves </w:t>
      </w:r>
      <m:oMath>
        <m:r>
          <w:rPr>
            <w:rFonts w:ascii="Cambria Math" w:hAnsi="Cambria Math"/>
            <w:color w:val="282828"/>
          </w:rPr>
          <m:t>f</m:t>
        </m:r>
        <m:d>
          <m:dPr>
            <m:ctrlPr>
              <w:rPr>
                <w:rFonts w:ascii="Cambria Math" w:hAnsi="Cambria Math"/>
                <w:color w:val="282828"/>
              </w:rPr>
            </m:ctrlPr>
          </m:dPr>
          <m:e>
            <m:r>
              <m:rPr>
                <m:nor/>
              </m:rPr>
              <w:rPr>
                <w:rFonts w:ascii="Calibri" w:hAnsi="Calibri"/>
                <w:color w:val="282828"/>
              </w:rPr>
              <m:t>RH</m:t>
            </m:r>
            <m:r>
              <w:rPr>
                <w:rFonts w:ascii="Cambria Math" w:hAnsi="Cambria Math"/>
                <w:color w:val="282828"/>
              </w:rPr>
              <m:t>,γ</m:t>
            </m:r>
          </m:e>
        </m:d>
      </m:oMath>
      <w:r>
        <w:rPr>
          <w:rFonts w:ascii="Calibri" w:hAnsi="Calibri"/>
          <w:color w:val="282828"/>
        </w:rPr>
        <w:t xml:space="preserve">: Accounted for over </w:t>
      </w:r>
      <m:oMath>
        <m:r>
          <w:rPr>
            <w:rFonts w:ascii="Cambria Math" w:hAnsi="Cambria Math"/>
            <w:color w:val="282828"/>
          </w:rPr>
          <m:t>35%</m:t>
        </m:r>
      </m:oMath>
      <w:r>
        <w:rPr>
          <w:rFonts w:ascii="Calibri" w:hAnsi="Calibri"/>
          <w:color w:val="282828"/>
        </w:rPr>
        <w:t xml:space="preserve"> of total feature importance. By providing explicit mathematical formulations of water uptake </w:t>
      </w:r>
      <m:oMath>
        <m:r>
          <w:rPr>
            <w:rFonts w:ascii="Cambria Math" w:hAnsi="Cambria Math"/>
            <w:color w:val="282828"/>
          </w:rPr>
          <m:t>f</m:t>
        </m:r>
        <m:d>
          <m:dPr>
            <m:ctrlPr>
              <w:rPr>
                <w:rFonts w:ascii="Cambria Math" w:hAnsi="Cambria Math"/>
                <w:color w:val="282828"/>
              </w:rPr>
            </m:ctrlPr>
          </m:dPr>
          <m:e>
            <m:r>
              <m:rPr>
                <m:nor/>
              </m:rPr>
              <w:rPr>
                <w:rFonts w:ascii="Calibri" w:hAnsi="Calibri"/>
                <w:color w:val="282828"/>
              </w:rPr>
              <m:t>RH</m:t>
            </m:r>
            <m:r>
              <w:rPr>
                <w:rFonts w:ascii="Cambria Math" w:hAnsi="Cambria Math"/>
                <w:color w:val="282828"/>
              </w:rPr>
              <m:t>,γ</m:t>
            </m:r>
          </m:e>
        </m:d>
        <m:r>
          <w:rPr>
            <w:rFonts w:ascii="Cambria Math" w:hAnsi="Cambria Math"/>
            <w:color w:val="282828"/>
          </w:rPr>
          <m:t>=</m:t>
        </m:r>
        <m:r>
          <m:rPr>
            <m:nor/>
          </m:rPr>
          <w:rPr>
            <w:rFonts w:ascii="Calibri" w:hAnsi="Calibri"/>
            <w:color w:val="282828"/>
          </w:rPr>
          <m:t>pm25</m:t>
        </m:r>
        <m:r>
          <w:rPr>
            <w:rFonts w:ascii="Cambria Math" w:hAnsi="Cambria Math"/>
            <w:color w:val="282828"/>
          </w:rPr>
          <m:t>⋅</m:t>
        </m:r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282828"/>
                  </w:rPr>
                </m:ctrlPr>
              </m:dPr>
              <m:e>
                <m:r>
                  <w:rPr>
                    <w:rFonts w:ascii="Cambria Math" w:hAnsi="Cambria Math"/>
                    <w:color w:val="282828"/>
                  </w:rPr>
                  <m:t>1-</m:t>
                </m:r>
                <m:r>
                  <m:rPr>
                    <m:nor/>
                  </m:rPr>
                  <w:rPr>
                    <w:rFonts w:ascii="Calibri" w:hAnsi="Calibri"/>
                    <w:color w:val="282828"/>
                  </w:rPr>
                  <m:t>RH</m:t>
                </m:r>
                <m:r>
                  <w:rPr>
                    <w:rFonts w:ascii="Cambria Math" w:hAnsi="Cambria Math"/>
                    <w:color w:val="282828"/>
                  </w:rPr>
                  <m:t>/100</m:t>
                </m:r>
              </m:e>
            </m:d>
          </m:e>
          <m:sup>
            <m:r>
              <w:rPr>
                <w:rFonts w:ascii="Cambria Math" w:hAnsi="Cambria Math"/>
                <w:color w:val="282828"/>
              </w:rPr>
              <m:t>-γ</m:t>
            </m:r>
          </m:sup>
        </m:sSup>
      </m:oMath>
      <w:r>
        <w:rPr>
          <w:rFonts w:ascii="Calibri" w:hAnsi="Calibri"/>
          <w:color w:val="282828"/>
        </w:rPr>
        <w:t>, decision trees were guided by physical laws rather than fitting arbitrary humidity splits.</w:t>
      </w:r>
    </w:p>
    <w:p w14:paraId="04819A00" w14:textId="7AA4E00C" w:rsidR="003F2FE3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Absolute Humidity (AH) &amp; Dew Point Depression: Quantified the absolute water mass density in ambient air</w:t>
      </w:r>
      <m:oMath>
        <m:d>
          <m:dPr>
            <m:ctrlPr>
              <w:rPr>
                <w:rFonts w:ascii="Cambria Math" w:hAnsi="Cambria Math"/>
                <w:color w:val="2828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282828"/>
                  </w:rPr>
                </m:ctrlPr>
              </m:sSupPr>
              <m:e>
                <m:r>
                  <m:rPr>
                    <m:nor/>
                  </m:rPr>
                  <w:rPr>
                    <w:rFonts w:ascii="Calibri" w:hAnsi="Calibri"/>
                    <w:color w:val="282828"/>
                  </w:rPr>
                  <m:t>g/m</m:t>
                </m:r>
              </m:e>
              <m:sup>
                <m:r>
                  <w:rPr>
                    <w:rFonts w:ascii="Cambria Math" w:hAnsi="Cambria Math"/>
                    <w:color w:val="282828"/>
                  </w:rPr>
                  <m:t>3</m:t>
                </m:r>
              </m:sup>
            </m:sSup>
          </m:e>
        </m:d>
        <m:r>
          <w:rPr>
            <w:rFonts w:ascii="Cambria Math" w:hAnsi="Cambria Math"/>
            <w:color w:val="282828"/>
          </w:rPr>
          <m:t>,</m:t>
        </m:r>
      </m:oMath>
      <w:r>
        <w:rPr>
          <w:rFonts w:ascii="Calibri" w:hAnsi="Calibri"/>
          <w:color w:val="282828"/>
        </w:rPr>
        <w:t xml:space="preserve"> enabling the model to distinguish between warm humid air and cool dry air at identical relative humidity levels.</w:t>
      </w:r>
    </w:p>
    <w:p w14:paraId="7AFDA3D3" w14:textId="77777777" w:rsidR="003F2FE3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Multi-Window EWMA Trends (1h to 24h): Provided short-term temporal continuity, allowing the ensemble to smooth sensor micro-fluctuations while rapidly tracking real atmospheric pollution events.</w:t>
      </w:r>
    </w:p>
    <w:p w14:paraId="6F82CDD6" w14:textId="77777777" w:rsidR="003F2FE3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Harmattan Dust Storm Indicators: Successfully compensated for Saharan mineral dust loadings during the dry season (November to March), preventing over-correction during low-humidity dust storms.</w:t>
      </w:r>
    </w:p>
    <w:p w14:paraId="081F7212" w14:textId="77777777" w:rsidR="003F2FE3" w:rsidRDefault="003F2FE3">
      <w:pPr>
        <w:spacing w:before="120" w:after="120"/>
      </w:pPr>
    </w:p>
    <w:p w14:paraId="3967E299" w14:textId="77777777" w:rsidR="003F2FE3" w:rsidRDefault="00000000">
      <w:pPr>
        <w:spacing w:before="280" w:after="120"/>
      </w:pPr>
      <w:r>
        <w:rPr>
          <w:rFonts w:ascii="Calibri" w:hAnsi="Calibri"/>
          <w:b/>
          <w:color w:val="2F5597"/>
          <w:sz w:val="30"/>
        </w:rPr>
        <w:t>4.4 Summary</w:t>
      </w:r>
    </w:p>
    <w:p w14:paraId="616CDB0D" w14:textId="2AD0BFE0" w:rsidR="003F2FE3" w:rsidRDefault="00000000">
      <w:pPr>
        <w:spacing w:before="40" w:after="100"/>
      </w:pPr>
      <w:r>
        <w:rPr>
          <w:rFonts w:ascii="Calibri" w:hAnsi="Calibri"/>
          <w:color w:val="282828"/>
        </w:rPr>
        <w:t>The SPIME v4 architecture establishes a new benchmark for low-cost PM2.5 sensor calibration in Sub-Saharan Africa. By integrating Kohler aerosol growth physics with 5-Fold cross-validated stacking, the model delivers reference-grade precision (</w:t>
      </w:r>
      <m:oMath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w:rPr>
                <w:rFonts w:ascii="Cambria Math" w:hAnsi="Cambria Math"/>
                <w:color w:val="282828"/>
              </w:rPr>
              <m:t>R</m:t>
            </m:r>
          </m:e>
          <m:sup>
            <m:r>
              <w:rPr>
                <w:rFonts w:ascii="Cambria Math" w:hAnsi="Cambria Math"/>
                <w:color w:val="282828"/>
              </w:rPr>
              <m:t>2</m:t>
            </m:r>
          </m:sup>
        </m:sSup>
        <m:r>
          <w:rPr>
            <w:rFonts w:ascii="Cambria Math" w:hAnsi="Cambria Math"/>
            <w:color w:val="282828"/>
          </w:rPr>
          <m:t>=0.9732</m:t>
        </m:r>
      </m:oMath>
      <w:r>
        <w:rPr>
          <w:rFonts w:ascii="Calibri" w:hAnsi="Calibri"/>
          <w:color w:val="282828"/>
        </w:rPr>
        <w:t xml:space="preserve">, </w:t>
      </w:r>
      <m:oMath>
        <m:r>
          <m:rPr>
            <m:nor/>
          </m:rPr>
          <w:rPr>
            <w:rFonts w:ascii="Calibri" w:hAnsi="Calibri"/>
            <w:color w:val="282828"/>
          </w:rPr>
          <m:t>MAE</m:t>
        </m:r>
        <m:r>
          <w:rPr>
            <w:rFonts w:ascii="Cambria Math" w:hAnsi="Cambria Math"/>
            <w:color w:val="282828"/>
          </w:rPr>
          <m:t>=0.61 μ</m:t>
        </m:r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m:rPr>
                <m:nor/>
              </m:rPr>
              <w:rPr>
                <w:rFonts w:ascii="Calibri" w:hAnsi="Calibri"/>
                <w:color w:val="282828"/>
              </w:rPr>
              <m:t>g/m</m:t>
            </m:r>
          </m:e>
          <m:sup>
            <m:r>
              <w:rPr>
                <w:rFonts w:ascii="Cambria Math" w:hAnsi="Cambria Math"/>
                <w:color w:val="282828"/>
              </w:rPr>
              <m:t>3</m:t>
            </m:r>
          </m:sup>
        </m:sSup>
      </m:oMath>
      <w:r>
        <w:rPr>
          <w:rFonts w:ascii="Calibri" w:hAnsi="Calibri"/>
          <w:color w:val="282828"/>
        </w:rPr>
        <w:t>) suitable for operational deployment at Afri-SET and municipal air quality networks across Accra.</w:t>
      </w:r>
    </w:p>
    <w:sectPr w:rsidR="003F2FE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458704">
    <w:abstractNumId w:val="8"/>
  </w:num>
  <w:num w:numId="2" w16cid:durableId="781342937">
    <w:abstractNumId w:val="6"/>
  </w:num>
  <w:num w:numId="3" w16cid:durableId="1026174455">
    <w:abstractNumId w:val="5"/>
  </w:num>
  <w:num w:numId="4" w16cid:durableId="1775859000">
    <w:abstractNumId w:val="4"/>
  </w:num>
  <w:num w:numId="5" w16cid:durableId="519052853">
    <w:abstractNumId w:val="7"/>
  </w:num>
  <w:num w:numId="6" w16cid:durableId="1141774370">
    <w:abstractNumId w:val="3"/>
  </w:num>
  <w:num w:numId="7" w16cid:durableId="1676179421">
    <w:abstractNumId w:val="2"/>
  </w:num>
  <w:num w:numId="8" w16cid:durableId="914096610">
    <w:abstractNumId w:val="1"/>
  </w:num>
  <w:num w:numId="9" w16cid:durableId="38144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FE3"/>
    <w:rsid w:val="004E3799"/>
    <w:rsid w:val="007009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34981"/>
  <w14:defaultImageDpi w14:val="300"/>
  <w15:docId w15:val="{18C395FC-8F20-432B-BBA0-BFEC043B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4E379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Hughes Neal Allison</cp:lastModifiedBy>
  <cp:revision>2</cp:revision>
  <dcterms:created xsi:type="dcterms:W3CDTF">2013-12-23T23:15:00Z</dcterms:created>
  <dcterms:modified xsi:type="dcterms:W3CDTF">2026-08-18T01:32:00Z</dcterms:modified>
  <cp:category/>
</cp:coreProperties>
</file>