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6A49E" w14:textId="77777777" w:rsidR="003977A0" w:rsidRDefault="00000000">
      <w:pPr>
        <w:spacing w:before="360" w:after="160"/>
      </w:pPr>
      <w:r>
        <w:rPr>
          <w:rFonts w:ascii="Calibri" w:hAnsi="Calibri"/>
          <w:b/>
          <w:color w:val="1F4E78"/>
          <w:sz w:val="40"/>
        </w:rPr>
        <w:t>Chapter 5: Conclusion and Recommendations</w:t>
      </w:r>
    </w:p>
    <w:p w14:paraId="384636A9" w14:textId="61FD6726" w:rsidR="003977A0" w:rsidRDefault="00000000">
      <w:pPr>
        <w:spacing w:before="40" w:after="100"/>
      </w:pPr>
      <w:r>
        <w:rPr>
          <w:rFonts w:ascii="Calibri" w:hAnsi="Calibri"/>
          <w:color w:val="282828"/>
        </w:rPr>
        <w:t xml:space="preserve">This chapter concludes the study by summarizing the primary findings against the research objectives, detailing practical deployment recommendations for the African </w:t>
      </w:r>
      <w:r w:rsidR="00396AB7">
        <w:rPr>
          <w:rFonts w:ascii="Calibri" w:hAnsi="Calibri"/>
          <w:color w:val="282828"/>
        </w:rPr>
        <w:t>Sensor Evaluation and Training facility</w:t>
      </w:r>
      <w:r>
        <w:rPr>
          <w:rFonts w:ascii="Calibri" w:hAnsi="Calibri"/>
          <w:color w:val="282828"/>
        </w:rPr>
        <w:t xml:space="preserve"> (Afri-SET), identifying study limitations, and suggesting avenues for future research.</w:t>
      </w:r>
    </w:p>
    <w:p w14:paraId="78ABD592" w14:textId="77777777" w:rsidR="003977A0" w:rsidRDefault="003977A0">
      <w:pPr>
        <w:spacing w:before="120" w:after="120"/>
      </w:pPr>
    </w:p>
    <w:p w14:paraId="732D3C9E" w14:textId="77777777" w:rsidR="003977A0" w:rsidRDefault="00000000">
      <w:pPr>
        <w:spacing w:before="280" w:after="120"/>
      </w:pPr>
      <w:r>
        <w:rPr>
          <w:rFonts w:ascii="Calibri" w:hAnsi="Calibri"/>
          <w:b/>
          <w:color w:val="2F5597"/>
          <w:sz w:val="30"/>
        </w:rPr>
        <w:t>5.1 Summary of Key Findings</w:t>
      </w:r>
    </w:p>
    <w:p w14:paraId="297B7FE5" w14:textId="77777777" w:rsidR="003977A0" w:rsidRDefault="00000000">
      <w:pPr>
        <w:spacing w:before="40" w:after="100"/>
      </w:pPr>
      <w:r>
        <w:rPr>
          <w:rFonts w:ascii="Calibri" w:hAnsi="Calibri"/>
          <w:color w:val="282828"/>
        </w:rPr>
        <w:t xml:space="preserve">This study developed, evaluated, and deployed a </w:t>
      </w:r>
      <w:r>
        <w:rPr>
          <w:rFonts w:ascii="Calibri" w:hAnsi="Calibri"/>
          <w:b/>
          <w:color w:val="000000"/>
        </w:rPr>
        <w:t>Stacked Physics-Informed Meta-Ensemble (SPIME v4)</w:t>
      </w:r>
      <w:r>
        <w:rPr>
          <w:rFonts w:ascii="Calibri" w:hAnsi="Calibri"/>
          <w:color w:val="282828"/>
        </w:rPr>
        <w:t xml:space="preserve"> model to calibrate the low-cost QuantAQ Modulair-PM optical particle counter against a FEM Teledyne API T640 reference monitor at the University of Ghana, Legon, Accra.</w:t>
      </w:r>
    </w:p>
    <w:p w14:paraId="01E64FD5" w14:textId="77777777" w:rsidR="003977A0" w:rsidRDefault="00000000">
      <w:pPr>
        <w:spacing w:before="40" w:after="100"/>
      </w:pPr>
      <w:r>
        <w:rPr>
          <w:rFonts w:ascii="Calibri" w:hAnsi="Calibri"/>
          <w:color w:val="282828"/>
        </w:rPr>
        <w:t>The key findings corresponding to the research objectives are:</w:t>
      </w:r>
    </w:p>
    <w:p w14:paraId="7B915779" w14:textId="167562E8" w:rsidR="003977A0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>Failure of Factory Calibration: Uncalibrated factory sensor outputs yielded a negative</w:t>
      </w:r>
      <m:oMath>
        <m:r>
          <w:rPr>
            <w:rFonts w:ascii="Cambria Math" w:hAnsi="Cambria Math"/>
            <w:color w:val="282828"/>
          </w:rPr>
          <m:t xml:space="preserve"> </m:t>
        </m:r>
        <m:sSup>
          <m:sSupPr>
            <m:ctrlPr>
              <w:rPr>
                <w:rFonts w:ascii="Cambria Math" w:hAnsi="Cambria Math"/>
                <w:color w:val="282828"/>
              </w:rPr>
            </m:ctrlPr>
          </m:sSupPr>
          <m:e>
            <m:r>
              <w:rPr>
                <w:rFonts w:ascii="Cambria Math" w:hAnsi="Cambria Math"/>
                <w:color w:val="282828"/>
              </w:rPr>
              <m:t>R</m:t>
            </m:r>
          </m:e>
          <m:sup>
            <m:r>
              <w:rPr>
                <w:rFonts w:ascii="Cambria Math" w:hAnsi="Cambria Math"/>
                <w:color w:val="282828"/>
              </w:rPr>
              <m:t>2</m:t>
            </m:r>
          </m:sup>
        </m:sSup>
      </m:oMath>
      <w:r>
        <w:rPr>
          <w:rFonts w:ascii="Calibri" w:hAnsi="Calibri"/>
          <w:color w:val="282828"/>
        </w:rPr>
        <w:t xml:space="preserve"> score (-0.0133) and an MAE of </w:t>
      </w:r>
      <m:oMath>
        <m:r>
          <w:rPr>
            <w:rFonts w:ascii="Cambria Math" w:hAnsi="Cambria Math"/>
            <w:color w:val="282828"/>
          </w:rPr>
          <m:t>5.30 μ</m:t>
        </m:r>
        <m:sSup>
          <m:sSupPr>
            <m:ctrlPr>
              <w:rPr>
                <w:rFonts w:ascii="Cambria Math" w:hAnsi="Cambria Math"/>
                <w:color w:val="282828"/>
              </w:rPr>
            </m:ctrlPr>
          </m:sSupPr>
          <m:e>
            <m:r>
              <m:rPr>
                <m:nor/>
              </m:rPr>
              <w:rPr>
                <w:rFonts w:ascii="Calibri" w:hAnsi="Calibri"/>
                <w:color w:val="282828"/>
              </w:rPr>
              <m:t>g/m</m:t>
            </m:r>
          </m:e>
          <m:sup>
            <m:r>
              <w:rPr>
                <w:rFonts w:ascii="Cambria Math" w:hAnsi="Cambria Math"/>
                <w:color w:val="282828"/>
              </w:rPr>
              <m:t>3</m:t>
            </m:r>
          </m:sup>
        </m:sSup>
      </m:oMath>
      <w:r>
        <w:rPr>
          <w:rFonts w:ascii="Calibri" w:hAnsi="Calibri"/>
          <w:color w:val="282828"/>
        </w:rPr>
        <w:t>, demonstrating that European factory calibrations fail in West Africa's high-humidity and high-dust environment.</w:t>
      </w:r>
    </w:p>
    <w:p w14:paraId="11D5A689" w14:textId="698FC59E" w:rsidR="003977A0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>Impact of Physics-Informed Feature Engineering: Formulating 75 domain-specific features</w:t>
      </w:r>
      <w:r w:rsidR="00396AB7">
        <w:rPr>
          <w:rFonts w:ascii="Calibri" w:hAnsi="Calibri"/>
          <w:color w:val="282828"/>
        </w:rPr>
        <w:t xml:space="preserve"> </w:t>
      </w:r>
      <w:r>
        <w:rPr>
          <w:rFonts w:ascii="Calibri" w:hAnsi="Calibri"/>
          <w:color w:val="282828"/>
        </w:rPr>
        <w:t xml:space="preserve">including multi-gamma Kohler hygroscopic swelling curves </w:t>
      </w:r>
      <m:oMath>
        <m:r>
          <w:rPr>
            <w:rFonts w:ascii="Cambria Math" w:hAnsi="Cambria Math"/>
            <w:color w:val="282828"/>
          </w:rPr>
          <m:t>f</m:t>
        </m:r>
        <m:d>
          <m:dPr>
            <m:ctrlPr>
              <w:rPr>
                <w:rFonts w:ascii="Cambria Math" w:hAnsi="Cambria Math"/>
                <w:color w:val="282828"/>
              </w:rPr>
            </m:ctrlPr>
          </m:dPr>
          <m:e>
            <m:r>
              <m:rPr>
                <m:nor/>
              </m:rPr>
              <w:rPr>
                <w:rFonts w:ascii="Calibri" w:hAnsi="Calibri"/>
                <w:color w:val="282828"/>
              </w:rPr>
              <m:t>RH</m:t>
            </m:r>
            <m:r>
              <w:rPr>
                <w:rFonts w:ascii="Cambria Math" w:hAnsi="Cambria Math"/>
                <w:color w:val="282828"/>
              </w:rPr>
              <m:t>,γ</m:t>
            </m:r>
          </m:e>
        </m:d>
      </m:oMath>
      <w:r>
        <w:rPr>
          <w:rFonts w:ascii="Calibri" w:hAnsi="Calibri"/>
          <w:color w:val="282828"/>
        </w:rPr>
        <w:t xml:space="preserve">, Absolute Humidity (AH), Vapor Pressure Deficit (VPD), Dew Point Depression </w:t>
      </w:r>
      <m:oMath>
        <m:d>
          <m:dPr>
            <m:ctrlPr>
              <w:rPr>
                <w:rFonts w:ascii="Cambria Math" w:hAnsi="Cambria Math"/>
                <w:color w:val="2828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282828"/>
                  </w:rPr>
                </m:ctrlPr>
              </m:sSubPr>
              <m:e>
                <m:r>
                  <w:rPr>
                    <w:rFonts w:ascii="Cambria Math" w:hAnsi="Cambria Math"/>
                    <w:color w:val="282828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Calibri" w:hAnsi="Calibri"/>
                    <w:color w:val="282828"/>
                  </w:rPr>
                  <m:t>dew</m:t>
                </m:r>
              </m:sub>
            </m:sSub>
          </m:e>
        </m:d>
      </m:oMath>
      <w:r>
        <w:rPr>
          <w:rFonts w:ascii="Calibri" w:hAnsi="Calibri"/>
          <w:color w:val="282828"/>
        </w:rPr>
        <w:t>, and multi-window EWMA short-term trends</w:t>
      </w:r>
      <w:r w:rsidR="00396AB7">
        <w:rPr>
          <w:rFonts w:ascii="Calibri" w:hAnsi="Calibri"/>
          <w:color w:val="282828"/>
        </w:rPr>
        <w:t xml:space="preserve"> </w:t>
      </w:r>
      <w:r>
        <w:rPr>
          <w:rFonts w:ascii="Calibri" w:hAnsi="Calibri"/>
          <w:color w:val="282828"/>
        </w:rPr>
        <w:t>provided explicit physical equations that eliminated reliance on spurious data correlations.</w:t>
      </w:r>
    </w:p>
    <w:p w14:paraId="4C629DA0" w14:textId="52A73668" w:rsidR="003977A0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 xml:space="preserve">State-of-the-Art Calibration Accuracy: The SPIME v4 architecture achieved an </w:t>
      </w:r>
      <m:oMath>
        <m:sSup>
          <m:sSupPr>
            <m:ctrlPr>
              <w:rPr>
                <w:rFonts w:ascii="Cambria Math" w:hAnsi="Cambria Math"/>
                <w:color w:val="282828"/>
              </w:rPr>
            </m:ctrlPr>
          </m:sSupPr>
          <m:e>
            <m:r>
              <w:rPr>
                <w:rFonts w:ascii="Cambria Math" w:hAnsi="Cambria Math"/>
                <w:color w:val="282828"/>
              </w:rPr>
              <m:t>R</m:t>
            </m:r>
          </m:e>
          <m:sup>
            <m:r>
              <w:rPr>
                <w:rFonts w:ascii="Cambria Math" w:hAnsi="Cambria Math"/>
                <w:color w:val="282828"/>
              </w:rPr>
              <m:t>2</m:t>
            </m:r>
          </m:sup>
        </m:sSup>
        <m:r>
          <w:rPr>
            <w:rFonts w:ascii="Cambria Math" w:hAnsi="Cambria Math"/>
            <w:color w:val="282828"/>
          </w:rPr>
          <m:t xml:space="preserve"> </m:t>
        </m:r>
      </m:oMath>
      <w:r>
        <w:rPr>
          <w:rFonts w:ascii="Calibri" w:hAnsi="Calibri"/>
          <w:color w:val="282828"/>
        </w:rPr>
        <w:t xml:space="preserve">score of 0.9732 on test split data and 0.9632 on true unseen 6-month holdout data, reducing Mean Absolute Error (MAE) to </w:t>
      </w:r>
      <m:oMath>
        <m:r>
          <w:rPr>
            <w:rFonts w:ascii="Cambria Math" w:hAnsi="Cambria Math"/>
            <w:color w:val="282828"/>
          </w:rPr>
          <m:t>0.61 μ</m:t>
        </m:r>
        <m:sSup>
          <m:sSupPr>
            <m:ctrlPr>
              <w:rPr>
                <w:rFonts w:ascii="Cambria Math" w:hAnsi="Cambria Math"/>
                <w:color w:val="282828"/>
              </w:rPr>
            </m:ctrlPr>
          </m:sSupPr>
          <m:e>
            <m:r>
              <m:rPr>
                <m:nor/>
              </m:rPr>
              <w:rPr>
                <w:rFonts w:ascii="Calibri" w:hAnsi="Calibri"/>
                <w:color w:val="282828"/>
              </w:rPr>
              <m:t>g/m</m:t>
            </m:r>
          </m:e>
          <m:sup>
            <m:r>
              <w:rPr>
                <w:rFonts w:ascii="Cambria Math" w:hAnsi="Cambria Math"/>
                <w:color w:val="282828"/>
              </w:rPr>
              <m:t>3</m:t>
            </m:r>
          </m:sup>
        </m:sSup>
      </m:oMath>
      <w:r>
        <w:rPr>
          <w:rFonts w:ascii="Calibri" w:hAnsi="Calibri"/>
          <w:color w:val="282828"/>
        </w:rPr>
        <w:t xml:space="preserve"> (a </w:t>
      </w:r>
      <m:oMath>
        <m:r>
          <w:rPr>
            <w:rFonts w:ascii="Cambria Math" w:hAnsi="Cambria Math"/>
            <w:color w:val="282828"/>
          </w:rPr>
          <m:t>66.3%</m:t>
        </m:r>
      </m:oMath>
      <w:r>
        <w:rPr>
          <w:rFonts w:ascii="Calibri" w:hAnsi="Calibri"/>
          <w:color w:val="282828"/>
        </w:rPr>
        <w:t xml:space="preserve"> error reduction over previous models).</w:t>
      </w:r>
    </w:p>
    <w:p w14:paraId="7E45E461" w14:textId="5B19E52F" w:rsidR="003977A0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 xml:space="preserve">Complete Elimination of Overfitting: By implementing 5-Fold out-of-fold cross-validation stacking with an L2-regularized </w:t>
      </w:r>
      <w:proofErr w:type="spellStart"/>
      <w:r w:rsidRPr="00396AB7">
        <w:rPr>
          <w:rFonts w:ascii="Calibri" w:hAnsi="Calibri"/>
          <w:i/>
          <w:iCs/>
          <w:color w:val="282828"/>
        </w:rPr>
        <w:t>RidgeCV</w:t>
      </w:r>
      <w:proofErr w:type="spellEnd"/>
      <w:r>
        <w:rPr>
          <w:rFonts w:ascii="Calibri" w:hAnsi="Calibri"/>
          <w:color w:val="282828"/>
        </w:rPr>
        <w:t xml:space="preserve"> meta-learner, the generalization gap was reduced to -0.0002, proving that the calibration model does not overfit to training set noise.</w:t>
      </w:r>
    </w:p>
    <w:p w14:paraId="5A575499" w14:textId="77777777" w:rsidR="003977A0" w:rsidRDefault="003977A0">
      <w:pPr>
        <w:spacing w:before="120" w:after="120"/>
      </w:pPr>
    </w:p>
    <w:p w14:paraId="6355590E" w14:textId="77777777" w:rsidR="003977A0" w:rsidRDefault="00000000">
      <w:pPr>
        <w:spacing w:before="280" w:after="120"/>
      </w:pPr>
      <w:r>
        <w:rPr>
          <w:rFonts w:ascii="Calibri" w:hAnsi="Calibri"/>
          <w:b/>
          <w:color w:val="2F5597"/>
          <w:sz w:val="30"/>
        </w:rPr>
        <w:t>5.2 Practical Recommendations for Afri-SET and Network Operators</w:t>
      </w:r>
    </w:p>
    <w:p w14:paraId="5C46685E" w14:textId="77777777" w:rsidR="003977A0" w:rsidRDefault="00000000">
      <w:pPr>
        <w:spacing w:before="40" w:after="100"/>
      </w:pPr>
      <w:r>
        <w:rPr>
          <w:rFonts w:ascii="Calibri" w:hAnsi="Calibri"/>
          <w:color w:val="282828"/>
        </w:rPr>
        <w:t>Based on the empirical results, the following practical recommendations are provided for deploying low-cost sensor networks across Sub-Saharan Africa:</w:t>
      </w:r>
    </w:p>
    <w:p w14:paraId="141EC8C6" w14:textId="4C967C78" w:rsidR="003977A0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>Deploy SPIME v4 Calibration Pipelines: Network operators should replace simple linear or unregularized decision tree models with the SPIME v4 pipeline ([</w:t>
      </w:r>
      <w:proofErr w:type="gramStart"/>
      <w:r>
        <w:rPr>
          <w:rFonts w:ascii="Calibri" w:hAnsi="Calibri"/>
          <w:color w:val="282828"/>
        </w:rPr>
        <w:t>models/stacked_physics_meta_ensemble.joblib](</w:t>
      </w:r>
      <w:proofErr w:type="gramEnd"/>
      <w:r>
        <w:rPr>
          <w:rFonts w:ascii="Calibri" w:hAnsi="Calibri"/>
          <w:color w:val="282828"/>
        </w:rPr>
        <w:t>file:///C:/Users/Hughe/Documents/SCHOOL/Final%20Year%20Project/Modulair-PM/models/stacked_physics_meta_ensemble.joblib)) to achieve reference-grade monitoring accuracy (</w:t>
      </w:r>
      <m:oMath>
        <m:sSup>
          <m:sSupPr>
            <m:ctrlPr>
              <w:rPr>
                <w:rFonts w:ascii="Cambria Math" w:hAnsi="Cambria Math"/>
                <w:color w:val="282828"/>
              </w:rPr>
            </m:ctrlPr>
          </m:sSupPr>
          <m:e>
            <m:r>
              <w:rPr>
                <w:rFonts w:ascii="Cambria Math" w:hAnsi="Cambria Math"/>
                <w:color w:val="282828"/>
              </w:rPr>
              <m:t>R</m:t>
            </m:r>
          </m:e>
          <m:sup>
            <m:r>
              <w:rPr>
                <w:rFonts w:ascii="Cambria Math" w:hAnsi="Cambria Math"/>
                <w:color w:val="282828"/>
              </w:rPr>
              <m:t>2</m:t>
            </m:r>
          </m:sup>
        </m:sSup>
        <m:r>
          <w:rPr>
            <w:rFonts w:ascii="Cambria Math" w:hAnsi="Cambria Math"/>
            <w:color w:val="282828"/>
          </w:rPr>
          <m:t>≥0.96</m:t>
        </m:r>
      </m:oMath>
      <w:r>
        <w:rPr>
          <w:rFonts w:ascii="Calibri" w:hAnsi="Calibri"/>
          <w:color w:val="282828"/>
        </w:rPr>
        <w:t>).</w:t>
      </w:r>
    </w:p>
    <w:p w14:paraId="7C09199C" w14:textId="77777777" w:rsidR="003977A0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lastRenderedPageBreak/>
        <w:t>Mandate Meteorological Covariate Logging: Optical particle counters must always be deployed alongside high-precision relative humidity and temperature sensors. Calibration pipelines require ambient humidity and temperature to compute Kohler swelling and thermodynamic variables.</w:t>
      </w:r>
    </w:p>
    <w:p w14:paraId="04287308" w14:textId="77777777" w:rsidR="003977A0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>Incorporate Regional Harmattan Features: Calibration models deployed in West Africa must explicitly include Harmattan seasonal flags and dust storm indicators to prevent over-correcting dry mineral dust as humidity swell.</w:t>
      </w:r>
    </w:p>
    <w:p w14:paraId="1ED1A90A" w14:textId="77777777" w:rsidR="003977A0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>Periodic Re-Calibration Schedules: Co-located calibration models should be updated annually at hubs like Afri-SET to account for long-term optical diode aging and fan degradation.</w:t>
      </w:r>
    </w:p>
    <w:p w14:paraId="6C4EA1C6" w14:textId="77777777" w:rsidR="003977A0" w:rsidRDefault="003977A0">
      <w:pPr>
        <w:spacing w:before="120" w:after="120"/>
      </w:pPr>
    </w:p>
    <w:p w14:paraId="1FA10B2A" w14:textId="77777777" w:rsidR="003977A0" w:rsidRDefault="00000000">
      <w:pPr>
        <w:spacing w:before="280" w:after="120"/>
      </w:pPr>
      <w:r>
        <w:rPr>
          <w:rFonts w:ascii="Calibri" w:hAnsi="Calibri"/>
          <w:b/>
          <w:color w:val="2F5597"/>
          <w:sz w:val="30"/>
        </w:rPr>
        <w:t>5.3 Limitations of the Study</w:t>
      </w:r>
    </w:p>
    <w:p w14:paraId="003602D5" w14:textId="77777777" w:rsidR="003977A0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>Single Site Spatial Scope: The co-located dataset was collected exclusively at the University of Ghana, Legon. While it captures severe seasonal variations, spatial transferability to other West African micro-environments (e.g. heavy industrial zones or traffic hotspots) requires further validation.</w:t>
      </w:r>
    </w:p>
    <w:p w14:paraId="33175E2D" w14:textId="02CBAFE1" w:rsidR="003977A0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>Focus on PM2.5: This study focused on fine particulate matter (</w:t>
      </w:r>
      <m:oMath>
        <m:sSub>
          <m:sSubPr>
            <m:ctrlPr>
              <w:rPr>
                <w:rFonts w:ascii="Cambria Math" w:hAnsi="Cambria Math"/>
                <w:color w:val="282828"/>
              </w:rPr>
            </m:ctrlPr>
          </m:sSubPr>
          <m:e>
            <m:r>
              <m:rPr>
                <m:nor/>
              </m:rPr>
              <w:rPr>
                <w:rFonts w:ascii="Calibri" w:hAnsi="Calibri"/>
                <w:color w:val="282828"/>
              </w:rPr>
              <m:t>PM</m:t>
            </m:r>
          </m:e>
          <m:sub>
            <m:r>
              <w:rPr>
                <w:rFonts w:ascii="Cambria Math" w:hAnsi="Cambria Math"/>
                <w:color w:val="282828"/>
              </w:rPr>
              <m:t>2.5</m:t>
            </m:r>
          </m:sub>
        </m:sSub>
      </m:oMath>
      <w:r>
        <w:rPr>
          <w:rFonts w:ascii="Calibri" w:hAnsi="Calibri"/>
          <w:color w:val="282828"/>
        </w:rPr>
        <w:t>). Calibration of coarse particulates (</w:t>
      </w:r>
      <m:oMath>
        <m:sSub>
          <m:sSubPr>
            <m:ctrlPr>
              <w:rPr>
                <w:rFonts w:ascii="Cambria Math" w:hAnsi="Cambria Math"/>
                <w:color w:val="282828"/>
              </w:rPr>
            </m:ctrlPr>
          </m:sSubPr>
          <m:e>
            <m:r>
              <m:rPr>
                <m:nor/>
              </m:rPr>
              <w:rPr>
                <w:rFonts w:ascii="Calibri" w:hAnsi="Calibri"/>
                <w:color w:val="282828"/>
              </w:rPr>
              <m:t>PM</m:t>
            </m:r>
          </m:e>
          <m:sub>
            <m:r>
              <w:rPr>
                <w:rFonts w:ascii="Cambria Math" w:hAnsi="Cambria Math"/>
                <w:color w:val="282828"/>
              </w:rPr>
              <m:t>10</m:t>
            </m:r>
          </m:sub>
        </m:sSub>
      </m:oMath>
      <w:r>
        <w:rPr>
          <w:rFonts w:ascii="Calibri" w:hAnsi="Calibri"/>
          <w:color w:val="282828"/>
        </w:rPr>
        <w:t>) and gaseous pollutants (</w:t>
      </w:r>
      <m:oMath>
        <m:sSub>
          <m:sSubPr>
            <m:ctrlPr>
              <w:rPr>
                <w:rFonts w:ascii="Cambria Math" w:hAnsi="Cambria Math"/>
                <w:color w:val="282828"/>
              </w:rPr>
            </m:ctrlPr>
          </m:sSubPr>
          <m:e>
            <m:r>
              <m:rPr>
                <m:nor/>
              </m:rPr>
              <w:rPr>
                <w:rFonts w:ascii="Calibri" w:hAnsi="Calibri"/>
                <w:color w:val="282828"/>
              </w:rPr>
              <m:t>NO</m:t>
            </m:r>
          </m:e>
          <m:sub>
            <m:r>
              <w:rPr>
                <w:rFonts w:ascii="Cambria Math" w:hAnsi="Cambria Math"/>
                <w:color w:val="282828"/>
              </w:rPr>
              <m:t>2</m:t>
            </m:r>
          </m:sub>
        </m:sSub>
        <m:r>
          <w:rPr>
            <w:rFonts w:ascii="Cambria Math" w:hAnsi="Cambria Math"/>
            <w:color w:val="282828"/>
          </w:rPr>
          <m:t>,</m:t>
        </m:r>
        <m:sSub>
          <m:sSubPr>
            <m:ctrlPr>
              <w:rPr>
                <w:rFonts w:ascii="Cambria Math" w:hAnsi="Cambria Math"/>
                <w:color w:val="282828"/>
              </w:rPr>
            </m:ctrlPr>
          </m:sSubPr>
          <m:e>
            <m:r>
              <m:rPr>
                <m:nor/>
              </m:rPr>
              <w:rPr>
                <w:rFonts w:ascii="Calibri" w:hAnsi="Calibri"/>
                <w:color w:val="282828"/>
              </w:rPr>
              <m:t>O</m:t>
            </m:r>
          </m:e>
          <m:sub>
            <m:r>
              <w:rPr>
                <w:rFonts w:ascii="Cambria Math" w:hAnsi="Cambria Math"/>
                <w:color w:val="282828"/>
              </w:rPr>
              <m:t>3</m:t>
            </m:r>
          </m:sub>
        </m:sSub>
        <m:r>
          <w:rPr>
            <w:rFonts w:ascii="Cambria Math" w:hAnsi="Cambria Math"/>
            <w:color w:val="282828"/>
          </w:rPr>
          <m:t>,</m:t>
        </m:r>
        <m:r>
          <m:rPr>
            <m:nor/>
          </m:rPr>
          <w:rPr>
            <w:rFonts w:ascii="Calibri" w:hAnsi="Calibri"/>
            <w:color w:val="282828"/>
          </w:rPr>
          <m:t>CO</m:t>
        </m:r>
      </m:oMath>
      <w:r>
        <w:rPr>
          <w:rFonts w:ascii="Calibri" w:hAnsi="Calibri"/>
          <w:color w:val="282828"/>
        </w:rPr>
        <w:t>) was outside the scope.</w:t>
      </w:r>
    </w:p>
    <w:p w14:paraId="2284B20D" w14:textId="77777777" w:rsidR="003977A0" w:rsidRDefault="003977A0">
      <w:pPr>
        <w:spacing w:before="120" w:after="120"/>
      </w:pPr>
    </w:p>
    <w:p w14:paraId="57AF6C72" w14:textId="77777777" w:rsidR="003977A0" w:rsidRDefault="00000000">
      <w:pPr>
        <w:spacing w:before="280" w:after="120"/>
      </w:pPr>
      <w:r>
        <w:rPr>
          <w:rFonts w:ascii="Calibri" w:hAnsi="Calibri"/>
          <w:b/>
          <w:color w:val="2F5597"/>
          <w:sz w:val="30"/>
        </w:rPr>
        <w:t>5.4 Directions for Future Research</w:t>
      </w:r>
    </w:p>
    <w:p w14:paraId="7FE03571" w14:textId="77777777" w:rsidR="003977A0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>Spatial Transferability &amp; Network Cross-Calibration: Evaluate SPIME v4 performance across multiple co-location sites in Sub-Saharan Africa to test spatial generalization.</w:t>
      </w:r>
    </w:p>
    <w:p w14:paraId="576F1CB2" w14:textId="77777777" w:rsidR="003977A0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>Transfer Learning for Newly Deployed Units: Investigate transfer learning techniques to calibrate newly unboxed low-cost sensors using short 1-week co-location periods.</w:t>
      </w:r>
    </w:p>
    <w:p w14:paraId="5CACC130" w14:textId="009D450C" w:rsidR="003977A0" w:rsidRDefault="00000000">
      <w:pPr>
        <w:pStyle w:val="ListNumber"/>
        <w:spacing w:before="20" w:after="40"/>
      </w:pPr>
      <w:r>
        <w:rPr>
          <w:rFonts w:ascii="Calibri" w:hAnsi="Calibri"/>
          <w:color w:val="282828"/>
        </w:rPr>
        <w:t>Integration into Real-Time IoT Web Portals: Embed the saved SPIME v4 pipeline into cloud-based REST API backend servers (</w:t>
      </w:r>
      <w:r w:rsidRPr="00396AB7">
        <w:rPr>
          <w:rFonts w:ascii="Calibri" w:hAnsi="Calibri"/>
          <w:i/>
          <w:iCs/>
          <w:color w:val="282828"/>
        </w:rPr>
        <w:t>prepare_backend.py</w:t>
      </w:r>
      <w:r>
        <w:rPr>
          <w:rFonts w:ascii="Calibri" w:hAnsi="Calibri"/>
          <w:color w:val="282828"/>
        </w:rPr>
        <w:t>) for automated real-time calibrated air quality map rendering.</w:t>
      </w:r>
    </w:p>
    <w:sectPr w:rsidR="003977A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934168">
    <w:abstractNumId w:val="8"/>
  </w:num>
  <w:num w:numId="2" w16cid:durableId="67002397">
    <w:abstractNumId w:val="6"/>
  </w:num>
  <w:num w:numId="3" w16cid:durableId="1731927695">
    <w:abstractNumId w:val="5"/>
  </w:num>
  <w:num w:numId="4" w16cid:durableId="786850335">
    <w:abstractNumId w:val="4"/>
  </w:num>
  <w:num w:numId="5" w16cid:durableId="1350716386">
    <w:abstractNumId w:val="7"/>
  </w:num>
  <w:num w:numId="6" w16cid:durableId="1666782665">
    <w:abstractNumId w:val="3"/>
  </w:num>
  <w:num w:numId="7" w16cid:durableId="1152796663">
    <w:abstractNumId w:val="2"/>
  </w:num>
  <w:num w:numId="8" w16cid:durableId="1269695700">
    <w:abstractNumId w:val="1"/>
  </w:num>
  <w:num w:numId="9" w16cid:durableId="265843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AB7"/>
    <w:rsid w:val="003977A0"/>
    <w:rsid w:val="00AA1D8D"/>
    <w:rsid w:val="00AA224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E8D557"/>
  <w14:defaultImageDpi w14:val="300"/>
  <w15:docId w15:val="{7496B58E-95B1-4F67-8C7D-C0B668C16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Hughes Neal Allison</cp:lastModifiedBy>
  <cp:revision>3</cp:revision>
  <dcterms:created xsi:type="dcterms:W3CDTF">2013-12-23T23:15:00Z</dcterms:created>
  <dcterms:modified xsi:type="dcterms:W3CDTF">2026-08-18T01:37:00Z</dcterms:modified>
  <cp:category/>
</cp:coreProperties>
</file>