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958BD" w14:textId="77777777" w:rsidR="00CC6DC9" w:rsidRDefault="00000000">
      <w:pPr>
        <w:pStyle w:val="Heading1"/>
        <w:spacing w:before="360" w:after="120"/>
      </w:pPr>
      <w:r>
        <w:rPr>
          <w:rFonts w:ascii="Calibri" w:hAnsi="Calibri"/>
          <w:color w:val="1F3864"/>
        </w:rPr>
        <w:t>Chapter 3: Methodology</w:t>
      </w:r>
    </w:p>
    <w:p w14:paraId="64DE289E" w14:textId="77777777" w:rsidR="00CC6DC9" w:rsidRDefault="00000000">
      <w:r>
        <w:t>This chapter details the experimental design, data sources, preprocessing pipelines, feature engineering formulations, machine learning model architectures, and validation frameworks developed to calibrate the low-cost QuantAQ Modulair-PM sensor against the reference-grade Teledyne API T640 monitor.</w:t>
      </w:r>
    </w:p>
    <w:p w14:paraId="2B4A6F80" w14:textId="77777777" w:rsidR="004448EC" w:rsidRDefault="004448EC">
      <w:pPr>
        <w:pStyle w:val="Heading2"/>
        <w:spacing w:before="240" w:after="80"/>
        <w:rPr>
          <w:rFonts w:ascii="Calibri" w:hAnsi="Calibri"/>
          <w:color w:val="2F5496"/>
        </w:rPr>
      </w:pPr>
    </w:p>
    <w:p w14:paraId="75D2755B" w14:textId="4939038F" w:rsidR="00CC6DC9" w:rsidRDefault="00000000">
      <w:pPr>
        <w:pStyle w:val="Heading2"/>
        <w:spacing w:before="240" w:after="80"/>
      </w:pPr>
      <w:r>
        <w:rPr>
          <w:rFonts w:ascii="Calibri" w:hAnsi="Calibri"/>
          <w:color w:val="2F5496"/>
        </w:rPr>
        <w:t>3.1 Experimental Co-location and Data Sources</w:t>
      </w:r>
    </w:p>
    <w:p w14:paraId="25ED2D41" w14:textId="77777777" w:rsidR="00CC6DC9" w:rsidRDefault="00000000">
      <w:pPr>
        <w:pStyle w:val="Heading3"/>
        <w:spacing w:after="80"/>
      </w:pPr>
      <w:r>
        <w:rPr>
          <w:rFonts w:ascii="Calibri" w:hAnsi="Calibri"/>
          <w:color w:val="595959"/>
        </w:rPr>
        <w:t>3.1.1 Co-location Site and Environmental Context</w:t>
      </w:r>
    </w:p>
    <w:p w14:paraId="16EDE092" w14:textId="77777777" w:rsidR="00CC6DC9" w:rsidRDefault="00000000">
      <w:r>
        <w:t xml:space="preserve">The experimental data collection was conducted at the </w:t>
      </w:r>
      <w:r>
        <w:rPr>
          <w:b/>
        </w:rPr>
        <w:t>African Clean Air Technology Centre (Afri-SET)</w:t>
      </w:r>
      <w:r>
        <w:t>, situated within the Department of Physics at the University of Ghana, Legon, Accra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5.651221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  <m:r>
              <m:rPr>
                <m:nor/>
              </m:rPr>
              <m:t> N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0.185531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  <m:r>
              <m:rPr>
                <m:nor/>
              </m:rPr>
              <m:t> W</m:t>
            </m:r>
          </m:e>
        </m:box>
      </m:oMath>
      <w:r>
        <w:t>). Accra has a tropical savanna climate characterized by two distinct meteorological seasons:</w:t>
      </w:r>
    </w:p>
    <w:p w14:paraId="3ECCFF3B" w14:textId="77777777" w:rsidR="00CC6DC9" w:rsidRDefault="00000000">
      <w:pPr>
        <w:pStyle w:val="ListNumber"/>
        <w:spacing w:after="60"/>
      </w:pPr>
      <w:r>
        <w:rPr>
          <w:b/>
        </w:rPr>
        <w:t>The Wet Season (April to October)</w:t>
      </w:r>
      <w:r>
        <w:t>: Influenced by the West African Monsoon, bringing frequent, heavy precipitation and high ambient relative humidity (often exceeding 80–90%).</w:t>
      </w:r>
    </w:p>
    <w:p w14:paraId="59684B21" w14:textId="55553949" w:rsidR="00CC6DC9" w:rsidRDefault="00000000">
      <w:pPr>
        <w:pStyle w:val="ListNumber"/>
        <w:spacing w:after="60"/>
      </w:pPr>
      <w:r>
        <w:rPr>
          <w:b/>
        </w:rPr>
        <w:t>The Dry Harmattan Season (November to March)</w:t>
      </w:r>
      <w:r>
        <w:t>: Influenced by dry northeasterly trade winds blowing from the Sahara Desert. This season is characterized by heavy loading of coarse mineral dust, extremely low relative humidity (</w:t>
      </w:r>
      <m:oMath>
        <m:r>
          <w:rPr>
            <w:rFonts w:ascii="Cambria Math" w:hAnsi="Cambria Math"/>
          </w:rPr>
          <m:t>&lt;30</m:t>
        </m:r>
      </m:oMath>
      <w:r>
        <w:t>), and elevated ambient particulate concentrations.</w:t>
      </w:r>
    </w:p>
    <w:p w14:paraId="111722E2" w14:textId="77777777" w:rsidR="00CC6DC9" w:rsidRDefault="00000000">
      <w:pPr>
        <w:pStyle w:val="Heading3"/>
        <w:spacing w:after="80"/>
      </w:pPr>
      <w:r>
        <w:rPr>
          <w:rFonts w:ascii="Calibri" w:hAnsi="Calibri"/>
          <w:color w:val="595959"/>
        </w:rPr>
        <w:t>3.1.2 Low-Cost Sensor Unit: QuantAQ Modulair-PM</w:t>
      </w:r>
    </w:p>
    <w:p w14:paraId="3FA1EF2D" w14:textId="77777777" w:rsidR="00CC6DC9" w:rsidRDefault="00000000">
      <w:r>
        <w:t xml:space="preserve">The low-cost sensor evaluated in this study is the </w:t>
      </w:r>
      <w:r>
        <w:rPr>
          <w:b/>
        </w:rPr>
        <w:t>QuantAQ Modulair-PM</w:t>
      </w:r>
      <w:r>
        <w:t xml:space="preserve"> (specifically unit </w:t>
      </w:r>
      <w:r>
        <w:rPr>
          <w:rFonts w:ascii="Consolas" w:hAnsi="Consolas"/>
          <w:color w:val="BE1E46"/>
          <w:sz w:val="20"/>
        </w:rPr>
        <w:t>MOD-PM-01068</w:t>
      </w:r>
      <w:r>
        <w:t>). This device is an integrated air quality monitor containing:</w:t>
      </w:r>
    </w:p>
    <w:p w14:paraId="4261583B" w14:textId="5A135A50" w:rsidR="00CC6DC9" w:rsidRDefault="00000000">
      <w:pPr>
        <w:pStyle w:val="ListBullet"/>
        <w:spacing w:after="60"/>
      </w:pPr>
      <w:r>
        <w:rPr>
          <w:b/>
        </w:rPr>
        <w:t>Alphasense OPC-N3 Optical Particle Counter</w:t>
      </w:r>
      <w:r>
        <w:t xml:space="preserve">: Measures particle counts across 24 size bins spanning </w:t>
      </w:r>
      <m:oMath>
        <m:r>
          <w:rPr>
            <w:rFonts w:ascii="Cambria Math" w:hAnsi="Cambria Math"/>
          </w:rPr>
          <m:t>0.35 μm</m:t>
        </m:r>
      </m:oMath>
      <w:r>
        <w:t xml:space="preserve"> to </w:t>
      </w:r>
      <m:oMath>
        <m:r>
          <w:rPr>
            <w:rFonts w:ascii="Cambria Math" w:hAnsi="Cambria Math"/>
          </w:rPr>
          <m:t>40 μm</m:t>
        </m:r>
      </m:oMath>
      <w:r>
        <w:t>. It outputs raw particle counts, calculated PM mass concentrations (</w:t>
      </w:r>
      <w:r>
        <w:rPr>
          <w:rFonts w:ascii="Consolas" w:hAnsi="Consolas"/>
          <w:color w:val="BE1E46"/>
          <w:sz w:val="20"/>
        </w:rPr>
        <w:t>pm1</w:t>
      </w:r>
      <w:r>
        <w:t xml:space="preserve">, </w:t>
      </w:r>
      <w:r>
        <w:rPr>
          <w:rFonts w:ascii="Consolas" w:hAnsi="Consolas"/>
          <w:color w:val="BE1E46"/>
          <w:sz w:val="20"/>
        </w:rPr>
        <w:t>pm25</w:t>
      </w:r>
      <w:r>
        <w:t xml:space="preserve">, </w:t>
      </w:r>
      <w:r>
        <w:rPr>
          <w:rFonts w:ascii="Consolas" w:hAnsi="Consolas"/>
          <w:color w:val="BE1E46"/>
          <w:sz w:val="20"/>
        </w:rPr>
        <w:t>pm10</w:t>
      </w:r>
      <w:r>
        <w:t>), and diagnostic parameters (</w:t>
      </w:r>
      <w:r>
        <w:rPr>
          <w:rFonts w:ascii="Consolas" w:hAnsi="Consolas"/>
          <w:color w:val="BE1E46"/>
          <w:sz w:val="20"/>
        </w:rPr>
        <w:t>opcn3_temp</w:t>
      </w:r>
      <w:r>
        <w:t xml:space="preserve">, </w:t>
      </w:r>
      <w:r>
        <w:rPr>
          <w:rFonts w:ascii="Consolas" w:hAnsi="Consolas"/>
          <w:color w:val="BE1E46"/>
          <w:sz w:val="20"/>
        </w:rPr>
        <w:t>opcn3_rh</w:t>
      </w:r>
      <w:r>
        <w:t>).</w:t>
      </w:r>
    </w:p>
    <w:p w14:paraId="2B82A2D5" w14:textId="407BD084" w:rsidR="00CC6DC9" w:rsidRDefault="00000000">
      <w:pPr>
        <w:pStyle w:val="ListBullet"/>
        <w:spacing w:after="60"/>
      </w:pPr>
      <w:r>
        <w:rPr>
          <w:b/>
        </w:rPr>
        <w:t>Meteorological Sensors</w:t>
      </w:r>
      <w:r>
        <w:t>: Measures ambient temperature (</w:t>
      </w:r>
      <w:r>
        <w:rPr>
          <w:rFonts w:ascii="Consolas" w:hAnsi="Consolas"/>
          <w:color w:val="BE1E46"/>
          <w:sz w:val="20"/>
        </w:rPr>
        <w:t>sample_temp</w:t>
      </w:r>
      <w:r>
        <w:t xml:space="preserve"> in </w:t>
      </w:r>
      <m:oMath>
        <m:r>
          <w:rPr>
            <w:rFonts w:ascii="Cambria Math" w:hAnsi="Cambria Math"/>
          </w:rPr>
          <m:t>°C</m:t>
        </m:r>
      </m:oMath>
      <w:r>
        <w:t>), relative humidity (</w:t>
      </w:r>
      <w:r>
        <w:rPr>
          <w:rFonts w:ascii="Consolas" w:hAnsi="Consolas"/>
          <w:color w:val="BE1E46"/>
          <w:sz w:val="20"/>
        </w:rPr>
        <w:t>sample_rh</w:t>
      </w:r>
      <w:r>
        <w:t xml:space="preserve"> as a percentage), and barometric pressure (</w:t>
      </w:r>
      <w:r>
        <w:rPr>
          <w:rFonts w:ascii="Consolas" w:hAnsi="Consolas"/>
          <w:color w:val="BE1E46"/>
          <w:sz w:val="20"/>
        </w:rPr>
        <w:t>sample_pres</w:t>
      </w:r>
      <w:r>
        <w:t xml:space="preserve"> in </w:t>
      </w:r>
      <m:oMath>
        <m:r>
          <w:rPr>
            <w:rFonts w:ascii="Cambria Math" w:hAnsi="Cambria Math"/>
          </w:rPr>
          <m:t>hPa</m:t>
        </m:r>
      </m:oMath>
      <w:r>
        <w:t>).</w:t>
      </w:r>
    </w:p>
    <w:p w14:paraId="4DAD7F39" w14:textId="77777777" w:rsidR="00CC6DC9" w:rsidRDefault="00000000">
      <w:pPr>
        <w:pStyle w:val="ListBullet"/>
        <w:spacing w:after="60"/>
      </w:pPr>
      <w:r>
        <w:rPr>
          <w:b/>
        </w:rPr>
        <w:t>QuantAQ Calibration Algorithm</w:t>
      </w:r>
      <w:r>
        <w:t>: Outputs proprietary corrected PM values (</w:t>
      </w:r>
      <w:r>
        <w:rPr>
          <w:rFonts w:ascii="Consolas" w:hAnsi="Consolas"/>
          <w:color w:val="BE1E46"/>
          <w:sz w:val="20"/>
        </w:rPr>
        <w:t>pm25_env</w:t>
      </w:r>
      <w:r>
        <w:t xml:space="preserve">, </w:t>
      </w:r>
      <w:r>
        <w:rPr>
          <w:rFonts w:ascii="Consolas" w:hAnsi="Consolas"/>
          <w:color w:val="BE1E46"/>
          <w:sz w:val="20"/>
        </w:rPr>
        <w:t>pm10_env</w:t>
      </w:r>
      <w:r>
        <w:t>). In this study, we utilize the raw sensor reading (</w:t>
      </w:r>
      <w:r>
        <w:rPr>
          <w:rFonts w:ascii="Consolas" w:hAnsi="Consolas"/>
          <w:color w:val="BE1E46"/>
          <w:sz w:val="20"/>
        </w:rPr>
        <w:t>pm25</w:t>
      </w:r>
      <w:r>
        <w:t>) as our primary feature to build independent, localized calibration models.</w:t>
      </w:r>
    </w:p>
    <w:p w14:paraId="13F6903E" w14:textId="77777777" w:rsidR="00CC6DC9" w:rsidRDefault="00000000">
      <w:pPr>
        <w:pStyle w:val="Heading3"/>
        <w:spacing w:after="80"/>
      </w:pPr>
      <w:r>
        <w:rPr>
          <w:rFonts w:ascii="Calibri" w:hAnsi="Calibri"/>
          <w:color w:val="595959"/>
        </w:rPr>
        <w:t>3.1.3 Reference Monitor: Teledyne API T640</w:t>
      </w:r>
    </w:p>
    <w:p w14:paraId="75084887" w14:textId="2AD00FEC" w:rsidR="00CC6DC9" w:rsidRDefault="00000000">
      <w:r>
        <w:t xml:space="preserve">The ground truth reference data was collected using a co-located </w:t>
      </w:r>
      <w:r>
        <w:rPr>
          <w:b/>
        </w:rPr>
        <w:t>Teledyne API T640</w:t>
      </w:r>
      <w:r>
        <w:t xml:space="preserve"> particulate monitor. The T640 utilizes broad-spectrum LED light-scattering spectroscopy to provide continuous, high-resolution hourly measurements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PM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2.5</m:t>
                    </m:r>
                  </m:e>
                </m:box>
              </m:sub>
            </m:sSub>
          </m:e>
        </m:box>
      </m:oMath>
      <w:r>
        <w:t xml:space="preserve"> mass concentrations. It is a US EPA Federal Equivalent Method (FEM) instrument with an operating range of </w:t>
      </w:r>
      <m:oMath>
        <m:r>
          <w:rPr>
            <w:rFonts w:ascii="Cambria Math" w:hAnsi="Cambria Math"/>
          </w:rPr>
          <m:t>0</m:t>
        </m:r>
      </m:oMath>
      <w:r>
        <w:t xml:space="preserve">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10,000</m:t>
            </m:r>
            <m:r>
              <m:rPr>
                <m:nor/>
              </m:rPr>
              <m:t> </m:t>
            </m:r>
            <m:r>
              <w:rPr>
                <w:rFonts w:ascii="Cambria Math" w:hAnsi="Cambria Math"/>
              </w:rPr>
              <m:t>μ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g/m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box>
      </m:oMath>
      <w:r>
        <w:t xml:space="preserve"> and a measurement resolution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&lt;0.1</m:t>
            </m:r>
            <m:r>
              <m:rPr>
                <m:nor/>
              </m:rPr>
              <m:t> </m:t>
            </m:r>
            <m:r>
              <w:rPr>
                <w:rFonts w:ascii="Cambria Math" w:hAnsi="Cambria Math"/>
              </w:rPr>
              <m:t>μ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g/m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box>
      </m:oMath>
      <w:r>
        <w:t xml:space="preserve">. </w:t>
      </w:r>
    </w:p>
    <w:p w14:paraId="1ADB98EF" w14:textId="77777777" w:rsidR="00CC6DC9" w:rsidRDefault="00000000">
      <w:pPr>
        <w:pStyle w:val="Heading2"/>
        <w:spacing w:before="240" w:after="80"/>
      </w:pPr>
      <w:r>
        <w:rPr>
          <w:rFonts w:ascii="Calibri" w:hAnsi="Calibri"/>
          <w:color w:val="2F5496"/>
        </w:rPr>
        <w:lastRenderedPageBreak/>
        <w:t>3.2 Data Preprocessing and Alignment</w:t>
      </w:r>
    </w:p>
    <w:p w14:paraId="7586C2AA" w14:textId="77777777" w:rsidR="00CC6DC9" w:rsidRDefault="00000000">
      <w:pPr>
        <w:pStyle w:val="Heading3"/>
        <w:spacing w:after="80"/>
      </w:pPr>
      <w:r>
        <w:rPr>
          <w:rFonts w:ascii="Calibri" w:hAnsi="Calibri"/>
          <w:color w:val="595959"/>
        </w:rPr>
        <w:t>3.2.1 Temporal Alignment and Reindexing</w:t>
      </w:r>
    </w:p>
    <w:p w14:paraId="4DE6FCA7" w14:textId="77777777" w:rsidR="00CC6DC9" w:rsidRDefault="00000000">
      <w:r>
        <w:t>The low-cost sensor collects data at a high temporal resolution (typically 1-minute intervals), whereas the Teledyne T640 reference monitor logs hourly averages. To align the datasets:</w:t>
      </w:r>
    </w:p>
    <w:p w14:paraId="3177671D" w14:textId="77777777" w:rsidR="00CC6DC9" w:rsidRDefault="00000000">
      <w:pPr>
        <w:pStyle w:val="ListNumber"/>
        <w:spacing w:after="60"/>
      </w:pPr>
      <w:r>
        <w:t>The 1-minute Modulair-PM sensor data was aggregated to hourly averages using the mean.</w:t>
      </w:r>
    </w:p>
    <w:p w14:paraId="4CBB9236" w14:textId="77777777" w:rsidR="00CC6DC9" w:rsidRDefault="00000000">
      <w:pPr>
        <w:pStyle w:val="ListNumber"/>
        <w:spacing w:after="60"/>
      </w:pPr>
      <w:r>
        <w:t>Both datasets were converted to Coordinated Universal Time (UTC) and aligned by index.</w:t>
      </w:r>
    </w:p>
    <w:p w14:paraId="52E4F0D1" w14:textId="77777777" w:rsidR="00CC6DC9" w:rsidRDefault="00000000">
      <w:pPr>
        <w:pStyle w:val="ListNumber"/>
        <w:spacing w:after="60"/>
      </w:pPr>
      <w:r>
        <w:t>Due to potential offsets and minor gaps, the sensor data was reindexed to match the reference database index (</w:t>
      </w:r>
      <w:r>
        <w:rPr>
          <w:rFonts w:ascii="Consolas" w:hAnsi="Consolas"/>
          <w:color w:val="BE1E46"/>
          <w:sz w:val="20"/>
        </w:rPr>
        <w:t>Timestamp (UTC+0)</w:t>
      </w:r>
      <w:r>
        <w:t>), ensuring complete temporal alignment.</w:t>
      </w:r>
    </w:p>
    <w:p w14:paraId="33F75B8B" w14:textId="77777777" w:rsidR="00CC6DC9" w:rsidRDefault="00000000">
      <w:pPr>
        <w:pStyle w:val="Heading3"/>
        <w:spacing w:after="80"/>
      </w:pPr>
      <w:r>
        <w:rPr>
          <w:rFonts w:ascii="Calibri" w:hAnsi="Calibri"/>
          <w:color w:val="595959"/>
        </w:rPr>
        <w:t>3.2.2 Quality Control and Outlier Handling</w:t>
      </w:r>
    </w:p>
    <w:p w14:paraId="337FA044" w14:textId="77777777" w:rsidR="00CC6DC9" w:rsidRDefault="00000000">
      <w:r>
        <w:t>To ensure data integrity, data quality filters were applied:</w:t>
      </w:r>
    </w:p>
    <w:p w14:paraId="42341018" w14:textId="77777777" w:rsidR="00CC6DC9" w:rsidRDefault="00000000">
      <w:pPr>
        <w:pStyle w:val="ListBullet"/>
        <w:spacing w:after="60"/>
      </w:pPr>
      <w:r>
        <w:rPr>
          <w:b/>
        </w:rPr>
        <w:t>Negative Values</w:t>
      </w:r>
      <w:r>
        <w:t xml:space="preserve">: Reference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PM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2.5</m:t>
                    </m:r>
                  </m:e>
                </m:box>
              </m:sub>
            </m:sSub>
          </m:e>
        </m:box>
      </m:oMath>
      <w:r>
        <w:t xml:space="preserve"> measurements below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m:rPr>
                <m:nor/>
              </m:rPr>
              <m:t> </m:t>
            </m:r>
            <m:r>
              <w:rPr>
                <w:rFonts w:ascii="Cambria Math" w:hAnsi="Cambria Math"/>
              </w:rPr>
              <m:t>μ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g/m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box>
      </m:oMath>
      <w:r>
        <w:t xml:space="preserve"> (due to instrument zero-drift) were flagged and removed.</w:t>
      </w:r>
    </w:p>
    <w:p w14:paraId="625A35D1" w14:textId="77777777" w:rsidR="00CC6DC9" w:rsidRDefault="00000000">
      <w:pPr>
        <w:pStyle w:val="ListBullet"/>
        <w:spacing w:after="60"/>
      </w:pPr>
      <w:r>
        <w:rPr>
          <w:b/>
        </w:rPr>
        <w:t>Instrument Malfunction Flags</w:t>
      </w:r>
      <w:r>
        <w:t>: Data points where the Modulair-PM sensor flagged device status errors (</w:t>
      </w:r>
      <w:r>
        <w:rPr>
          <w:rFonts w:ascii="Consolas" w:hAnsi="Consolas"/>
          <w:color w:val="BE1E46"/>
          <w:sz w:val="20"/>
        </w:rPr>
        <w:t>flag != 0</w:t>
      </w:r>
      <w:r>
        <w:t>) were excluded.</w:t>
      </w:r>
    </w:p>
    <w:p w14:paraId="39CF8F9B" w14:textId="5F19B7DB" w:rsidR="00CC6DC9" w:rsidRDefault="00000000">
      <w:pPr>
        <w:pStyle w:val="ListBullet"/>
        <w:spacing w:after="60"/>
      </w:pPr>
      <w:r>
        <w:rPr>
          <w:b/>
        </w:rPr>
        <w:t>Missing Data</w:t>
      </w:r>
      <w:r>
        <w:t xml:space="preserve">: Gaps of </w:t>
      </w:r>
      <m:oMath>
        <m:r>
          <w:rPr>
            <w:rFonts w:ascii="Cambria Math" w:hAnsi="Cambria Math"/>
          </w:rPr>
          <m:t>≤2</m:t>
        </m:r>
      </m:oMath>
      <w:r>
        <w:t xml:space="preserve"> consecutive hours in the low-cost sensor data were filled using linear interpolation. Gaps exceeding 2 hours were dropped from the training and testing sets to prevent introducing artificial signals.</w:t>
      </w:r>
    </w:p>
    <w:p w14:paraId="6AC510BC" w14:textId="633666F8" w:rsidR="00CC6DC9" w:rsidRDefault="00000000">
      <w:pPr>
        <w:pStyle w:val="ListBullet"/>
        <w:spacing w:after="60"/>
      </w:pPr>
      <w:r>
        <w:rPr>
          <w:b/>
        </w:rPr>
        <w:t>Outlier Detection</w:t>
      </w:r>
      <w:r>
        <w:t xml:space="preserve">: The Interquartile Range (IQR) method was applied to raw particulate measurements. Extreme spikes exceeding </w:t>
      </w:r>
      <m:oMath>
        <m:r>
          <w:rPr>
            <w:rFonts w:ascii="Cambria Math" w:hAnsi="Cambria Math"/>
          </w:rPr>
          <m:t>Q3+3×IQR</m:t>
        </m:r>
      </m:oMath>
      <w:r>
        <w:t xml:space="preserve"> were cross-checked with reference measurements; if the reference monitor did not register a corresponding spike, the sensor data was treated as an instrumental error and removed. Genuine high-pollution events (such as dust storms) where both instruments spiked were preserved.</w:t>
      </w:r>
    </w:p>
    <w:p w14:paraId="3D643B05" w14:textId="77777777" w:rsidR="004448EC" w:rsidRDefault="004448EC">
      <w:pPr>
        <w:spacing w:after="200"/>
        <w:rPr>
          <w:color w:val="B4B4B4"/>
        </w:rPr>
      </w:pPr>
      <w:r>
        <w:rPr>
          <w:b/>
          <w:bCs/>
          <w:color w:val="B4B4B4"/>
        </w:rPr>
        <w:br w:type="page"/>
      </w:r>
    </w:p>
    <w:p w14:paraId="575D29DD" w14:textId="41AA4D4C" w:rsidR="00CC6DC9" w:rsidRDefault="00000000">
      <w:pPr>
        <w:pStyle w:val="Heading2"/>
        <w:spacing w:before="240" w:after="80"/>
      </w:pPr>
      <w:r>
        <w:rPr>
          <w:rFonts w:ascii="Calibri" w:hAnsi="Calibri"/>
          <w:color w:val="2F5496"/>
        </w:rPr>
        <w:lastRenderedPageBreak/>
        <w:t>3.3 Feature Engineering</w:t>
      </w:r>
    </w:p>
    <w:p w14:paraId="2C1BE90A" w14:textId="77777777" w:rsidR="00CC6DC9" w:rsidRDefault="00000000">
      <w:r>
        <w:t>To capture the physical and chemical behavior of the sensor and its environmental interferences, several domain-specific features were engineered.</w:t>
      </w:r>
    </w:p>
    <w:p w14:paraId="45C7F1BC" w14:textId="77777777" w:rsidR="00CC6DC9" w:rsidRDefault="00000000">
      <w:pPr>
        <w:pStyle w:val="Heading3"/>
        <w:spacing w:after="80"/>
      </w:pPr>
      <w:r>
        <w:rPr>
          <w:rFonts w:ascii="Calibri" w:hAnsi="Calibri"/>
          <w:color w:val="595959"/>
        </w:rPr>
        <w:t>3.3.1 Aerosol Hygroscopicity and Temperature Interaction</w:t>
      </w:r>
    </w:p>
    <w:p w14:paraId="22918F9E" w14:textId="781F756E" w:rsidR="00CC6DC9" w:rsidRDefault="00000000">
      <w:r>
        <w:t>To model the hygroscopic growth of particles in high relative humidity, we engineered an interaction term between the raw sensor measurement and relative humidity:</w:t>
      </w:r>
      <w:r w:rsidR="00152976" w:rsidRPr="00152976">
        <w:rPr>
          <w:rFonts w:ascii="Cambria Math" w:hAnsi="Cambria Math"/>
        </w:rP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Interaction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PM-RH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pm25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sample\_rh</m:t>
              </m:r>
            </m:e>
          </m:box>
        </m:oMath>
      </m:oMathPara>
    </w:p>
    <w:p w14:paraId="453F5D77" w14:textId="77777777" w:rsidR="00CC6DC9" w:rsidRDefault="00000000">
      <w:r>
        <w:t>This interaction allows the model to scale its correction non-linearly when high relative humidity and high particulate loadings occur simultaneously.</w:t>
      </w:r>
    </w:p>
    <w:p w14:paraId="2AF1797F" w14:textId="77777777" w:rsidR="00CC6DC9" w:rsidRDefault="00000000">
      <w:pPr>
        <w:pStyle w:val="Heading3"/>
        <w:spacing w:after="80"/>
      </w:pPr>
      <w:r>
        <w:rPr>
          <w:rFonts w:ascii="Calibri" w:hAnsi="Calibri"/>
          <w:color w:val="595959"/>
        </w:rPr>
        <w:t>3.3.2 Temporal and Diurnal Features</w:t>
      </w:r>
    </w:p>
    <w:p w14:paraId="0CCEB9C2" w14:textId="77777777" w:rsidR="00CC6DC9" w:rsidRDefault="00000000">
      <w:r>
        <w:t>Air pollution concentrations and boundary layer heights follow strong diurnal and weekly cycles. These were captured using:</w:t>
      </w:r>
    </w:p>
    <w:p w14:paraId="71B8F8ED" w14:textId="660EC878" w:rsidR="00CC6DC9" w:rsidRDefault="00000000">
      <w:pPr>
        <w:pStyle w:val="ListBullet"/>
        <w:spacing w:after="60"/>
      </w:pPr>
      <w:r>
        <w:rPr>
          <w:b/>
        </w:rPr>
        <w:t>Hour of Day</w:t>
      </w:r>
      <w:r>
        <w:t xml:space="preserve"> (</w:t>
      </w:r>
      <m:oMath>
        <m:r>
          <w:rPr>
            <w:rFonts w:ascii="Cambria Math" w:hAnsi="Cambria Math"/>
          </w:rPr>
          <m:t>H∈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0,23</m:t>
            </m:r>
          </m:e>
        </m:d>
      </m:oMath>
      <w:r>
        <w:t>): Represents the diurnal traffic, boundary layer height, and temperature variations.</w:t>
      </w:r>
    </w:p>
    <w:p w14:paraId="603297CD" w14:textId="28386744" w:rsidR="00CC6DC9" w:rsidRDefault="00000000">
      <w:pPr>
        <w:pStyle w:val="ListBullet"/>
        <w:spacing w:after="60"/>
      </w:pPr>
      <w:r>
        <w:rPr>
          <w:b/>
        </w:rPr>
        <w:t>Day of Week</w:t>
      </w:r>
      <w:r>
        <w:t xml:space="preserve"> (</w:t>
      </w:r>
      <m:oMath>
        <m:r>
          <w:rPr>
            <w:rFonts w:ascii="Cambria Math" w:hAnsi="Cambria Math"/>
          </w:rPr>
          <m:t>D∈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0,6</m:t>
            </m:r>
          </m:e>
        </m:d>
      </m:oMath>
      <w:r>
        <w:t>): Captures anthropogenic activity differences between weekdays and weekends.</w:t>
      </w:r>
    </w:p>
    <w:p w14:paraId="0FF68F7B" w14:textId="77777777" w:rsidR="00CC6DC9" w:rsidRDefault="00000000">
      <w:pPr>
        <w:pStyle w:val="Heading3"/>
        <w:spacing w:after="80"/>
      </w:pPr>
      <w:r>
        <w:rPr>
          <w:rFonts w:ascii="Calibri" w:hAnsi="Calibri"/>
          <w:color w:val="595959"/>
        </w:rPr>
        <w:t>3.3.3 Rolling Temporal Statistics</w:t>
      </w:r>
    </w:p>
    <w:p w14:paraId="00EB2CC4" w14:textId="1B42E1B2" w:rsidR="00CC6DC9" w:rsidRDefault="00000000">
      <w:r>
        <w:t>To incorporate atmospheric continuity and local trends, short-term rolling statistics were calculated on the raw sensor measurements using a rolling window (</w:t>
      </w:r>
      <m:oMath>
        <m:r>
          <w:rPr>
            <w:rFonts w:ascii="Cambria Math" w:hAnsi="Cambria Math"/>
          </w:rPr>
          <m:t>w=3</m:t>
        </m:r>
      </m:oMath>
      <w:r>
        <w:t xml:space="preserve"> hours):</w:t>
      </w:r>
    </w:p>
    <w:p w14:paraId="59210ED4" w14:textId="2CB1D67A" w:rsidR="00CC6DC9" w:rsidRDefault="00000000">
      <w:pPr>
        <w:pStyle w:val="ListBullet"/>
        <w:spacing w:after="60"/>
      </w:pPr>
      <w:r>
        <w:rPr>
          <w:b/>
        </w:rPr>
        <w:t>Rolling Mean</w:t>
      </w:r>
      <w:r>
        <w:t>: Captures the short-term background trend:</w:t>
      </w:r>
      <w:r w:rsidR="00152976" w:rsidRPr="00152976">
        <w:rPr>
          <w:rFonts w:ascii="Cambria Math" w:hAnsi="Cambria Math"/>
        </w:rP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rolling_mean_pm25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box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=0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box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pm25</m:t>
                      </m:r>
                    </m:e>
                    <m:sub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box>
                    </m:sub>
                  </m:sSub>
                </m:e>
              </m:nary>
            </m:e>
          </m:box>
        </m:oMath>
      </m:oMathPara>
    </w:p>
    <w:p w14:paraId="6442BAA0" w14:textId="7C7A11EF" w:rsidR="00CC6DC9" w:rsidRDefault="00000000">
      <w:pPr>
        <w:pStyle w:val="ListBullet"/>
        <w:spacing w:after="60"/>
      </w:pPr>
      <w:r>
        <w:rPr>
          <w:b/>
        </w:rPr>
        <w:t>Rolling Standard Deviation</w:t>
      </w:r>
      <w:r>
        <w:t>: Captures short-term volatility and rapid changes in concentration:</w:t>
      </w:r>
      <w:r w:rsidR="00152976" w:rsidRPr="00152976">
        <w:rPr>
          <w:rFonts w:ascii="Cambria Math" w:hAnsi="Cambria Math"/>
        </w:rP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rolling_std_pm25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e>
                              </m:box>
                            </m:num>
                            <m:den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e>
                              </m:box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=0</m:t>
                                  </m:r>
                                </m:e>
                              </m:box>
                            </m:sub>
                            <m:sup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e>
                              </m:box>
                            </m: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pm25</m:t>
                                  </m:r>
                                </m:e>
                                <m:sub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rolling_mean_pm25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nary>
                        </m:e>
                      </m:box>
                    </m:e>
                  </m:box>
                </m:e>
              </m:rad>
            </m:e>
          </m:box>
        </m:oMath>
      </m:oMathPara>
    </w:p>
    <w:p w14:paraId="6EFE68BC" w14:textId="053D4851" w:rsidR="00CC6DC9" w:rsidRDefault="00000000">
      <w:r>
        <w:t xml:space="preserve">To avoid missing values at the beginning of the time-series, the first </w:t>
      </w:r>
      <m:oMath>
        <m:r>
          <w:rPr>
            <w:rFonts w:ascii="Cambria Math" w:hAnsi="Cambria Math"/>
          </w:rPr>
          <m:t>w-1</m:t>
        </m:r>
      </m:oMath>
      <w:r>
        <w:t xml:space="preserve"> values were backfilled with the raw </w:t>
      </w:r>
      <w:r>
        <w:rPr>
          <w:rFonts w:ascii="Consolas" w:hAnsi="Consolas"/>
          <w:color w:val="BE1E46"/>
          <w:sz w:val="20"/>
        </w:rPr>
        <w:t>pm25</w:t>
      </w:r>
      <w:r>
        <w:t xml:space="preserve"> value.</w:t>
      </w:r>
    </w:p>
    <w:p w14:paraId="3104E19E" w14:textId="77777777" w:rsidR="00CC6DC9" w:rsidRDefault="00000000">
      <w:pPr>
        <w:pStyle w:val="Heading3"/>
        <w:spacing w:after="80"/>
      </w:pPr>
      <w:r>
        <w:rPr>
          <w:rFonts w:ascii="Calibri" w:hAnsi="Calibri"/>
          <w:color w:val="595959"/>
        </w:rPr>
        <w:t>3.3.4 Harmattan and Dust Storm Indicators</w:t>
      </w:r>
    </w:p>
    <w:p w14:paraId="235044D7" w14:textId="77777777" w:rsidR="00CC6DC9" w:rsidRDefault="00000000">
      <w:r>
        <w:t>To handle the unique dust loading during the dry winter months, three features were developed:</w:t>
      </w:r>
    </w:p>
    <w:p w14:paraId="596DA8CC" w14:textId="7A50F977" w:rsidR="00CC6DC9" w:rsidRDefault="00000000">
      <w:pPr>
        <w:pStyle w:val="ListBullet"/>
        <w:spacing w:after="60"/>
      </w:pPr>
      <w:r>
        <w:rPr>
          <w:rFonts w:ascii="Consolas" w:hAnsi="Consolas"/>
          <w:color w:val="BE1E46"/>
          <w:sz w:val="20"/>
        </w:rPr>
        <w:t>is_harmattan_month</w:t>
      </w:r>
      <w:r>
        <w:t>: A binary flag (</w:t>
      </w:r>
      <m:oMath>
        <m:r>
          <w:rPr>
            <w:rFonts w:ascii="Cambria Math" w:hAnsi="Cambria Math"/>
          </w:rPr>
          <m:t>1</m:t>
        </m:r>
      </m:oMath>
      <w:r>
        <w:t xml:space="preserve"> if the month is in November, December, January, February, or March; </w:t>
      </w:r>
      <m:oMath>
        <m:r>
          <w:rPr>
            <w:rFonts w:ascii="Cambria Math" w:hAnsi="Cambria Math"/>
          </w:rPr>
          <m:t>0</m:t>
        </m:r>
      </m:oMath>
      <w:r>
        <w:t xml:space="preserve"> otherwise).</w:t>
      </w:r>
    </w:p>
    <w:p w14:paraId="5EF178E4" w14:textId="77777777" w:rsidR="00CC6DC9" w:rsidRDefault="00000000">
      <w:pPr>
        <w:pStyle w:val="ListBullet"/>
        <w:spacing w:after="60"/>
      </w:pPr>
      <w:r>
        <w:rPr>
          <w:rFonts w:ascii="Consolas" w:hAnsi="Consolas"/>
          <w:color w:val="BE1E46"/>
          <w:sz w:val="20"/>
        </w:rPr>
        <w:t>is_harmattan</w:t>
      </w:r>
      <w:r>
        <w:t>: A localized seasonal indicator mapping active dust transport periods based on low humidity and high coarse-particle ratios.</w:t>
      </w:r>
    </w:p>
    <w:p w14:paraId="70B7BA69" w14:textId="77777777" w:rsidR="00CC6DC9" w:rsidRDefault="00000000">
      <w:pPr>
        <w:pStyle w:val="ListBullet"/>
        <w:spacing w:after="60"/>
      </w:pPr>
      <w:r>
        <w:rPr>
          <w:rFonts w:ascii="Consolas" w:hAnsi="Consolas"/>
          <w:color w:val="BE1E46"/>
          <w:sz w:val="20"/>
        </w:rPr>
        <w:t>harmattan_score</w:t>
      </w:r>
      <w:r>
        <w:t>: A continuous variable estimating dust severity:</w:t>
      </w:r>
    </w:p>
    <w:p w14:paraId="2ED86AB0" w14:textId="1F6965F6" w:rsidR="00CC6DC9" w:rsidRDefault="00152976">
      <m:oMathPara>
        <m:oMath>
          <m:r>
            <m:rPr>
              <m:nor/>
            </m:rPr>
            <w:lastRenderedPageBreak/>
            <m:t>harmattan_score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m:t>coarse_ratio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nor/>
                          </m:rPr>
                          <m:t>RH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m:t>if dry season months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 w14:paraId="3F81A560" w14:textId="77777777" w:rsidR="00CC6DC9" w:rsidRDefault="00000000">
      <w:pPr>
        <w:pStyle w:val="Heading3"/>
        <w:spacing w:after="80"/>
      </w:pPr>
      <w:r>
        <w:rPr>
          <w:rFonts w:ascii="Calibri" w:hAnsi="Calibri"/>
          <w:color w:val="595959"/>
        </w:rPr>
        <w:t>3.3.5 Feature Scaling</w:t>
      </w:r>
    </w:p>
    <w:p w14:paraId="6BB219A2" w14:textId="3A7270D9" w:rsidR="00CC6DC9" w:rsidRDefault="00000000">
      <w:r>
        <w:t>For algorithms sensitive to scale (such as Neural Networks), continuous features were standardized to have zero mean and unit variance using the StandardScaler:</w:t>
      </w:r>
      <w:r w:rsidR="00152976" w:rsidRPr="00152976">
        <w:rPr>
          <w:rFonts w:ascii="Cambria Math" w:hAnsi="Cambria Math"/>
        </w:rP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box>
                </m:den>
              </m:f>
            </m:e>
          </m:box>
        </m:oMath>
      </m:oMathPara>
    </w:p>
    <w:p w14:paraId="2A8E39D0" w14:textId="1862DED0" w:rsidR="004448EC" w:rsidRDefault="00000000">
      <w:r>
        <w:t xml:space="preserve">where </w:t>
      </w:r>
      <m:oMath>
        <m:r>
          <w:rPr>
            <w:rFonts w:ascii="Cambria Math" w:hAnsi="Cambria Math"/>
          </w:rPr>
          <m:t>μ</m:t>
        </m:r>
      </m:oMath>
      <w:r>
        <w:t xml:space="preserve"> and </w:t>
      </w:r>
      <m:oMath>
        <m:r>
          <w:rPr>
            <w:rFonts w:ascii="Cambria Math" w:hAnsi="Cambria Math"/>
          </w:rPr>
          <m:t>σ</m:t>
        </m:r>
      </m:oMath>
      <w:r>
        <w:t xml:space="preserve"> are the mean and standard deviation of the feature calculated </w:t>
      </w:r>
      <w:r>
        <w:rPr>
          <w:i/>
        </w:rPr>
        <w:t>only</w:t>
      </w:r>
      <w:r>
        <w:t xml:space="preserve"> from the training partition to prevent data leakage.</w:t>
      </w:r>
    </w:p>
    <w:p w14:paraId="240A7EAC" w14:textId="77777777" w:rsidR="004448EC" w:rsidRDefault="004448EC">
      <w:pPr>
        <w:spacing w:after="200"/>
      </w:pPr>
      <w:r>
        <w:br w:type="page"/>
      </w:r>
    </w:p>
    <w:p w14:paraId="7255E192" w14:textId="77777777" w:rsidR="00CC6DC9" w:rsidRDefault="00000000">
      <w:pPr>
        <w:pStyle w:val="Heading2"/>
        <w:spacing w:before="240" w:after="80"/>
      </w:pPr>
      <w:r>
        <w:rPr>
          <w:rFonts w:ascii="Calibri" w:hAnsi="Calibri"/>
          <w:color w:val="2F5496"/>
        </w:rPr>
        <w:lastRenderedPageBreak/>
        <w:t>3.4 Model Architectures and Training</w:t>
      </w:r>
    </w:p>
    <w:p w14:paraId="63BB9EFD" w14:textId="77777777" w:rsidR="00CC6DC9" w:rsidRDefault="00000000">
      <w:r>
        <w:t>Three modeling paradigms were implemented and compared:</w:t>
      </w:r>
    </w:p>
    <w:p w14:paraId="2FCF40FA" w14:textId="77777777" w:rsidR="00CC6DC9" w:rsidRDefault="00000000">
      <w:pPr>
        <w:pStyle w:val="Heading3"/>
        <w:spacing w:after="80"/>
      </w:pPr>
      <w:r>
        <w:rPr>
          <w:rFonts w:ascii="Calibri" w:hAnsi="Calibri"/>
          <w:color w:val="595959"/>
        </w:rPr>
        <w:t>3.4.1 Baseline Model: Linear Regression</w:t>
      </w:r>
    </w:p>
    <w:p w14:paraId="3CFC9455" w14:textId="285C23AB" w:rsidR="00CC6DC9" w:rsidRDefault="00000000">
      <w:r>
        <w:t>A standard Multiple Linear Regression (MLR) model was implemented as a baseline:</w:t>
      </w:r>
      <w:r w:rsidR="00152976" w:rsidRPr="00152976">
        <w:rPr>
          <w:rFonts w:ascii="Cambria Math" w:hAnsi="Cambria Math"/>
        </w:rP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PM25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reference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pm25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raw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m:t>sample_temp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nor/>
                </m:rPr>
                <m:t>sample_rh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Interaction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PM-RH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ϵ</m:t>
              </m:r>
            </m:e>
          </m:box>
        </m:oMath>
      </m:oMathPara>
    </w:p>
    <w:p w14:paraId="40D34EBB" w14:textId="77777777" w:rsidR="00CC6DC9" w:rsidRDefault="00000000">
      <w:pPr>
        <w:pStyle w:val="Heading3"/>
        <w:spacing w:after="80"/>
      </w:pPr>
      <w:r>
        <w:rPr>
          <w:rFonts w:ascii="Calibri" w:hAnsi="Calibri"/>
          <w:color w:val="595959"/>
        </w:rPr>
        <w:t>3.4.2 Ensemble Model: Random Forest Regressor</w:t>
      </w:r>
    </w:p>
    <w:p w14:paraId="05802B36" w14:textId="77777777" w:rsidR="00CC6DC9" w:rsidRDefault="00000000">
      <w:r>
        <w:t xml:space="preserve">The primary machine learning model is a </w:t>
      </w:r>
      <w:r>
        <w:rPr>
          <w:b/>
        </w:rPr>
        <w:t>Random Forest Regressor</w:t>
      </w:r>
      <w:r>
        <w:t>, which constructs an ensemble of decision trees using bootstrap aggregation (bagging) and random feature selection:</w:t>
      </w:r>
    </w:p>
    <w:p w14:paraId="210670D7" w14:textId="77777777" w:rsidR="00CC6DC9" w:rsidRDefault="00000000">
      <w:pPr>
        <w:pStyle w:val="ListBullet"/>
        <w:spacing w:after="60"/>
      </w:pPr>
      <w:r>
        <w:rPr>
          <w:b/>
        </w:rPr>
        <w:t>Structure</w:t>
      </w:r>
      <w:r>
        <w:t>: Trained with 200 decision trees (</w:t>
      </w:r>
      <w:r>
        <w:rPr>
          <w:rFonts w:ascii="Consolas" w:hAnsi="Consolas"/>
          <w:color w:val="BE1E46"/>
          <w:sz w:val="20"/>
        </w:rPr>
        <w:t>n_estimators=200</w:t>
      </w:r>
      <w:r>
        <w:t>).</w:t>
      </w:r>
    </w:p>
    <w:p w14:paraId="0F23A0C1" w14:textId="77777777" w:rsidR="00CC6DC9" w:rsidRDefault="00000000">
      <w:pPr>
        <w:pStyle w:val="ListBullet"/>
        <w:spacing w:after="60"/>
      </w:pPr>
      <w:r>
        <w:rPr>
          <w:b/>
        </w:rPr>
        <w:t>Hyperparameter Optimization</w:t>
      </w:r>
      <w:r>
        <w:t>: Conducted using Grid Search (</w:t>
      </w:r>
      <w:r>
        <w:rPr>
          <w:rFonts w:ascii="Consolas" w:hAnsi="Consolas"/>
          <w:color w:val="BE1E46"/>
          <w:sz w:val="20"/>
        </w:rPr>
        <w:t>GridSearchCV</w:t>
      </w:r>
      <w:r>
        <w:t>) over a hyperparameter space:</w:t>
      </w:r>
    </w:p>
    <w:p w14:paraId="64DACBE0" w14:textId="1B612038" w:rsidR="00CC6DC9" w:rsidRDefault="00000000">
      <w:pPr>
        <w:pStyle w:val="ListBullet"/>
        <w:spacing w:after="60"/>
      </w:pPr>
      <w:r>
        <w:rPr>
          <w:rFonts w:ascii="Consolas" w:hAnsi="Consolas"/>
          <w:color w:val="BE1E46"/>
          <w:sz w:val="20"/>
        </w:rPr>
        <w:t>n_estimators</w:t>
      </w:r>
      <w:r>
        <w:t xml:space="preserve">: </w:t>
      </w:r>
      <m:oMath>
        <m:r>
          <w:rPr>
            <w:rFonts w:ascii="Cambria Math" w:hAnsi="Cambria Math"/>
          </w:rPr>
          <m:t>200,500</m:t>
        </m:r>
      </m:oMath>
    </w:p>
    <w:p w14:paraId="38CC4052" w14:textId="06D55988" w:rsidR="00CC6DC9" w:rsidRDefault="00000000">
      <w:pPr>
        <w:pStyle w:val="ListBullet"/>
        <w:spacing w:after="60"/>
      </w:pPr>
      <w:r>
        <w:rPr>
          <w:rFonts w:ascii="Consolas" w:hAnsi="Consolas"/>
          <w:color w:val="BE1E46"/>
          <w:sz w:val="20"/>
        </w:rPr>
        <w:t>max_depth</w:t>
      </w:r>
      <w:r>
        <w:t xml:space="preserve">: </w:t>
      </w:r>
      <m:oMath>
        <m:r>
          <w:rPr>
            <w:rFonts w:ascii="Cambria Math" w:hAnsi="Cambria Math"/>
          </w:rPr>
          <m:t>10,15,20,None</m:t>
        </m:r>
      </m:oMath>
    </w:p>
    <w:p w14:paraId="0ECC4B81" w14:textId="509443E2" w:rsidR="00CC6DC9" w:rsidRDefault="00000000">
      <w:pPr>
        <w:pStyle w:val="ListBullet"/>
        <w:spacing w:after="60"/>
      </w:pPr>
      <w:r>
        <w:rPr>
          <w:rFonts w:ascii="Consolas" w:hAnsi="Consolas"/>
          <w:color w:val="BE1E46"/>
          <w:sz w:val="20"/>
        </w:rPr>
        <w:t>min_samples_split</w:t>
      </w:r>
      <w:r>
        <w:t xml:space="preserve">: </w:t>
      </w:r>
      <m:oMath>
        <m:r>
          <w:rPr>
            <w:rFonts w:ascii="Cambria Math" w:hAnsi="Cambria Math"/>
          </w:rPr>
          <m:t>2,5,10</m:t>
        </m:r>
      </m:oMath>
    </w:p>
    <w:p w14:paraId="4E7952CD" w14:textId="77777777" w:rsidR="00CC6DC9" w:rsidRDefault="00000000">
      <w:pPr>
        <w:pStyle w:val="ListBullet"/>
        <w:spacing w:after="60"/>
      </w:pPr>
      <w:r>
        <w:rPr>
          <w:b/>
        </w:rPr>
        <w:t>Objective Function</w:t>
      </w:r>
      <w:r>
        <w:t>: Minimize the Mean Absolute Error (MAE) during training.</w:t>
      </w:r>
    </w:p>
    <w:p w14:paraId="1F6A727E" w14:textId="77777777" w:rsidR="00CC6DC9" w:rsidRDefault="00000000">
      <w:pPr>
        <w:pStyle w:val="Heading3"/>
        <w:spacing w:after="80"/>
      </w:pPr>
      <w:r>
        <w:rPr>
          <w:rFonts w:ascii="Calibri" w:hAnsi="Calibri"/>
          <w:color w:val="595959"/>
        </w:rPr>
        <w:t>3.4.3 Deep Learning Model: Multi-Layer Perceptron (MLP) Regressor</w:t>
      </w:r>
    </w:p>
    <w:p w14:paraId="51B71474" w14:textId="77777777" w:rsidR="00CC6DC9" w:rsidRDefault="00000000">
      <w:r>
        <w:t xml:space="preserve">To capture highly non-linear high-dimensional interactions, an artificial neural network was built using Scikit-Learn's </w:t>
      </w:r>
      <w:r>
        <w:rPr>
          <w:rFonts w:ascii="Consolas" w:hAnsi="Consolas"/>
          <w:color w:val="BE1E46"/>
          <w:sz w:val="20"/>
        </w:rPr>
        <w:t>MLPRegressor</w:t>
      </w:r>
      <w:r>
        <w:t>:</w:t>
      </w:r>
    </w:p>
    <w:p w14:paraId="77988752" w14:textId="77777777" w:rsidR="00CC6DC9" w:rsidRDefault="00000000">
      <w:pPr>
        <w:pStyle w:val="ListBullet"/>
        <w:spacing w:after="60"/>
      </w:pPr>
      <w:r>
        <w:rPr>
          <w:b/>
        </w:rPr>
        <w:t>Architecture</w:t>
      </w:r>
      <w:r>
        <w:t>: A feedforward neural network comprising:</w:t>
      </w:r>
    </w:p>
    <w:p w14:paraId="318C452F" w14:textId="77777777" w:rsidR="00CC6DC9" w:rsidRDefault="00000000">
      <w:pPr>
        <w:pStyle w:val="ListBullet"/>
        <w:spacing w:after="60"/>
      </w:pPr>
      <w:r>
        <w:t>Input layer mapping the engineered feature vector.</w:t>
      </w:r>
    </w:p>
    <w:p w14:paraId="6D46E13B" w14:textId="77777777" w:rsidR="00CC6DC9" w:rsidRDefault="00000000">
      <w:pPr>
        <w:pStyle w:val="ListBullet"/>
        <w:spacing w:after="60"/>
      </w:pPr>
      <w:r>
        <w:t>A hidden layer containing 128 neurons (</w:t>
      </w:r>
      <w:r>
        <w:rPr>
          <w:rFonts w:ascii="Consolas" w:hAnsi="Consolas"/>
          <w:color w:val="BE1E46"/>
          <w:sz w:val="20"/>
        </w:rPr>
        <w:t>hidden_layer_sizes=(128,)</w:t>
      </w:r>
      <w:r>
        <w:t>).</w:t>
      </w:r>
    </w:p>
    <w:p w14:paraId="533B875F" w14:textId="77777777" w:rsidR="00CC6DC9" w:rsidRDefault="00000000">
      <w:pPr>
        <w:pStyle w:val="ListBullet"/>
        <w:spacing w:after="60"/>
      </w:pPr>
      <w:r>
        <w:t xml:space="preserve">Output layer containing a single neuron with linear activation to output the calibrated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PM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2.5</m:t>
                    </m:r>
                  </m:e>
                </m:box>
              </m:sub>
            </m:sSub>
          </m:e>
        </m:box>
      </m:oMath>
      <w:r>
        <w:t xml:space="preserve"> concentration.</w:t>
      </w:r>
    </w:p>
    <w:p w14:paraId="2DC539EE" w14:textId="77777777" w:rsidR="00CC6DC9" w:rsidRDefault="00000000">
      <w:pPr>
        <w:pStyle w:val="ListBullet"/>
        <w:spacing w:after="60"/>
      </w:pPr>
      <w:r>
        <w:rPr>
          <w:b/>
        </w:rPr>
        <w:t>Hyperparameters</w:t>
      </w:r>
      <w:r>
        <w:t>:</w:t>
      </w:r>
    </w:p>
    <w:p w14:paraId="024C20F4" w14:textId="77777777" w:rsidR="00CC6DC9" w:rsidRDefault="00000000">
      <w:pPr>
        <w:pStyle w:val="ListBullet"/>
        <w:spacing w:after="60"/>
      </w:pPr>
      <w:r>
        <w:t>Activation function: Hyperbolic tangent (</w:t>
      </w:r>
      <w:r>
        <w:rPr>
          <w:rFonts w:ascii="Consolas" w:hAnsi="Consolas"/>
          <w:color w:val="BE1E46"/>
          <w:sz w:val="20"/>
        </w:rPr>
        <w:t>activation='tanh'</w:t>
      </w:r>
      <w:r>
        <w:t>).</w:t>
      </w:r>
    </w:p>
    <w:p w14:paraId="3D98DAAD" w14:textId="77777777" w:rsidR="00CC6DC9" w:rsidRDefault="00000000">
      <w:pPr>
        <w:pStyle w:val="ListBullet"/>
        <w:spacing w:after="60"/>
      </w:pPr>
      <w:r>
        <w:t>Optimization solver: Adam (</w:t>
      </w:r>
      <w:r>
        <w:rPr>
          <w:rFonts w:ascii="Consolas" w:hAnsi="Consolas"/>
          <w:color w:val="BE1E46"/>
          <w:sz w:val="20"/>
        </w:rPr>
        <w:t>solver='adam'</w:t>
      </w:r>
      <w:r>
        <w:t>).</w:t>
      </w:r>
    </w:p>
    <w:p w14:paraId="2C09F4DF" w14:textId="489324D9" w:rsidR="00CC6DC9" w:rsidRDefault="00000000">
      <w:pPr>
        <w:pStyle w:val="ListBullet"/>
        <w:spacing w:after="60"/>
      </w:pPr>
      <w:r>
        <w:t xml:space="preserve">Regularization parameter: L2 penalty parameter </w:t>
      </w:r>
      <m:oMath>
        <m:r>
          <w:rPr>
            <w:rFonts w:ascii="Cambria Math" w:hAnsi="Cambria Math"/>
          </w:rPr>
          <m:t>α=0.01</m:t>
        </m:r>
      </m:oMath>
      <w:r>
        <w:t xml:space="preserve"> (</w:t>
      </w:r>
      <w:r>
        <w:rPr>
          <w:rFonts w:ascii="Consolas" w:hAnsi="Consolas"/>
          <w:color w:val="BE1E46"/>
          <w:sz w:val="20"/>
        </w:rPr>
        <w:t>alpha=0.01</w:t>
      </w:r>
      <w:r>
        <w:t>).</w:t>
      </w:r>
    </w:p>
    <w:p w14:paraId="1503C736" w14:textId="77777777" w:rsidR="00CC6DC9" w:rsidRDefault="00000000">
      <w:pPr>
        <w:pStyle w:val="ListBullet"/>
        <w:spacing w:after="60"/>
      </w:pPr>
      <w:r>
        <w:t>Batch size: 64 (</w:t>
      </w:r>
      <w:r>
        <w:rPr>
          <w:rFonts w:ascii="Consolas" w:hAnsi="Consolas"/>
          <w:color w:val="BE1E46"/>
          <w:sz w:val="20"/>
        </w:rPr>
        <w:t>batch_size=64</w:t>
      </w:r>
      <w:r>
        <w:t>).</w:t>
      </w:r>
    </w:p>
    <w:p w14:paraId="4CFE1EEF" w14:textId="77777777" w:rsidR="00CC6DC9" w:rsidRDefault="00000000">
      <w:pPr>
        <w:pStyle w:val="ListBullet"/>
        <w:spacing w:after="60"/>
      </w:pPr>
      <w:r>
        <w:t>Training control: Early stopping enabled (</w:t>
      </w:r>
      <w:r>
        <w:rPr>
          <w:rFonts w:ascii="Consolas" w:hAnsi="Consolas"/>
          <w:color w:val="BE1E46"/>
          <w:sz w:val="20"/>
        </w:rPr>
        <w:t>early_stopping=True</w:t>
      </w:r>
      <w:r>
        <w:t>) to prevent overfitting.</w:t>
      </w:r>
    </w:p>
    <w:p w14:paraId="3D2C8088" w14:textId="77777777" w:rsidR="004448EC" w:rsidRDefault="004448EC">
      <w:pPr>
        <w:spacing w:after="200"/>
        <w:rPr>
          <w:color w:val="B4B4B4"/>
        </w:rPr>
      </w:pPr>
      <w:r>
        <w:rPr>
          <w:color w:val="B4B4B4"/>
        </w:rPr>
        <w:br w:type="page"/>
      </w:r>
    </w:p>
    <w:p w14:paraId="5DF96D75" w14:textId="77777777" w:rsidR="00CC6DC9" w:rsidRDefault="00CC6DC9">
      <w:pPr>
        <w:spacing w:before="240" w:after="240"/>
        <w:jc w:val="center"/>
      </w:pPr>
    </w:p>
    <w:p w14:paraId="28006CD1" w14:textId="77777777" w:rsidR="00CC6DC9" w:rsidRDefault="00000000">
      <w:pPr>
        <w:pStyle w:val="Heading2"/>
        <w:spacing w:before="240" w:after="80"/>
      </w:pPr>
      <w:r>
        <w:rPr>
          <w:rFonts w:ascii="Calibri" w:hAnsi="Calibri"/>
          <w:color w:val="2F5496"/>
        </w:rPr>
        <w:t>3.5 Model Validation and Testing Strategy</w:t>
      </w:r>
    </w:p>
    <w:p w14:paraId="335B61FF" w14:textId="77777777" w:rsidR="00CC6DC9" w:rsidRDefault="00000000">
      <w:r>
        <w:t>To evaluate how well the models generalize to unseen future data and prevent temporal data leakage:</w:t>
      </w:r>
    </w:p>
    <w:p w14:paraId="53CB45D5" w14:textId="77777777" w:rsidR="00CC6DC9" w:rsidRDefault="00000000">
      <w:pPr>
        <w:pStyle w:val="ListNumber"/>
        <w:spacing w:after="60"/>
      </w:pPr>
      <w:r>
        <w:rPr>
          <w:b/>
        </w:rPr>
        <w:t>Chronological Train-Test Split</w:t>
      </w:r>
      <w:r>
        <w:t>: The co-located dataset was split chronologically rather than randomly. A training partition (75% or 80%) consisting of earlier records (primarily 2024 data) was used to train the models, while a holdout test partition (20% to 25%) consisting of subsequent records (2025 data) was used to evaluate generalization.</w:t>
      </w:r>
    </w:p>
    <w:p w14:paraId="3842E02F" w14:textId="77777777" w:rsidR="00CC6DC9" w:rsidRDefault="00000000">
      <w:pPr>
        <w:pStyle w:val="ListNumber"/>
        <w:spacing w:after="60"/>
      </w:pPr>
      <w:r>
        <w:rPr>
          <w:b/>
        </w:rPr>
        <w:t>Time-Series Cross-Validation</w:t>
      </w:r>
      <w:r>
        <w:t>: A 5-fold Time Series Split (</w:t>
      </w:r>
      <w:r>
        <w:rPr>
          <w:rFonts w:ascii="Consolas" w:hAnsi="Consolas"/>
          <w:color w:val="BE1E46"/>
          <w:sz w:val="20"/>
        </w:rPr>
        <w:t>TimeSeriesSplit</w:t>
      </w:r>
      <w:r>
        <w:t>) was applied during hyperparameter optimization, where the training set in each fold grows sequentially, and the validation set is always chronologically subsequent to the training set. This simulates a real-world deployment scenario where models calibrated on past data must predict future air quality.</w:t>
      </w:r>
    </w:p>
    <w:p w14:paraId="06DEED42" w14:textId="77777777" w:rsidR="004448EC" w:rsidRDefault="004448EC">
      <w:pPr>
        <w:pStyle w:val="Heading2"/>
        <w:spacing w:before="240" w:after="80"/>
        <w:rPr>
          <w:rFonts w:ascii="Calibri" w:hAnsi="Calibri"/>
          <w:color w:val="2F5496"/>
        </w:rPr>
      </w:pPr>
    </w:p>
    <w:p w14:paraId="10D31A4E" w14:textId="38288E11" w:rsidR="00CC6DC9" w:rsidRDefault="00000000">
      <w:pPr>
        <w:pStyle w:val="Heading2"/>
        <w:spacing w:before="240" w:after="80"/>
      </w:pPr>
      <w:r>
        <w:rPr>
          <w:rFonts w:ascii="Calibri" w:hAnsi="Calibri"/>
          <w:color w:val="2F5496"/>
        </w:rPr>
        <w:t>3.6 Evaluation Framework</w:t>
      </w:r>
    </w:p>
    <w:p w14:paraId="0DA4D5D1" w14:textId="77777777" w:rsidR="00CC6DC9" w:rsidRDefault="00000000">
      <w:r>
        <w:t>Model performance is assessed quantitatively using three primary metrics:</w:t>
      </w:r>
    </w:p>
    <w:p w14:paraId="07AB5E3D" w14:textId="28280814" w:rsidR="00CC6DC9" w:rsidRDefault="00000000">
      <w:pPr>
        <w:pStyle w:val="ListNumber"/>
        <w:spacing w:after="60"/>
      </w:pPr>
      <w:r w:rsidRPr="00152976">
        <w:rPr>
          <w:b/>
          <w:bCs/>
        </w:rPr>
        <w:t>Coefficient of Determination (</w:t>
      </w:r>
      <m:oMath>
        <m:box>
          <m:boxPr>
            <m:ctrlPr>
              <w:rPr>
                <w:rFonts w:ascii="Cambria Math" w:hAnsi="Cambria Math"/>
                <w:b/>
                <w:bCs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 w:rsidRPr="00152976">
        <w:rPr>
          <w:b/>
          <w:bCs/>
        </w:rPr>
        <w:t xml:space="preserve"> Score):</w:t>
      </w:r>
      <w:r>
        <w:t xml:space="preserve"> Measures the proportion of variance in the reference data explained by the calibration model:</w:t>
      </w:r>
      <w:r w:rsidR="00152976" w:rsidRPr="00152976">
        <w:rPr>
          <w:rFonts w:ascii="Cambria Math" w:hAnsi="Cambria Math"/>
        </w:rP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=1</m:t>
                              </m:r>
                            </m:e>
                          </m:box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limUpp>
                                <m:limUp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limUppPr>
                                <m:e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</m:box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^</m:t>
                                  </m:r>
                                </m:lim>
                              </m:limUpp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=1</m:t>
                              </m:r>
                            </m:e>
                          </m:box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groupChr>
                            <m:groupChrPr>
                              <m:chr m:val="¯"/>
                              <m:pos m:val="top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groupChr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box>
                            </m:e>
                          </m:groupCh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box>
                </m:den>
              </m:f>
            </m:e>
          </m:box>
          <m:r>
            <w:rPr>
              <w:rFonts w:ascii="Cambria Math" w:hAnsi="Cambria Math"/>
            </w:rPr>
            <w:br/>
          </m:r>
        </m:oMath>
      </m:oMathPara>
    </w:p>
    <w:p w14:paraId="544AFD2F" w14:textId="7DF04AD2" w:rsidR="00CC6DC9" w:rsidRDefault="00000000">
      <w:pPr>
        <w:pStyle w:val="ListNumber"/>
        <w:spacing w:after="60"/>
      </w:pPr>
      <w:r>
        <w:rPr>
          <w:b/>
        </w:rPr>
        <w:t>Mean Absolute Error (MAE)</w:t>
      </w:r>
      <w:r>
        <w:t xml:space="preserve">: Measures the average magnitude of absolute errors (expressed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μ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g/m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box>
      </m:oMath>
      <w:r>
        <w:t>):</w:t>
      </w:r>
      <w:r w:rsidR="00152976" w:rsidRPr="00152976">
        <w:rPr>
          <w:rFonts w:ascii="Cambria Math" w:hAnsi="Cambria Math"/>
        </w:rP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nor/>
                </m:rPr>
                <m:t>MAE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box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e>
                  </m:box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limUpp>
                        <m:limUppPr>
                          <m:ctrlPr>
                            <w:rPr>
                              <w:rFonts w:ascii="Cambria Math" w:hAnsi="Cambria Math"/>
                            </w:rPr>
                          </m:ctrlPr>
                        </m:limUppP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box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^</m:t>
                          </m:r>
                        </m:lim>
                      </m:limUpp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</m:nary>
            </m:e>
          </m:box>
        </m:oMath>
      </m:oMathPara>
    </w:p>
    <w:p w14:paraId="5BDFE8A9" w14:textId="55BE08BC" w:rsidR="00CC6DC9" w:rsidRDefault="00000000">
      <w:pPr>
        <w:pStyle w:val="ListNumber"/>
        <w:spacing w:after="60"/>
      </w:pPr>
      <w:r>
        <w:rPr>
          <w:b/>
        </w:rPr>
        <w:t>Root Mean Squared Error (RMSE)</w:t>
      </w:r>
      <w:r>
        <w:t>: Penalizes larger deviations, making it sensitive to extreme prediction errors:</w:t>
      </w:r>
      <w:r w:rsidR="00152976" w:rsidRPr="00152976">
        <w:rPr>
          <w:rFonts w:ascii="Cambria Math" w:hAnsi="Cambria Math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RMSE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limUpp>
                        <m:limUppPr>
                          <m:ctrlPr>
                            <w:rPr>
                              <w:rFonts w:ascii="Cambria Math" w:hAnsi="Cambria Math"/>
                            </w:rPr>
                          </m:ctrlPr>
                        </m:limUppP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box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^</m:t>
                          </m:r>
                        </m:lim>
                      </m:limUpp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37ED8D83" w14:textId="0B868C79" w:rsidR="00CC6DC9" w:rsidRDefault="00000000">
      <w:r>
        <w:t xml:space="preserve">In these equations,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box>
      </m:oMath>
      <w:r>
        <w:t xml:space="preserve"> is the actual reference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PM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2.5</m:t>
                    </m:r>
                  </m:e>
                </m:box>
              </m:sub>
            </m:sSub>
          </m:e>
        </m:box>
      </m:oMath>
      <w:r>
        <w:t xml:space="preserve"> value from the Teledyne T640,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^</m:t>
                    </m:r>
                  </m:lim>
                </m:limUpp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box>
      </m:oMath>
      <w:r>
        <w:t xml:space="preserve"> is the calibrated value predicted by the model, </w:t>
      </w:r>
      <m:oMath>
        <m:r>
          <w:rPr>
            <w:rFonts w:ascii="Cambria Math" w:hAnsi="Cambria Math"/>
          </w:rPr>
          <m:t>y</m:t>
        </m:r>
      </m:oMath>
      <w:r>
        <w:t xml:space="preserve"> is the mean of the actual reference values, and </w:t>
      </w:r>
      <m:oMath>
        <m:r>
          <w:rPr>
            <w:rFonts w:ascii="Cambria Math" w:hAnsi="Cambria Math"/>
          </w:rPr>
          <m:t>n</m:t>
        </m:r>
      </m:oMath>
      <w:r>
        <w:t xml:space="preserve"> is the total number of test samples.</w:t>
      </w:r>
    </w:p>
    <w:p w14:paraId="2F5AA692" w14:textId="77777777" w:rsidR="00CC6DC9" w:rsidRDefault="00000000">
      <w:r>
        <w:t xml:space="preserve">In addition to quantitative metrics, </w:t>
      </w:r>
      <w:r>
        <w:rPr>
          <w:b/>
        </w:rPr>
        <w:t>Residual Diagnostics</w:t>
      </w:r>
      <w:r>
        <w:t xml:space="preserve"> were conducted:</w:t>
      </w:r>
    </w:p>
    <w:p w14:paraId="43B4E98F" w14:textId="77777777" w:rsidR="00CC6DC9" w:rsidRDefault="00000000">
      <w:pPr>
        <w:pStyle w:val="ListBullet"/>
        <w:spacing w:after="60"/>
      </w:pPr>
      <w:r>
        <w:rPr>
          <w:b/>
        </w:rPr>
        <w:t>Residual Distribution Plotting</w:t>
      </w:r>
      <w:r>
        <w:t>: Histograms and Kernel Density Estimation (KDE) to verify if prediction errors are normally distributed.</w:t>
      </w:r>
    </w:p>
    <w:p w14:paraId="0E70E779" w14:textId="77777777" w:rsidR="00CC6DC9" w:rsidRDefault="00000000">
      <w:pPr>
        <w:pStyle w:val="ListBullet"/>
        <w:spacing w:after="60"/>
      </w:pPr>
      <w:r>
        <w:rPr>
          <w:b/>
        </w:rPr>
        <w:lastRenderedPageBreak/>
        <w:t>Quantile-Quantile (Q-Q) Plots</w:t>
      </w:r>
      <w:r>
        <w:t>: Standardized residuals plotted against theoretical normal quantiles to assess deviations from normality.</w:t>
      </w:r>
    </w:p>
    <w:p w14:paraId="1C6CBC3D" w14:textId="77777777" w:rsidR="00CC6DC9" w:rsidRDefault="00000000">
      <w:pPr>
        <w:pStyle w:val="ListBullet"/>
        <w:spacing w:after="60"/>
      </w:pPr>
      <w:r>
        <w:rPr>
          <w:b/>
        </w:rPr>
        <w:t>Heteroscedasticity Analysis</w:t>
      </w:r>
      <w:r>
        <w:t>: Scatter plots of residuals versus predicted values to determine if the error variance is constant across the range of predictions.</w:t>
      </w:r>
    </w:p>
    <w:p w14:paraId="127E3B3E" w14:textId="77777777" w:rsidR="00CC6DC9" w:rsidRDefault="00000000">
      <w:pPr>
        <w:pStyle w:val="ListBullet"/>
        <w:spacing w:after="60"/>
      </w:pPr>
      <w:r>
        <w:rPr>
          <w:b/>
        </w:rPr>
        <w:t>Feature Importance Analysis</w:t>
      </w:r>
      <w:r>
        <w:t>: Extraction of tree-based feature importances from the Random Forest model to identify the physical parameters most critical to correcting sensor readings.</w:t>
      </w:r>
    </w:p>
    <w:p w14:paraId="0FB36D27" w14:textId="0A2784B3" w:rsidR="00CC6DC9" w:rsidRDefault="00CC6DC9"/>
    <w:p w14:paraId="716F2A69" w14:textId="564EB48D" w:rsidR="00CC6DC9" w:rsidRDefault="00CC6DC9"/>
    <w:p w14:paraId="50BAF5A8" w14:textId="72B9387A" w:rsidR="00CC6DC9" w:rsidRDefault="00CC6DC9"/>
    <w:p w14:paraId="2F6EFD15" w14:textId="61AFD68E" w:rsidR="00CC6DC9" w:rsidRDefault="00CC6DC9"/>
    <w:p w14:paraId="4FEFDA4E" w14:textId="1CFAC057" w:rsidR="00CC6DC9" w:rsidRDefault="00CC6DC9"/>
    <w:p w14:paraId="3F96CDB5" w14:textId="3C72E4C4" w:rsidR="00CC6DC9" w:rsidRDefault="00CC6DC9"/>
    <w:p w14:paraId="175E7DC3" w14:textId="54F1425D" w:rsidR="00CC6DC9" w:rsidRDefault="00CC6DC9"/>
    <w:p w14:paraId="1F0B4FA0" w14:textId="5007D9F7" w:rsidR="00CC6DC9" w:rsidRDefault="00CC6DC9"/>
    <w:sectPr w:rsidR="00CC6DC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2865C" w14:textId="77777777" w:rsidR="008829CC" w:rsidRDefault="008829CC" w:rsidP="004448EC">
      <w:pPr>
        <w:spacing w:after="0" w:line="240" w:lineRule="auto"/>
      </w:pPr>
      <w:r>
        <w:separator/>
      </w:r>
    </w:p>
  </w:endnote>
  <w:endnote w:type="continuationSeparator" w:id="0">
    <w:p w14:paraId="6EDBF103" w14:textId="77777777" w:rsidR="008829CC" w:rsidRDefault="008829CC" w:rsidP="00444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92159" w14:textId="77777777" w:rsidR="008829CC" w:rsidRDefault="008829CC" w:rsidP="004448EC">
      <w:pPr>
        <w:spacing w:after="0" w:line="240" w:lineRule="auto"/>
      </w:pPr>
      <w:r>
        <w:separator/>
      </w:r>
    </w:p>
  </w:footnote>
  <w:footnote w:type="continuationSeparator" w:id="0">
    <w:p w14:paraId="101A2730" w14:textId="77777777" w:rsidR="008829CC" w:rsidRDefault="008829CC" w:rsidP="004448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828062">
    <w:abstractNumId w:val="8"/>
  </w:num>
  <w:num w:numId="2" w16cid:durableId="464157868">
    <w:abstractNumId w:val="6"/>
  </w:num>
  <w:num w:numId="3" w16cid:durableId="1027369848">
    <w:abstractNumId w:val="5"/>
  </w:num>
  <w:num w:numId="4" w16cid:durableId="134109801">
    <w:abstractNumId w:val="4"/>
  </w:num>
  <w:num w:numId="5" w16cid:durableId="1014067478">
    <w:abstractNumId w:val="7"/>
  </w:num>
  <w:num w:numId="6" w16cid:durableId="128129910">
    <w:abstractNumId w:val="3"/>
  </w:num>
  <w:num w:numId="7" w16cid:durableId="1756173425">
    <w:abstractNumId w:val="2"/>
  </w:num>
  <w:num w:numId="8" w16cid:durableId="1268661631">
    <w:abstractNumId w:val="1"/>
  </w:num>
  <w:num w:numId="9" w16cid:durableId="115503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976"/>
    <w:rsid w:val="0029639D"/>
    <w:rsid w:val="002C516A"/>
    <w:rsid w:val="00326F90"/>
    <w:rsid w:val="004448EC"/>
    <w:rsid w:val="008829CC"/>
    <w:rsid w:val="00AA1D8D"/>
    <w:rsid w:val="00B47730"/>
    <w:rsid w:val="00CB0664"/>
    <w:rsid w:val="00CC6135"/>
    <w:rsid w:val="00CC6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C89CC8"/>
  <w14:defaultImageDpi w14:val="300"/>
  <w15:docId w15:val="{238E8546-6E3C-4E7B-823A-7F4693323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CC6135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48E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48EC"/>
    <w:rPr>
      <w:rFonts w:ascii="Calibri" w:hAnsi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448E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1602</Words>
  <Characters>9135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Hughes Neal Allison</cp:lastModifiedBy>
  <cp:revision>3</cp:revision>
  <dcterms:created xsi:type="dcterms:W3CDTF">2013-12-23T23:15:00Z</dcterms:created>
  <dcterms:modified xsi:type="dcterms:W3CDTF">2026-07-09T16:55:00Z</dcterms:modified>
  <cp:category/>
</cp:coreProperties>
</file>