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100" w:before="0" w:line="264"/>
        <w:jc w:val="left"/>
      </w:pPr>
      <w:r>
        <w:rPr>
          <w:rFonts w:ascii="Calibri" w:cs="Calibri" w:eastAsia="Calibri" w:hAnsi="Calibri"/>
          <w:b/>
          <w:bCs/>
          <w:i w:val="false"/>
          <w:iCs w:val="false"/>
          <w:color w:val="2E74B5"/>
          <w:sz w:val="20"/>
          <w:szCs w:val="20"/>
        </w:rPr>
        <w:t xml:space="preserve">BUSINESS ANALYSIS FOUNDATION</w:t>
      </w:r>
    </w:p>
    <w:p>
      <w:pPr>
        <w:keepNext/>
        <w:spacing w:after="140" w:line="420"/>
      </w:pPr>
      <w:r>
        <w:rPr>
          <w:rFonts w:ascii="Calibri" w:cs="Calibri" w:eastAsia="Calibri" w:hAnsi="Calibri"/>
          <w:b/>
          <w:bCs/>
          <w:i w:val="false"/>
          <w:iCs w:val="false"/>
          <w:color w:val="1F4D78"/>
          <w:sz w:val="38"/>
          <w:szCs w:val="38"/>
        </w:rPr>
        <w:t xml:space="preserve">South Australian Housing Pressure &amp; Supply Dashboard</w:t>
      </w:r>
    </w:p>
    <w:p>
      <w:pPr>
        <w:keepNext w:val="false"/>
        <w:spacing w:after="360" w:before="0" w:line="264"/>
        <w:jc w:val="left"/>
      </w:pPr>
      <w:r>
        <w:rPr>
          <w:rFonts w:ascii="Calibri" w:cs="Calibri" w:eastAsia="Calibri" w:hAnsi="Calibri"/>
          <w:b w:val="false"/>
          <w:bCs w:val="false"/>
          <w:i w:val="false"/>
          <w:iCs w:val="false"/>
          <w:color w:val="5B6573"/>
          <w:sz w:val="20"/>
          <w:szCs w:val="20"/>
        </w:rPr>
        <w:t xml:space="preserve">Portfolio project brief | Version 1.0 | 28 June 2026</w:t>
      </w:r>
    </w:p>
    <w:tbl>
      <w:tblPr>
        <w:tblW w:type="dxa" w:w="9360"/>
        <w:tblInd w:type="dxa" w:w="120"/>
        <w:tblBorders>
          <w:top w:val="single" w:color="C7CDD4" w:sz="4"/>
          <w:left w:val="single" w:color="C7CDD4" w:sz="4"/>
          <w:bottom w:val="single" w:color="C7CDD4" w:sz="4"/>
          <w:right w:val="single" w:color="C7CDD4" w:sz="4"/>
          <w:insideH w:val="single" w:color="auto" w:sz="4"/>
          <w:insideV w:val="single" w:color="auto" w:sz="4"/>
        </w:tblBorders>
        <w:tblLayout w:type="fixed"/>
      </w:tblPr>
      <w:tblGrid>
        <w:gridCol w:w="100"/>
      </w:tblGrid>
      <w:tr>
        <w:tc>
          <w:tcPr>
            <w:tcW w:type="dxa" w:w="9360"/>
            <w:shd w:fill="FFF8E8" w:val="clear"/>
            <w:tcMar>
              <w:top w:type="dxa" w:w="120"/>
              <w:left w:type="dxa" w:w="160"/>
              <w:bottom w:type="dxa" w:w="120"/>
              <w:right w:type="dxa" w:w="160"/>
            </w:tcMar>
          </w:tcPr>
          <w:p>
            <w:pPr>
              <w:spacing w:after="0" w:line="264"/>
            </w:pPr>
            <w:r>
              <w:rPr>
                <w:rFonts w:ascii="Calibri" w:cs="Calibri" w:eastAsia="Calibri" w:hAnsi="Calibri"/>
                <w:b/>
                <w:bCs/>
                <w:i w:val="false"/>
                <w:iCs w:val="false"/>
                <w:color w:val="7A5A00"/>
                <w:sz w:val="22"/>
                <w:szCs w:val="22"/>
              </w:rPr>
              <w:t xml:space="preserve">Purpose: </w:t>
            </w:r>
            <w:r>
              <w:rPr>
                <w:rFonts w:ascii="Calibri" w:cs="Calibri" w:eastAsia="Calibri" w:hAnsi="Calibri"/>
                <w:b w:val="false"/>
                <w:bCs w:val="false"/>
                <w:i w:val="false"/>
                <w:iCs w:val="false"/>
                <w:color w:val="1F2937"/>
                <w:sz w:val="22"/>
                <w:szCs w:val="22"/>
              </w:rPr>
              <w:t xml:space="preserve">Define the decision problem, users, scope, requirements, analytical safeguards and acceptance criteria for a transparent South Australian housing decision-support dashboard.</w:t>
            </w:r>
          </w:p>
        </w:tc>
        <w:trPr>
          <w:tblHeader/>
        </w:trPr>
      </w:tr>
    </w:tbl>
    <w:p>
      <w:pPr>
        <w:pStyle w:val="Heading1"/>
        <w:keepNext/>
      </w:pPr>
      <w:r>
        <w:t xml:space="preserve">Executive summary</w:t>
      </w:r>
    </w:p>
    <w:p>
      <w:pPr>
        <w:keepNext w:val="false"/>
        <w:spacing w:after="120" w:before="0" w:line="264"/>
        <w:jc w:val="left"/>
      </w:pPr>
      <w:r>
        <w:rPr>
          <w:rFonts w:ascii="Calibri" w:cs="Calibri" w:eastAsia="Calibri" w:hAnsi="Calibri"/>
          <w:b w:val="false"/>
          <w:bCs w:val="false"/>
          <w:i w:val="false"/>
          <w:iCs w:val="false"/>
          <w:color w:val="1F2937"/>
          <w:sz w:val="22"/>
          <w:szCs w:val="22"/>
        </w:rPr>
        <w:t xml:space="preserve">The project converts authoritative South Australian rental-bond data and Australian Bureau of Statistics housing, population and income data into a reproducible local-area comparison. Its core output is a relative Housing Pressure Index combining rental affordability pressure, population demand and the approved dwelling-supply pipeline.</w:t>
      </w:r>
    </w:p>
    <w:p>
      <w:pPr>
        <w:keepNext w:val="false"/>
        <w:spacing w:after="120" w:before="0" w:line="264"/>
        <w:jc w:val="left"/>
      </w:pPr>
      <w:r>
        <w:rPr>
          <w:rFonts w:ascii="Calibri" w:cs="Calibri" w:eastAsia="Calibri" w:hAnsi="Calibri"/>
          <w:b w:val="false"/>
          <w:bCs w:val="false"/>
          <w:i w:val="false"/>
          <w:iCs w:val="false"/>
          <w:color w:val="1F2937"/>
          <w:sz w:val="22"/>
          <w:szCs w:val="22"/>
        </w:rPr>
        <w:t xml:space="preserve">The dashboard supports screening and prioritisation, not prediction. It does not estimate individual household rental stress, prove a dwelling shortage, measure construction delivery or assess infrastructure capacity. Those distinctions are explicit requirements, not footnotes.</w:t>
      </w:r>
    </w:p>
    <w:p>
      <w:pPr>
        <w:pStyle w:val="Heading2"/>
        <w:keepNext/>
      </w:pPr>
      <w:r>
        <w:t xml:space="preserve">Current product position</w:t>
      </w:r>
    </w:p>
    <w:tbl>
      <w:tblPr>
        <w:tblW w:type="dxa" w:w="9360"/>
        <w:tblInd w:type="dxa" w:w="120"/>
        <w:tblBorders>
          <w:top w:val="single" w:color="C7CDD4" w:sz="4"/>
          <w:left w:val="single" w:color="C7CDD4" w:sz="4"/>
          <w:bottom w:val="single" w:color="C7CDD4" w:sz="4"/>
          <w:right w:val="single" w:color="C7CDD4" w:sz="4"/>
          <w:insideH w:val="single" w:color="C7CDD4" w:sz="4"/>
          <w:insideV w:val="single" w:color="C7CDD4" w:sz="4"/>
        </w:tblBorders>
        <w:tblLayout w:type="fixed"/>
      </w:tblPr>
      <w:tblGrid>
        <w:gridCol w:w="100"/>
        <w:gridCol w:w="100"/>
      </w:tblGrid>
      <w:tr>
        <w:trPr>
          <w:tblHeader/>
        </w:trPr>
        <w:tc>
          <w:tcPr>
            <w:tcW w:type="dxa" w:w="2100"/>
            <w:shd w:fill="F2F4F7" w:val="clear"/>
            <w:tcMar>
              <w:top w:type="dxa" w:w="80"/>
              <w:left w:type="dxa" w:w="120"/>
              <w:bottom w:type="dxa" w:w="80"/>
              <w:right w:type="dxa" w:w="120"/>
            </w:tcMar>
            <w:vAlign w:val="center"/>
          </w:tcPr>
          <w:p>
            <w:pPr>
              <w:spacing w:after="0" w:line="240"/>
            </w:pPr>
            <w:r>
              <w:rPr>
                <w:rFonts w:ascii="Calibri" w:cs="Calibri" w:eastAsia="Calibri" w:hAnsi="Calibri"/>
                <w:b/>
                <w:bCs/>
                <w:i w:val="false"/>
                <w:iCs w:val="false"/>
                <w:color w:val="1F4D78"/>
                <w:sz w:val="20"/>
                <w:szCs w:val="20"/>
              </w:rPr>
              <w:t xml:space="preserve">Dimension</w:t>
            </w:r>
          </w:p>
        </w:tc>
        <w:tc>
          <w:tcPr>
            <w:tcW w:type="dxa" w:w="7260"/>
            <w:shd w:fill="F2F4F7" w:val="clear"/>
            <w:tcMar>
              <w:top w:type="dxa" w:w="80"/>
              <w:left w:type="dxa" w:w="120"/>
              <w:bottom w:type="dxa" w:w="80"/>
              <w:right w:type="dxa" w:w="120"/>
            </w:tcMar>
            <w:vAlign w:val="center"/>
          </w:tcPr>
          <w:p>
            <w:pPr>
              <w:spacing w:after="0" w:line="240"/>
            </w:pPr>
            <w:r>
              <w:rPr>
                <w:rFonts w:ascii="Calibri" w:cs="Calibri" w:eastAsia="Calibri" w:hAnsi="Calibri"/>
                <w:b/>
                <w:bCs/>
                <w:i w:val="false"/>
                <w:iCs w:val="false"/>
                <w:color w:val="1F4D78"/>
                <w:sz w:val="20"/>
                <w:szCs w:val="20"/>
              </w:rPr>
              <w:t xml:space="preserve">Current position</w:t>
            </w:r>
          </w:p>
        </w:tc>
      </w:tr>
      <w:tr>
        <w:trPr>
          <w:cantSplit/>
        </w:trPr>
        <w:tc>
          <w:tcPr>
            <w:tcW w:type="dxa" w:w="21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Geography</w:t>
            </w:r>
          </w:p>
        </w:tc>
        <w:tc>
          <w:tcPr>
            <w:tcW w:type="dxa" w:w="726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71 ABS-coded local areas: 68 incorporated LGAs and three Unincorporated SA statistical areas.</w:t>
            </w:r>
          </w:p>
        </w:tc>
      </w:tr>
      <w:tr>
        <w:trPr>
          <w:cantSplit/>
        </w:trPr>
        <w:tc>
          <w:tcPr>
            <w:tcW w:type="dxa" w:w="21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Coverage</w:t>
            </w:r>
          </w:p>
        </w:tc>
        <w:tc>
          <w:tcPr>
            <w:tcW w:type="dxa" w:w="726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53 areas currently meet the rental-sample rule and have complete scoring inputs.</w:t>
            </w:r>
          </w:p>
        </w:tc>
      </w:tr>
      <w:tr>
        <w:trPr>
          <w:cantSplit/>
        </w:trPr>
        <w:tc>
          <w:tcPr>
            <w:tcW w:type="dxa" w:w="21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Reference periods</w:t>
            </w:r>
          </w:p>
        </w:tc>
        <w:tc>
          <w:tcPr>
            <w:tcW w:type="dxa" w:w="726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Rent: Oct–Dec 2025; population: 2024–25; income: 2021 Census; approvals: 2024–25 and 2025–26 FYTD to Apr 2026.</w:t>
            </w:r>
          </w:p>
        </w:tc>
      </w:tr>
      <w:tr>
        <w:trPr>
          <w:cantSplit/>
        </w:trPr>
        <w:tc>
          <w:tcPr>
            <w:tcW w:type="dxa" w:w="21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Delivery</w:t>
            </w:r>
          </w:p>
        </w:tc>
        <w:tc>
          <w:tcPr>
            <w:tcW w:type="dxa" w:w="726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Python pipeline, automated tests, CI, Streamlit dashboard, downloads and supporting documentation.</w:t>
            </w:r>
          </w:p>
        </w:tc>
      </w:tr>
    </w:tbl>
    <w:p>
      <w:r>
        <w:br w:type="page"/>
      </w:r>
    </w:p>
    <w:p>
      <w:pPr>
        <w:pStyle w:val="Heading1"/>
        <w:keepNext/>
      </w:pPr>
      <w:r>
        <w:t xml:space="preserve">1. Business context and problem</w:t>
      </w:r>
    </w:p>
    <w:p>
      <w:pPr>
        <w:pStyle w:val="Heading2"/>
        <w:keepNext/>
      </w:pPr>
      <w:r>
        <w:t xml:space="preserve">Problem statement</w:t>
      </w:r>
    </w:p>
    <w:p>
      <w:pPr>
        <w:keepNext w:val="false"/>
        <w:spacing w:after="120" w:before="0" w:line="264"/>
        <w:jc w:val="left"/>
      </w:pPr>
      <w:r>
        <w:rPr>
          <w:rFonts w:ascii="Calibri" w:cs="Calibri" w:eastAsia="Calibri" w:hAnsi="Calibri"/>
          <w:b w:val="false"/>
          <w:bCs w:val="false"/>
          <w:i w:val="false"/>
          <w:iCs w:val="false"/>
          <w:color w:val="1F2937"/>
          <w:sz w:val="22"/>
          <w:szCs w:val="22"/>
        </w:rPr>
        <w:t xml:space="preserve">Housing discussion often combines cost, demand, approvals and infrastructure into a single narrative even when the underlying measures differ in geography, period and meaning. Decision-makers need a traceable way to compare areas without presenting high rent alone as housing stress or building approvals as completed supply.</w:t>
      </w:r>
    </w:p>
    <w:p>
      <w:pPr>
        <w:pStyle w:val="Heading2"/>
        <w:keepNext/>
      </w:pPr>
      <w:r>
        <w:t xml:space="preserve">Decision to support</w:t>
      </w:r>
    </w:p>
    <w:p>
      <w:pPr>
        <w:keepNext w:val="false"/>
        <w:spacing w:after="120" w:before="0" w:line="264"/>
        <w:jc w:val="left"/>
      </w:pPr>
      <w:r>
        <w:rPr>
          <w:rFonts w:ascii="Calibri" w:cs="Calibri" w:eastAsia="Calibri" w:hAnsi="Calibri"/>
          <w:b w:val="false"/>
          <w:bCs w:val="false"/>
          <w:i w:val="false"/>
          <w:iCs w:val="false"/>
          <w:color w:val="1F2937"/>
          <w:sz w:val="22"/>
          <w:szCs w:val="22"/>
        </w:rPr>
        <w:t xml:space="preserve">Which South Australian local areas warrant closer investigation because rental costs are high relative to historical household income, population is growing, and approved dwelling supply is low relative to population?</w:t>
      </w:r>
    </w:p>
    <w:p>
      <w:pPr>
        <w:pStyle w:val="Heading2"/>
        <w:keepNext/>
      </w:pPr>
      <w:r>
        <w:t xml:space="preserve">Business objectives</w:t>
      </w:r>
    </w:p>
    <w:p>
      <w:pPr>
        <w:pStyle w:val="ListParagraph"/>
        <w:numPr>
          <w:ilvl w:val="0"/>
          <w:numId w:val="2"/>
        </w:numPr>
        <w:spacing w:after="160" w:line="280"/>
      </w:pPr>
      <w:r>
        <w:rPr>
          <w:rFonts w:ascii="Calibri" w:cs="Calibri" w:eastAsia="Calibri" w:hAnsi="Calibri"/>
          <w:b w:val="false"/>
          <w:bCs w:val="false"/>
          <w:i w:val="false"/>
          <w:iCs w:val="false"/>
          <w:color w:val="1F2937"/>
          <w:sz w:val="22"/>
          <w:szCs w:val="22"/>
        </w:rPr>
        <w:t xml:space="preserve">Provide a consistent LGA-level screening view from authoritative public data.</w:t>
      </w:r>
    </w:p>
    <w:p>
      <w:pPr>
        <w:pStyle w:val="ListParagraph"/>
        <w:numPr>
          <w:ilvl w:val="0"/>
          <w:numId w:val="2"/>
        </w:numPr>
        <w:spacing w:after="160" w:line="280"/>
      </w:pPr>
      <w:r>
        <w:rPr>
          <w:rFonts w:ascii="Calibri" w:cs="Calibri" w:eastAsia="Calibri" w:hAnsi="Calibri"/>
          <w:b w:val="false"/>
          <w:bCs w:val="false"/>
          <w:i w:val="false"/>
          <w:iCs w:val="false"/>
          <w:color w:val="1F2937"/>
          <w:sz w:val="22"/>
          <w:szCs w:val="22"/>
        </w:rPr>
        <w:t xml:space="preserve">Make every score component, weight, period and exclusion rule visible.</w:t>
      </w:r>
    </w:p>
    <w:p>
      <w:pPr>
        <w:pStyle w:val="ListParagraph"/>
        <w:numPr>
          <w:ilvl w:val="0"/>
          <w:numId w:val="2"/>
        </w:numPr>
        <w:spacing w:after="160" w:line="280"/>
      </w:pPr>
      <w:r>
        <w:rPr>
          <w:rFonts w:ascii="Calibri" w:cs="Calibri" w:eastAsia="Calibri" w:hAnsi="Calibri"/>
          <w:b w:val="false"/>
          <w:bCs w:val="false"/>
          <w:i w:val="false"/>
          <w:iCs w:val="false"/>
          <w:color w:val="1F2937"/>
          <w:sz w:val="22"/>
          <w:szCs w:val="22"/>
        </w:rPr>
        <w:t xml:space="preserve">Separate complete-year approvals from partial-year context and like-for-like YTD comparisons.</w:t>
      </w:r>
    </w:p>
    <w:p>
      <w:pPr>
        <w:pStyle w:val="ListParagraph"/>
        <w:numPr>
          <w:ilvl w:val="0"/>
          <w:numId w:val="2"/>
        </w:numPr>
        <w:spacing w:after="160" w:line="280"/>
      </w:pPr>
      <w:r>
        <w:rPr>
          <w:rFonts w:ascii="Calibri" w:cs="Calibri" w:eastAsia="Calibri" w:hAnsi="Calibri"/>
          <w:b w:val="false"/>
          <w:bCs w:val="false"/>
          <w:i w:val="false"/>
          <w:iCs w:val="false"/>
          <w:color w:val="1F2937"/>
          <w:sz w:val="22"/>
          <w:szCs w:val="22"/>
        </w:rPr>
        <w:t xml:space="preserve">Expose sample limitations and unscored areas rather than silently filling gaps.</w:t>
      </w:r>
    </w:p>
    <w:p>
      <w:pPr>
        <w:pStyle w:val="ListParagraph"/>
        <w:numPr>
          <w:ilvl w:val="0"/>
          <w:numId w:val="2"/>
        </w:numPr>
        <w:spacing w:after="160" w:line="280"/>
      </w:pPr>
      <w:r>
        <w:rPr>
          <w:rFonts w:ascii="Calibri" w:cs="Calibri" w:eastAsia="Calibri" w:hAnsi="Calibri"/>
          <w:b w:val="false"/>
          <w:bCs w:val="false"/>
          <w:i w:val="false"/>
          <w:iCs w:val="false"/>
          <w:color w:val="1F2937"/>
          <w:sz w:val="22"/>
          <w:szCs w:val="22"/>
        </w:rPr>
        <w:t xml:space="preserve">Offer a reproducible portfolio example of BA requirements, data validation and decision-support design.</w:t>
      </w:r>
    </w:p>
    <w:p>
      <w:pPr>
        <w:pStyle w:val="Heading2"/>
        <w:keepNext/>
      </w:pPr>
      <w:r>
        <w:t xml:space="preserve">Success measures</w:t>
      </w:r>
    </w:p>
    <w:tbl>
      <w:tblPr>
        <w:tblW w:type="dxa" w:w="9360"/>
        <w:tblInd w:type="dxa" w:w="120"/>
        <w:tblBorders>
          <w:top w:val="single" w:color="C7CDD4" w:sz="4"/>
          <w:left w:val="single" w:color="C7CDD4" w:sz="4"/>
          <w:bottom w:val="single" w:color="C7CDD4" w:sz="4"/>
          <w:right w:val="single" w:color="C7CDD4" w:sz="4"/>
          <w:insideH w:val="single" w:color="C7CDD4" w:sz="4"/>
          <w:insideV w:val="single" w:color="C7CDD4" w:sz="4"/>
        </w:tblBorders>
        <w:tblLayout w:type="fixed"/>
      </w:tblPr>
      <w:tblGrid>
        <w:gridCol w:w="100"/>
        <w:gridCol w:w="100"/>
      </w:tblGrid>
      <w:tr>
        <w:trPr>
          <w:tblHeader/>
        </w:trPr>
        <w:tc>
          <w:tcPr>
            <w:tcW w:type="dxa" w:w="2500"/>
            <w:shd w:fill="F2F4F7" w:val="clear"/>
            <w:tcMar>
              <w:top w:type="dxa" w:w="80"/>
              <w:left w:type="dxa" w:w="120"/>
              <w:bottom w:type="dxa" w:w="80"/>
              <w:right w:type="dxa" w:w="120"/>
            </w:tcMar>
            <w:vAlign w:val="center"/>
          </w:tcPr>
          <w:p>
            <w:pPr>
              <w:spacing w:after="0" w:line="240"/>
            </w:pPr>
            <w:r>
              <w:rPr>
                <w:rFonts w:ascii="Calibri" w:cs="Calibri" w:eastAsia="Calibri" w:hAnsi="Calibri"/>
                <w:b/>
                <w:bCs/>
                <w:i w:val="false"/>
                <w:iCs w:val="false"/>
                <w:color w:val="1F4D78"/>
                <w:sz w:val="20"/>
                <w:szCs w:val="20"/>
              </w:rPr>
              <w:t xml:space="preserve">Measure</w:t>
            </w:r>
          </w:p>
        </w:tc>
        <w:tc>
          <w:tcPr>
            <w:tcW w:type="dxa" w:w="6860"/>
            <w:shd w:fill="F2F4F7" w:val="clear"/>
            <w:tcMar>
              <w:top w:type="dxa" w:w="80"/>
              <w:left w:type="dxa" w:w="120"/>
              <w:bottom w:type="dxa" w:w="80"/>
              <w:right w:type="dxa" w:w="120"/>
            </w:tcMar>
            <w:vAlign w:val="center"/>
          </w:tcPr>
          <w:p>
            <w:pPr>
              <w:spacing w:after="0" w:line="240"/>
            </w:pPr>
            <w:r>
              <w:rPr>
                <w:rFonts w:ascii="Calibri" w:cs="Calibri" w:eastAsia="Calibri" w:hAnsi="Calibri"/>
                <w:b/>
                <w:bCs/>
                <w:i w:val="false"/>
                <w:iCs w:val="false"/>
                <w:color w:val="1F4D78"/>
                <w:sz w:val="20"/>
                <w:szCs w:val="20"/>
              </w:rPr>
              <w:t xml:space="preserve">Target</w:t>
            </w:r>
          </w:p>
        </w:tc>
      </w:tr>
      <w:tr>
        <w:trPr>
          <w:cantSplit/>
        </w:trPr>
        <w:tc>
          <w:tcPr>
            <w:tcW w:type="dxa" w:w="25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Traceability</w:t>
            </w:r>
          </w:p>
        </w:tc>
        <w:tc>
          <w:tcPr>
            <w:tcW w:type="dxa" w:w="686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Every output field maps to a documented source and transformation.</w:t>
            </w:r>
          </w:p>
        </w:tc>
      </w:tr>
      <w:tr>
        <w:trPr>
          <w:cantSplit/>
        </w:trPr>
        <w:tc>
          <w:tcPr>
            <w:tcW w:type="dxa" w:w="25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Reproducibility</w:t>
            </w:r>
          </w:p>
        </w:tc>
        <w:tc>
          <w:tcPr>
            <w:tcW w:type="dxa" w:w="686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A clean local run rebuilds processed files and passes automated tests without network access.</w:t>
            </w:r>
          </w:p>
        </w:tc>
      </w:tr>
      <w:tr>
        <w:trPr>
          <w:cantSplit/>
        </w:trPr>
        <w:tc>
          <w:tcPr>
            <w:tcW w:type="dxa" w:w="25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Honest interpretation</w:t>
            </w:r>
          </w:p>
        </w:tc>
        <w:tc>
          <w:tcPr>
            <w:tcW w:type="dxa" w:w="686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The interface visibly distinguishes proxies, approvals and partial periods.</w:t>
            </w:r>
          </w:p>
        </w:tc>
      </w:tr>
      <w:tr>
        <w:trPr>
          <w:cantSplit/>
        </w:trPr>
        <w:tc>
          <w:tcPr>
            <w:tcW w:type="dxa" w:w="25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Usability</w:t>
            </w:r>
          </w:p>
        </w:tc>
        <w:tc>
          <w:tcPr>
            <w:tcW w:type="dxa" w:w="686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Users can filter, compare and download local-area results with clear empty states.</w:t>
            </w:r>
          </w:p>
        </w:tc>
      </w:tr>
      <w:tr>
        <w:trPr>
          <w:cantSplit/>
        </w:trPr>
        <w:tc>
          <w:tcPr>
            <w:tcW w:type="dxa" w:w="25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Maintainability</w:t>
            </w:r>
          </w:p>
        </w:tc>
        <w:tc>
          <w:tcPr>
            <w:tcW w:type="dxa" w:w="686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New source releases can be incorporated through a documented refresh protocol.</w:t>
            </w:r>
          </w:p>
        </w:tc>
      </w:tr>
    </w:tbl>
    <w:p>
      <w:r>
        <w:br w:type="page"/>
      </w:r>
    </w:p>
    <w:p>
      <w:pPr>
        <w:pStyle w:val="Heading1"/>
        <w:keepNext/>
      </w:pPr>
      <w:r>
        <w:t xml:space="preserve">2. Stakeholders and user needs</w:t>
      </w:r>
    </w:p>
    <w:tbl>
      <w:tblPr>
        <w:tblW w:type="dxa" w:w="9360"/>
        <w:tblInd w:type="dxa" w:w="120"/>
        <w:tblBorders>
          <w:top w:val="single" w:color="C7CDD4" w:sz="4"/>
          <w:left w:val="single" w:color="C7CDD4" w:sz="4"/>
          <w:bottom w:val="single" w:color="C7CDD4" w:sz="4"/>
          <w:right w:val="single" w:color="C7CDD4" w:sz="4"/>
          <w:insideH w:val="single" w:color="C7CDD4" w:sz="4"/>
          <w:insideV w:val="single" w:color="C7CDD4" w:sz="4"/>
        </w:tblBorders>
        <w:tblLayout w:type="fixed"/>
      </w:tblPr>
      <w:tblGrid>
        <w:gridCol w:w="100"/>
        <w:gridCol w:w="100"/>
        <w:gridCol w:w="100"/>
      </w:tblGrid>
      <w:tr>
        <w:trPr>
          <w:tblHeader/>
        </w:trPr>
        <w:tc>
          <w:tcPr>
            <w:tcW w:type="dxa" w:w="1900"/>
            <w:shd w:fill="F2F4F7" w:val="clear"/>
            <w:tcMar>
              <w:top w:type="dxa" w:w="80"/>
              <w:left w:type="dxa" w:w="120"/>
              <w:bottom w:type="dxa" w:w="80"/>
              <w:right w:type="dxa" w:w="120"/>
            </w:tcMar>
            <w:vAlign w:val="center"/>
          </w:tcPr>
          <w:p>
            <w:pPr>
              <w:spacing w:after="0" w:line="240"/>
            </w:pPr>
            <w:r>
              <w:rPr>
                <w:rFonts w:ascii="Calibri" w:cs="Calibri" w:eastAsia="Calibri" w:hAnsi="Calibri"/>
                <w:b/>
                <w:bCs/>
                <w:i w:val="false"/>
                <w:iCs w:val="false"/>
                <w:color w:val="1F4D78"/>
                <w:sz w:val="20"/>
                <w:szCs w:val="20"/>
              </w:rPr>
              <w:t xml:space="preserve">Stakeholder</w:t>
            </w:r>
          </w:p>
        </w:tc>
        <w:tc>
          <w:tcPr>
            <w:tcW w:type="dxa" w:w="3100"/>
            <w:shd w:fill="F2F4F7" w:val="clear"/>
            <w:tcMar>
              <w:top w:type="dxa" w:w="80"/>
              <w:left w:type="dxa" w:w="120"/>
              <w:bottom w:type="dxa" w:w="80"/>
              <w:right w:type="dxa" w:w="120"/>
            </w:tcMar>
            <w:vAlign w:val="center"/>
          </w:tcPr>
          <w:p>
            <w:pPr>
              <w:spacing w:after="0" w:line="240"/>
            </w:pPr>
            <w:r>
              <w:rPr>
                <w:rFonts w:ascii="Calibri" w:cs="Calibri" w:eastAsia="Calibri" w:hAnsi="Calibri"/>
                <w:b/>
                <w:bCs/>
                <w:i w:val="false"/>
                <w:iCs w:val="false"/>
                <w:color w:val="1F4D78"/>
                <w:sz w:val="20"/>
                <w:szCs w:val="20"/>
              </w:rPr>
              <w:t xml:space="preserve">Primary need</w:t>
            </w:r>
          </w:p>
        </w:tc>
        <w:tc>
          <w:tcPr>
            <w:tcW w:type="dxa" w:w="4360"/>
            <w:shd w:fill="F2F4F7" w:val="clear"/>
            <w:tcMar>
              <w:top w:type="dxa" w:w="80"/>
              <w:left w:type="dxa" w:w="120"/>
              <w:bottom w:type="dxa" w:w="80"/>
              <w:right w:type="dxa" w:w="120"/>
            </w:tcMar>
            <w:vAlign w:val="center"/>
          </w:tcPr>
          <w:p>
            <w:pPr>
              <w:spacing w:after="0" w:line="240"/>
            </w:pPr>
            <w:r>
              <w:rPr>
                <w:rFonts w:ascii="Calibri" w:cs="Calibri" w:eastAsia="Calibri" w:hAnsi="Calibri"/>
                <w:b/>
                <w:bCs/>
                <w:i w:val="false"/>
                <w:iCs w:val="false"/>
                <w:color w:val="1F4D78"/>
                <w:sz w:val="20"/>
                <w:szCs w:val="20"/>
              </w:rPr>
              <w:t xml:space="preserve">Project response</w:t>
            </w:r>
          </w:p>
        </w:tc>
      </w:tr>
      <w:tr>
        <w:trPr>
          <w:cantSplit/>
        </w:trPr>
        <w:tc>
          <w:tcPr>
            <w:tcW w:type="dxa" w:w="19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Policy or planning analyst</w:t>
            </w:r>
          </w:p>
        </w:tc>
        <w:tc>
          <w:tcPr>
            <w:tcW w:type="dxa" w:w="31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Screen areas for deeper housing investigation.</w:t>
            </w:r>
          </w:p>
        </w:tc>
        <w:tc>
          <w:tcPr>
            <w:tcW w:type="dxa" w:w="436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Relative index, component scores, source context and downloadable data.</w:t>
            </w:r>
          </w:p>
        </w:tc>
      </w:tr>
      <w:tr>
        <w:trPr>
          <w:cantSplit/>
        </w:trPr>
        <w:tc>
          <w:tcPr>
            <w:tcW w:type="dxa" w:w="19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Local government analyst</w:t>
            </w:r>
          </w:p>
        </w:tc>
        <w:tc>
          <w:tcPr>
            <w:tcW w:type="dxa" w:w="31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Understand local rent, population and approvals signals.</w:t>
            </w:r>
          </w:p>
        </w:tc>
        <w:tc>
          <w:tcPr>
            <w:tcW w:type="dxa" w:w="436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Area filters, comparison charts and explicit geographic caveats.</w:t>
            </w:r>
          </w:p>
        </w:tc>
      </w:tr>
      <w:tr>
        <w:trPr>
          <w:cantSplit/>
        </w:trPr>
        <w:tc>
          <w:tcPr>
            <w:tcW w:type="dxa" w:w="19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Housing-sector stakeholder</w:t>
            </w:r>
          </w:p>
        </w:tc>
        <w:tc>
          <w:tcPr>
            <w:tcW w:type="dxa" w:w="31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Identify pressure signals without overstating causality.</w:t>
            </w:r>
          </w:p>
        </w:tc>
        <w:tc>
          <w:tcPr>
            <w:tcW w:type="dxa" w:w="436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Transparent methodology and prominent limitations.</w:t>
            </w:r>
          </w:p>
        </w:tc>
      </w:tr>
      <w:tr>
        <w:trPr>
          <w:cantSplit/>
        </w:trPr>
        <w:tc>
          <w:tcPr>
            <w:tcW w:type="dxa" w:w="19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Portfolio reviewer or recruiter</w:t>
            </w:r>
          </w:p>
        </w:tc>
        <w:tc>
          <w:tcPr>
            <w:tcW w:type="dxa" w:w="31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Assess BA, analytics and delivery capability.</w:t>
            </w:r>
          </w:p>
        </w:tc>
        <w:tc>
          <w:tcPr>
            <w:tcW w:type="dxa" w:w="436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Requirements, reproducible code, tests, CI and documentation.</w:t>
            </w:r>
          </w:p>
        </w:tc>
      </w:tr>
      <w:tr>
        <w:trPr>
          <w:cantSplit/>
        </w:trPr>
        <w:tc>
          <w:tcPr>
            <w:tcW w:type="dxa" w:w="19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Data maintainer</w:t>
            </w:r>
          </w:p>
        </w:tc>
        <w:tc>
          <w:tcPr>
            <w:tcW w:type="dxa" w:w="31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Refresh sources safely and diagnose schema drift.</w:t>
            </w:r>
          </w:p>
        </w:tc>
        <w:tc>
          <w:tcPr>
            <w:tcW w:type="dxa" w:w="436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Source register, validation errors, atomic writes and release checklist.</w:t>
            </w:r>
          </w:p>
        </w:tc>
      </w:tr>
    </w:tbl>
    <w:p>
      <w:pPr>
        <w:pStyle w:val="Heading2"/>
        <w:keepNext/>
      </w:pPr>
      <w:r>
        <w:t xml:space="preserve">User stories</w:t>
      </w:r>
    </w:p>
    <w:p>
      <w:pPr>
        <w:pStyle w:val="ListParagraph"/>
        <w:numPr>
          <w:ilvl w:val="0"/>
          <w:numId w:val="2"/>
        </w:numPr>
        <w:spacing w:after="160" w:line="280"/>
      </w:pPr>
      <w:r>
        <w:rPr>
          <w:rFonts w:ascii="Calibri" w:cs="Calibri" w:eastAsia="Calibri" w:hAnsi="Calibri"/>
          <w:b w:val="false"/>
          <w:bCs w:val="false"/>
          <w:i w:val="false"/>
          <w:iCs w:val="false"/>
          <w:color w:val="1F2937"/>
          <w:sz w:val="22"/>
          <w:szCs w:val="22"/>
        </w:rPr>
        <w:t xml:space="preserve">As an analyst, I want to compare scored areas so I can identify where further evidence gathering may be valuable.</w:t>
      </w:r>
    </w:p>
    <w:p>
      <w:pPr>
        <w:pStyle w:val="ListParagraph"/>
        <w:numPr>
          <w:ilvl w:val="0"/>
          <w:numId w:val="2"/>
        </w:numPr>
        <w:spacing w:after="160" w:line="280"/>
      </w:pPr>
      <w:r>
        <w:rPr>
          <w:rFonts w:ascii="Calibri" w:cs="Calibri" w:eastAsia="Calibri" w:hAnsi="Calibri"/>
          <w:b w:val="false"/>
          <w:bCs w:val="false"/>
          <w:i w:val="false"/>
          <w:iCs w:val="false"/>
          <w:color w:val="1F2937"/>
          <w:sz w:val="22"/>
          <w:szCs w:val="22"/>
        </w:rPr>
        <w:t xml:space="preserve">As a local-government user, I want to see component measures and sample quality so I can challenge the composite score.</w:t>
      </w:r>
    </w:p>
    <w:p>
      <w:pPr>
        <w:pStyle w:val="ListParagraph"/>
        <w:numPr>
          <w:ilvl w:val="0"/>
          <w:numId w:val="2"/>
        </w:numPr>
        <w:spacing w:after="160" w:line="280"/>
      </w:pPr>
      <w:r>
        <w:rPr>
          <w:rFonts w:ascii="Calibri" w:cs="Calibri" w:eastAsia="Calibri" w:hAnsi="Calibri"/>
          <w:b w:val="false"/>
          <w:bCs w:val="false"/>
          <w:i w:val="false"/>
          <w:iCs w:val="false"/>
          <w:color w:val="1F2937"/>
          <w:sz w:val="22"/>
          <w:szCs w:val="22"/>
        </w:rPr>
        <w:t xml:space="preserve">As a reviewer, I want methodology and limitations beside the outputs so I can judge whether claims are proportionate to the evidence.</w:t>
      </w:r>
    </w:p>
    <w:p>
      <w:pPr>
        <w:pStyle w:val="ListParagraph"/>
        <w:numPr>
          <w:ilvl w:val="0"/>
          <w:numId w:val="2"/>
        </w:numPr>
        <w:spacing w:after="160" w:line="280"/>
      </w:pPr>
      <w:r>
        <w:rPr>
          <w:rFonts w:ascii="Calibri" w:cs="Calibri" w:eastAsia="Calibri" w:hAnsi="Calibri"/>
          <w:b w:val="false"/>
          <w:bCs w:val="false"/>
          <w:i w:val="false"/>
          <w:iCs w:val="false"/>
          <w:color w:val="1F2937"/>
          <w:sz w:val="22"/>
          <w:szCs w:val="22"/>
        </w:rPr>
        <w:t xml:space="preserve">As a maintainer, I want source-contract failures to be explicit so a changed government workbook cannot silently corrupt outputs.</w:t>
      </w:r>
    </w:p>
    <w:p>
      <w:pPr>
        <w:pStyle w:val="Heading2"/>
        <w:keepNext/>
      </w:pPr>
      <w:r>
        <w:t xml:space="preserve">Governance roles</w:t>
      </w:r>
    </w:p>
    <w:p>
      <w:pPr>
        <w:keepNext w:val="false"/>
        <w:spacing w:after="120" w:before="0" w:line="264"/>
        <w:jc w:val="left"/>
      </w:pPr>
      <w:r>
        <w:rPr>
          <w:rFonts w:ascii="Calibri" w:cs="Calibri" w:eastAsia="Calibri" w:hAnsi="Calibri"/>
          <w:b w:val="false"/>
          <w:bCs w:val="false"/>
          <w:i w:val="false"/>
          <w:iCs w:val="false"/>
          <w:color w:val="1F2937"/>
          <w:sz w:val="22"/>
          <w:szCs w:val="22"/>
        </w:rPr>
        <w:t xml:space="preserve">The project owner approves scope, interpretation and release. The data/pipeline owner maintains transformations and source contracts. The dashboard owner maintains presentation without duplicating scoring logic. The testing owner protects behavioural contracts. Documentation is updated only after implementation and verification settle.</w:t>
      </w:r>
    </w:p>
    <w:p>
      <w:r>
        <w:br w:type="page"/>
      </w:r>
    </w:p>
    <w:p>
      <w:pPr>
        <w:pStyle w:val="Heading1"/>
        <w:keepNext/>
      </w:pPr>
      <w:r>
        <w:t xml:space="preserve">3. Scope and boundaries</w:t>
      </w:r>
    </w:p>
    <w:p>
      <w:pPr>
        <w:pStyle w:val="Heading2"/>
        <w:keepNext/>
      </w:pPr>
      <w:r>
        <w:t xml:space="preserve">In scope</w:t>
      </w:r>
    </w:p>
    <w:p>
      <w:pPr>
        <w:pStyle w:val="ListParagraph"/>
        <w:numPr>
          <w:ilvl w:val="0"/>
          <w:numId w:val="2"/>
        </w:numPr>
        <w:spacing w:after="160" w:line="280"/>
      </w:pPr>
      <w:r>
        <w:rPr>
          <w:rFonts w:ascii="Calibri" w:cs="Calibri" w:eastAsia="Calibri" w:hAnsi="Calibri"/>
          <w:b w:val="false"/>
          <w:bCs w:val="false"/>
          <w:i w:val="false"/>
          <w:iCs w:val="false"/>
          <w:color w:val="1F2937"/>
          <w:sz w:val="22"/>
          <w:szCs w:val="22"/>
        </w:rPr>
        <w:t xml:space="preserve">Quarterly LGA median rents and published rental-bond counts.</w:t>
      </w:r>
    </w:p>
    <w:p>
      <w:pPr>
        <w:pStyle w:val="ListParagraph"/>
        <w:numPr>
          <w:ilvl w:val="0"/>
          <w:numId w:val="2"/>
        </w:numPr>
        <w:spacing w:after="160" w:line="280"/>
      </w:pPr>
      <w:r>
        <w:rPr>
          <w:rFonts w:ascii="Calibri" w:cs="Calibri" w:eastAsia="Calibri" w:hAnsi="Calibri"/>
          <w:b w:val="false"/>
          <w:bCs w:val="false"/>
          <w:i w:val="false"/>
          <w:iCs w:val="false"/>
          <w:color w:val="1F2937"/>
          <w:sz w:val="22"/>
          <w:szCs w:val="22"/>
        </w:rPr>
        <w:t xml:space="preserve">2024–25 estimated resident population and annual growth.</w:t>
      </w:r>
    </w:p>
    <w:p>
      <w:pPr>
        <w:pStyle w:val="ListParagraph"/>
        <w:numPr>
          <w:ilvl w:val="0"/>
          <w:numId w:val="2"/>
        </w:numPr>
        <w:spacing w:after="160" w:line="280"/>
      </w:pPr>
      <w:r>
        <w:rPr>
          <w:rFonts w:ascii="Calibri" w:cs="Calibri" w:eastAsia="Calibri" w:hAnsi="Calibri"/>
          <w:b w:val="false"/>
          <w:bCs w:val="false"/>
          <w:i w:val="false"/>
          <w:iCs w:val="false"/>
          <w:color w:val="1F2937"/>
          <w:sz w:val="22"/>
          <w:szCs w:val="22"/>
        </w:rPr>
        <w:t xml:space="preserve">2024–25 full-financial-year dwelling approvals per 1,000 June 2025 residents.</w:t>
      </w:r>
    </w:p>
    <w:p>
      <w:pPr>
        <w:pStyle w:val="ListParagraph"/>
        <w:numPr>
          <w:ilvl w:val="0"/>
          <w:numId w:val="2"/>
        </w:numPr>
        <w:spacing w:after="160" w:line="280"/>
      </w:pPr>
      <w:r>
        <w:rPr>
          <w:rFonts w:ascii="Calibri" w:cs="Calibri" w:eastAsia="Calibri" w:hAnsi="Calibri"/>
          <w:b w:val="false"/>
          <w:bCs w:val="false"/>
          <w:i w:val="false"/>
          <w:iCs w:val="false"/>
          <w:color w:val="1F2937"/>
          <w:sz w:val="22"/>
          <w:szCs w:val="22"/>
        </w:rPr>
        <w:t xml:space="preserve">2025–26 FYTD approvals as contextual data and state January–April comparisons.</w:t>
      </w:r>
    </w:p>
    <w:p>
      <w:pPr>
        <w:pStyle w:val="ListParagraph"/>
        <w:numPr>
          <w:ilvl w:val="0"/>
          <w:numId w:val="2"/>
        </w:numPr>
        <w:spacing w:after="160" w:line="280"/>
      </w:pPr>
      <w:r>
        <w:rPr>
          <w:rFonts w:ascii="Calibri" w:cs="Calibri" w:eastAsia="Calibri" w:hAnsi="Calibri"/>
          <w:b w:val="false"/>
          <w:bCs w:val="false"/>
          <w:i w:val="false"/>
          <w:iCs w:val="false"/>
          <w:color w:val="1F2937"/>
          <w:sz w:val="22"/>
          <w:szCs w:val="22"/>
        </w:rPr>
        <w:t xml:space="preserve">A relative 0–100 Housing Pressure Index, component scores and sample-quality flags.</w:t>
      </w:r>
    </w:p>
    <w:p>
      <w:pPr>
        <w:pStyle w:val="ListParagraph"/>
        <w:numPr>
          <w:ilvl w:val="0"/>
          <w:numId w:val="2"/>
        </w:numPr>
        <w:spacing w:after="160" w:line="280"/>
      </w:pPr>
      <w:r>
        <w:rPr>
          <w:rFonts w:ascii="Calibri" w:cs="Calibri" w:eastAsia="Calibri" w:hAnsi="Calibri"/>
          <w:b w:val="false"/>
          <w:bCs w:val="false"/>
          <w:i w:val="false"/>
          <w:iCs w:val="false"/>
          <w:color w:val="1F2937"/>
          <w:sz w:val="22"/>
          <w:szCs w:val="22"/>
        </w:rPr>
        <w:t xml:space="preserve">Streamlit filtering, charts, methodology, source links and CSV downloads.</w:t>
      </w:r>
    </w:p>
    <w:p>
      <w:pPr>
        <w:pStyle w:val="Heading2"/>
        <w:keepNext/>
      </w:pPr>
      <w:r>
        <w:t xml:space="preserve">Out of scope</w:t>
      </w:r>
    </w:p>
    <w:p>
      <w:pPr>
        <w:pStyle w:val="ListParagraph"/>
        <w:numPr>
          <w:ilvl w:val="0"/>
          <w:numId w:val="2"/>
        </w:numPr>
        <w:spacing w:after="160" w:line="280"/>
      </w:pPr>
      <w:r>
        <w:rPr>
          <w:rFonts w:ascii="Calibri" w:cs="Calibri" w:eastAsia="Calibri" w:hAnsi="Calibri"/>
          <w:b w:val="false"/>
          <w:bCs w:val="false"/>
          <w:i w:val="false"/>
          <w:iCs w:val="false"/>
          <w:color w:val="1F2937"/>
          <w:sz w:val="22"/>
          <w:szCs w:val="22"/>
        </w:rPr>
        <w:t xml:space="preserve">Forecasts, causal models, unmet dwelling need or individual household rental-stress estimates.</w:t>
      </w:r>
    </w:p>
    <w:p>
      <w:pPr>
        <w:pStyle w:val="ListParagraph"/>
        <w:numPr>
          <w:ilvl w:val="0"/>
          <w:numId w:val="2"/>
        </w:numPr>
        <w:spacing w:after="160" w:line="280"/>
      </w:pPr>
      <w:r>
        <w:rPr>
          <w:rFonts w:ascii="Calibri" w:cs="Calibri" w:eastAsia="Calibri" w:hAnsi="Calibri"/>
          <w:b w:val="false"/>
          <w:bCs w:val="false"/>
          <w:i w:val="false"/>
          <w:iCs w:val="false"/>
          <w:color w:val="1F2937"/>
          <w:sz w:val="22"/>
          <w:szCs w:val="22"/>
        </w:rPr>
        <w:t xml:space="preserve">Vacancy rates, advertised rents, dwelling commencements or completions.</w:t>
      </w:r>
    </w:p>
    <w:p>
      <w:pPr>
        <w:pStyle w:val="ListParagraph"/>
        <w:numPr>
          <w:ilvl w:val="0"/>
          <w:numId w:val="2"/>
        </w:numPr>
        <w:spacing w:after="160" w:line="280"/>
      </w:pPr>
      <w:r>
        <w:rPr>
          <w:rFonts w:ascii="Calibri" w:cs="Calibri" w:eastAsia="Calibri" w:hAnsi="Calibri"/>
          <w:b w:val="false"/>
          <w:bCs w:val="false"/>
          <w:i w:val="false"/>
          <w:iCs w:val="false"/>
          <w:color w:val="1F2937"/>
          <w:sz w:val="22"/>
          <w:szCs w:val="22"/>
        </w:rPr>
        <w:t xml:space="preserve">Infrastructure-readiness scoring, land-release readiness or service-capacity modelling.</w:t>
      </w:r>
    </w:p>
    <w:p>
      <w:pPr>
        <w:pStyle w:val="ListParagraph"/>
        <w:numPr>
          <w:ilvl w:val="0"/>
          <w:numId w:val="2"/>
        </w:numPr>
        <w:spacing w:after="160" w:line="280"/>
      </w:pPr>
      <w:r>
        <w:rPr>
          <w:rFonts w:ascii="Calibri" w:cs="Calibri" w:eastAsia="Calibri" w:hAnsi="Calibri"/>
          <w:b w:val="false"/>
          <w:bCs w:val="false"/>
          <w:i w:val="false"/>
          <w:iCs w:val="false"/>
          <w:color w:val="1F2937"/>
          <w:sz w:val="22"/>
          <w:szCs w:val="22"/>
        </w:rPr>
        <w:t xml:space="preserve">Suburb-level ranking, property advice or automated policy recommendations.</w:t>
      </w:r>
    </w:p>
    <w:p>
      <w:pPr>
        <w:pStyle w:val="Heading2"/>
        <w:keepNext/>
      </w:pPr>
      <w:r>
        <w:t xml:space="preserve">Key assumptions</w:t>
      </w:r>
    </w:p>
    <w:tbl>
      <w:tblPr>
        <w:tblW w:type="dxa" w:w="9360"/>
        <w:tblInd w:type="dxa" w:w="120"/>
        <w:tblBorders>
          <w:top w:val="single" w:color="C7CDD4" w:sz="4"/>
          <w:left w:val="single" w:color="C7CDD4" w:sz="4"/>
          <w:bottom w:val="single" w:color="C7CDD4" w:sz="4"/>
          <w:right w:val="single" w:color="C7CDD4" w:sz="4"/>
          <w:insideH w:val="single" w:color="C7CDD4" w:sz="4"/>
          <w:insideV w:val="single" w:color="C7CDD4" w:sz="4"/>
        </w:tblBorders>
        <w:tblLayout w:type="fixed"/>
      </w:tblPr>
      <w:tblGrid>
        <w:gridCol w:w="100"/>
        <w:gridCol w:w="100"/>
      </w:tblGrid>
      <w:tr>
        <w:trPr>
          <w:tblHeader/>
        </w:trPr>
        <w:tc>
          <w:tcPr>
            <w:tcW w:type="dxa" w:w="3300"/>
            <w:shd w:fill="F2F4F7" w:val="clear"/>
            <w:tcMar>
              <w:top w:type="dxa" w:w="80"/>
              <w:left w:type="dxa" w:w="120"/>
              <w:bottom w:type="dxa" w:w="80"/>
              <w:right w:type="dxa" w:w="120"/>
            </w:tcMar>
            <w:vAlign w:val="center"/>
          </w:tcPr>
          <w:p>
            <w:pPr>
              <w:spacing w:after="0" w:line="240"/>
            </w:pPr>
            <w:r>
              <w:rPr>
                <w:rFonts w:ascii="Calibri" w:cs="Calibri" w:eastAsia="Calibri" w:hAnsi="Calibri"/>
                <w:b/>
                <w:bCs/>
                <w:i w:val="false"/>
                <w:iCs w:val="false"/>
                <w:color w:val="1F4D78"/>
                <w:sz w:val="20"/>
                <w:szCs w:val="20"/>
              </w:rPr>
              <w:t xml:space="preserve">Assumption</w:t>
            </w:r>
          </w:p>
        </w:tc>
        <w:tc>
          <w:tcPr>
            <w:tcW w:type="dxa" w:w="6060"/>
            <w:shd w:fill="F2F4F7" w:val="clear"/>
            <w:tcMar>
              <w:top w:type="dxa" w:w="80"/>
              <w:left w:type="dxa" w:w="120"/>
              <w:bottom w:type="dxa" w:w="80"/>
              <w:right w:type="dxa" w:w="120"/>
            </w:tcMar>
            <w:vAlign w:val="center"/>
          </w:tcPr>
          <w:p>
            <w:pPr>
              <w:spacing w:after="0" w:line="240"/>
            </w:pPr>
            <w:r>
              <w:rPr>
                <w:rFonts w:ascii="Calibri" w:cs="Calibri" w:eastAsia="Calibri" w:hAnsi="Calibri"/>
                <w:b/>
                <w:bCs/>
                <w:i w:val="false"/>
                <w:iCs w:val="false"/>
                <w:color w:val="1F4D78"/>
                <w:sz w:val="20"/>
                <w:szCs w:val="20"/>
              </w:rPr>
              <w:t xml:space="preserve">Control</w:t>
            </w:r>
          </w:p>
        </w:tc>
      </w:tr>
      <w:tr>
        <w:trPr>
          <w:cantSplit/>
        </w:trPr>
        <w:tc>
          <w:tcPr>
            <w:tcW w:type="dxa" w:w="33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Median rent is a useful cost signal.</w:t>
            </w:r>
          </w:p>
        </w:tc>
        <w:tc>
          <w:tcPr>
            <w:tcW w:type="dxa" w:w="606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Always pair it with count quality and income-proxy context.</w:t>
            </w:r>
          </w:p>
        </w:tc>
      </w:tr>
      <w:tr>
        <w:trPr>
          <w:cantSplit/>
        </w:trPr>
        <w:tc>
          <w:tcPr>
            <w:tcW w:type="dxa" w:w="33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2021 income can support screening.</w:t>
            </w:r>
          </w:p>
        </w:tc>
        <w:tc>
          <w:tcPr>
            <w:tcW w:type="dxa" w:w="606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Label the ratio as historical and never as a current stress rate.</w:t>
            </w:r>
          </w:p>
        </w:tc>
      </w:tr>
      <w:tr>
        <w:trPr>
          <w:cantSplit/>
        </w:trPr>
        <w:tc>
          <w:tcPr>
            <w:tcW w:type="dxa" w:w="33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Approvals indicate pipeline intent.</w:t>
            </w:r>
          </w:p>
        </w:tc>
        <w:tc>
          <w:tcPr>
            <w:tcW w:type="dxa" w:w="606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State that approval is permission, not commencement or completion.</w:t>
            </w:r>
          </w:p>
        </w:tc>
      </w:tr>
      <w:tr>
        <w:trPr>
          <w:cantSplit/>
        </w:trPr>
        <w:tc>
          <w:tcPr>
            <w:tcW w:type="dxa" w:w="33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Percentile ranking supports comparison.</w:t>
            </w:r>
          </w:p>
        </w:tc>
        <w:tc>
          <w:tcPr>
            <w:tcW w:type="dxa" w:w="606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Describe scores as relative to eligible SA areas, not absolute thresholds.</w:t>
            </w:r>
          </w:p>
        </w:tc>
      </w:tr>
    </w:tbl>
    <w:p>
      <w:r>
        <w:br w:type="page"/>
      </w:r>
    </w:p>
    <w:p>
      <w:pPr>
        <w:pStyle w:val="Heading1"/>
        <w:keepNext/>
      </w:pPr>
      <w:r>
        <w:t xml:space="preserve">4. Functional and non-functional requirements</w:t>
      </w:r>
    </w:p>
    <w:tbl>
      <w:tblPr>
        <w:tblW w:type="dxa" w:w="9360"/>
        <w:tblInd w:type="dxa" w:w="120"/>
        <w:tblBorders>
          <w:top w:val="single" w:color="C7CDD4" w:sz="4"/>
          <w:left w:val="single" w:color="C7CDD4" w:sz="4"/>
          <w:bottom w:val="single" w:color="C7CDD4" w:sz="4"/>
          <w:right w:val="single" w:color="C7CDD4" w:sz="4"/>
          <w:insideH w:val="single" w:color="C7CDD4" w:sz="4"/>
          <w:insideV w:val="single" w:color="C7CDD4" w:sz="4"/>
        </w:tblBorders>
        <w:tblLayout w:type="fixed"/>
      </w:tblPr>
      <w:tblGrid>
        <w:gridCol w:w="100"/>
        <w:gridCol w:w="100"/>
        <w:gridCol w:w="100"/>
      </w:tblGrid>
      <w:tr>
        <w:trPr>
          <w:tblHeader/>
        </w:trPr>
        <w:tc>
          <w:tcPr>
            <w:tcW w:type="dxa" w:w="1050"/>
            <w:shd w:fill="F2F4F7" w:val="clear"/>
            <w:tcMar>
              <w:top w:type="dxa" w:w="80"/>
              <w:left w:type="dxa" w:w="120"/>
              <w:bottom w:type="dxa" w:w="80"/>
              <w:right w:type="dxa" w:w="120"/>
            </w:tcMar>
            <w:vAlign w:val="center"/>
          </w:tcPr>
          <w:p>
            <w:pPr>
              <w:spacing w:after="0" w:line="240"/>
            </w:pPr>
            <w:r>
              <w:rPr>
                <w:rFonts w:ascii="Calibri" w:cs="Calibri" w:eastAsia="Calibri" w:hAnsi="Calibri"/>
                <w:b/>
                <w:bCs/>
                <w:i w:val="false"/>
                <w:iCs w:val="false"/>
                <w:color w:val="1F4D78"/>
                <w:sz w:val="20"/>
                <w:szCs w:val="20"/>
              </w:rPr>
              <w:t xml:space="preserve">ID</w:t>
            </w:r>
          </w:p>
        </w:tc>
        <w:tc>
          <w:tcPr>
            <w:tcW w:type="dxa" w:w="4250"/>
            <w:shd w:fill="F2F4F7" w:val="clear"/>
            <w:tcMar>
              <w:top w:type="dxa" w:w="80"/>
              <w:left w:type="dxa" w:w="120"/>
              <w:bottom w:type="dxa" w:w="80"/>
              <w:right w:type="dxa" w:w="120"/>
            </w:tcMar>
            <w:vAlign w:val="center"/>
          </w:tcPr>
          <w:p>
            <w:pPr>
              <w:spacing w:after="0" w:line="240"/>
            </w:pPr>
            <w:r>
              <w:rPr>
                <w:rFonts w:ascii="Calibri" w:cs="Calibri" w:eastAsia="Calibri" w:hAnsi="Calibri"/>
                <w:b/>
                <w:bCs/>
                <w:i w:val="false"/>
                <w:iCs w:val="false"/>
                <w:color w:val="1F4D78"/>
                <w:sz w:val="20"/>
                <w:szCs w:val="20"/>
              </w:rPr>
              <w:t xml:space="preserve">Requirement</w:t>
            </w:r>
          </w:p>
        </w:tc>
        <w:tc>
          <w:tcPr>
            <w:tcW w:type="dxa" w:w="4060"/>
            <w:shd w:fill="F2F4F7" w:val="clear"/>
            <w:tcMar>
              <w:top w:type="dxa" w:w="80"/>
              <w:left w:type="dxa" w:w="120"/>
              <w:bottom w:type="dxa" w:w="80"/>
              <w:right w:type="dxa" w:w="120"/>
            </w:tcMar>
            <w:vAlign w:val="center"/>
          </w:tcPr>
          <w:p>
            <w:pPr>
              <w:spacing w:after="0" w:line="240"/>
            </w:pPr>
            <w:r>
              <w:rPr>
                <w:rFonts w:ascii="Calibri" w:cs="Calibri" w:eastAsia="Calibri" w:hAnsi="Calibri"/>
                <w:b/>
                <w:bCs/>
                <w:i w:val="false"/>
                <w:iCs w:val="false"/>
                <w:color w:val="1F4D78"/>
                <w:sz w:val="20"/>
                <w:szCs w:val="20"/>
              </w:rPr>
              <w:t xml:space="preserve">Acceptance evidence</w:t>
            </w:r>
          </w:p>
        </w:tc>
      </w:tr>
      <w:tr>
        <w:trPr>
          <w:cantSplit/>
        </w:trPr>
        <w:tc>
          <w:tcPr>
            <w:tcW w:type="dxa" w:w="105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FR-01</w:t>
            </w:r>
          </w:p>
        </w:tc>
        <w:tc>
          <w:tcPr>
            <w:tcW w:type="dxa" w:w="425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Load the four processed dashboard datasets with required-column checks.</w:t>
            </w:r>
          </w:p>
        </w:tc>
        <w:tc>
          <w:tcPr>
            <w:tcW w:type="dxa" w:w="406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Missing files or columns stop the app with an actionable message.</w:t>
            </w:r>
          </w:p>
        </w:tc>
      </w:tr>
      <w:tr>
        <w:trPr>
          <w:cantSplit/>
        </w:trPr>
        <w:tc>
          <w:tcPr>
            <w:tcW w:type="dxa" w:w="105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FR-02</w:t>
            </w:r>
          </w:p>
        </w:tc>
        <w:tc>
          <w:tcPr>
            <w:tcW w:type="dxa" w:w="425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Filter scored areas by category, sample quality and text search.</w:t>
            </w:r>
          </w:p>
        </w:tc>
        <w:tc>
          <w:tcPr>
            <w:tcW w:type="dxa" w:w="406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All three LGA analysis tabs respond consistently; no-result guidance is shown.</w:t>
            </w:r>
          </w:p>
        </w:tc>
      </w:tr>
      <w:tr>
        <w:trPr>
          <w:cantSplit/>
        </w:trPr>
        <w:tc>
          <w:tcPr>
            <w:tcW w:type="dxa" w:w="105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FR-03</w:t>
            </w:r>
          </w:p>
        </w:tc>
        <w:tc>
          <w:tcPr>
            <w:tcW w:type="dxa" w:w="425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Show index, affordability, supply/demand and state pipeline views.</w:t>
            </w:r>
          </w:p>
        </w:tc>
        <w:tc>
          <w:tcPr>
            <w:tcW w:type="dxa" w:w="406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Six tabs render without application exceptions.</w:t>
            </w:r>
          </w:p>
        </w:tc>
      </w:tr>
      <w:tr>
        <w:trPr>
          <w:cantSplit/>
        </w:trPr>
        <w:tc>
          <w:tcPr>
            <w:tcW w:type="dxa" w:w="105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FR-04</w:t>
            </w:r>
          </w:p>
        </w:tc>
        <w:tc>
          <w:tcPr>
            <w:tcW w:type="dxa" w:w="425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Keep partial-year and like-for-like comparisons explicit.</w:t>
            </w:r>
          </w:p>
        </w:tc>
        <w:tc>
          <w:tcPr>
            <w:tcW w:type="dxa" w:w="406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2026 is labelled YTD and Jan–Apr is compared across years.</w:t>
            </w:r>
          </w:p>
        </w:tc>
      </w:tr>
      <w:tr>
        <w:trPr>
          <w:cantSplit/>
        </w:trPr>
        <w:tc>
          <w:tcPr>
            <w:tcW w:type="dxa" w:w="105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FR-05</w:t>
            </w:r>
          </w:p>
        </w:tc>
        <w:tc>
          <w:tcPr>
            <w:tcW w:type="dxa" w:w="425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Provide auditable CSV downloads.</w:t>
            </w:r>
          </w:p>
        </w:tc>
        <w:tc>
          <w:tcPr>
            <w:tcW w:type="dxa" w:w="406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Files include source-quality fields and descriptive filenames.</w:t>
            </w:r>
          </w:p>
        </w:tc>
      </w:tr>
      <w:tr>
        <w:trPr>
          <w:cantSplit/>
        </w:trPr>
        <w:tc>
          <w:tcPr>
            <w:tcW w:type="dxa" w:w="105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NFR-01</w:t>
            </w:r>
          </w:p>
        </w:tc>
        <w:tc>
          <w:tcPr>
            <w:tcW w:type="dxa" w:w="425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Keep transformations deterministic and outside app.py.</w:t>
            </w:r>
          </w:p>
        </w:tc>
        <w:tc>
          <w:tcPr>
            <w:tcW w:type="dxa" w:w="406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Pipeline rebuild reproduces committed schemas and ordering.</w:t>
            </w:r>
          </w:p>
        </w:tc>
      </w:tr>
      <w:tr>
        <w:trPr>
          <w:cantSplit/>
        </w:trPr>
        <w:tc>
          <w:tcPr>
            <w:tcW w:type="dxa" w:w="105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NFR-02</w:t>
            </w:r>
          </w:p>
        </w:tc>
        <w:tc>
          <w:tcPr>
            <w:tcW w:type="dxa" w:w="425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Fail on invalid source contracts.</w:t>
            </w:r>
          </w:p>
        </w:tc>
        <w:tc>
          <w:tcPr>
            <w:tcW w:type="dxa" w:w="406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Tests cover missing sources, sheets, columns, duplicate keys and coverage gaps.</w:t>
            </w:r>
          </w:p>
        </w:tc>
      </w:tr>
      <w:tr>
        <w:trPr>
          <w:cantSplit/>
        </w:trPr>
        <w:tc>
          <w:tcPr>
            <w:tcW w:type="dxa" w:w="105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NFR-03</w:t>
            </w:r>
          </w:p>
        </w:tc>
        <w:tc>
          <w:tcPr>
            <w:tcW w:type="dxa" w:w="425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Support Python 3.10 and 3.12.</w:t>
            </w:r>
          </w:p>
        </w:tc>
        <w:tc>
          <w:tcPr>
            <w:tcW w:type="dxa" w:w="406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CI rebuilds and runs the suite on both versions.</w:t>
            </w:r>
          </w:p>
        </w:tc>
      </w:tr>
      <w:tr>
        <w:trPr>
          <w:cantSplit/>
        </w:trPr>
        <w:tc>
          <w:tcPr>
            <w:tcW w:type="dxa" w:w="105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NFR-04</w:t>
            </w:r>
          </w:p>
        </w:tc>
        <w:tc>
          <w:tcPr>
            <w:tcW w:type="dxa" w:w="425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Meet basic accessibility and responsive presentation needs.</w:t>
            </w:r>
          </w:p>
        </w:tc>
        <w:tc>
          <w:tcPr>
            <w:tcW w:type="dxa" w:w="406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Focus visibility, contrast, labels and desktop/narrow browser checks pass.</w:t>
            </w:r>
          </w:p>
        </w:tc>
      </w:tr>
    </w:tbl>
    <w:p>
      <w:r>
        <w:br w:type="page"/>
      </w:r>
    </w:p>
    <w:p>
      <w:pPr>
        <w:pStyle w:val="Heading1"/>
        <w:keepNext/>
      </w:pPr>
      <w:r>
        <w:t xml:space="preserve">5. Data and analytical methodology</w:t>
      </w:r>
    </w:p>
    <w:p>
      <w:pPr>
        <w:pStyle w:val="Heading2"/>
        <w:keepNext/>
      </w:pPr>
      <w:r>
        <w:t xml:space="preserve">Source model</w:t>
      </w:r>
    </w:p>
    <w:tbl>
      <w:tblPr>
        <w:tblW w:type="dxa" w:w="9360"/>
        <w:tblInd w:type="dxa" w:w="120"/>
        <w:tblBorders>
          <w:top w:val="single" w:color="C7CDD4" w:sz="4"/>
          <w:left w:val="single" w:color="C7CDD4" w:sz="4"/>
          <w:bottom w:val="single" w:color="C7CDD4" w:sz="4"/>
          <w:right w:val="single" w:color="C7CDD4" w:sz="4"/>
          <w:insideH w:val="single" w:color="C7CDD4" w:sz="4"/>
          <w:insideV w:val="single" w:color="C7CDD4" w:sz="4"/>
        </w:tblBorders>
        <w:tblLayout w:type="fixed"/>
      </w:tblPr>
      <w:tblGrid>
        <w:gridCol w:w="100"/>
        <w:gridCol w:w="100"/>
        <w:gridCol w:w="100"/>
      </w:tblGrid>
      <w:tr>
        <w:trPr>
          <w:tblHeader/>
        </w:trPr>
        <w:tc>
          <w:tcPr>
            <w:tcW w:type="dxa" w:w="2500"/>
            <w:shd w:fill="F2F4F7" w:val="clear"/>
            <w:tcMar>
              <w:top w:type="dxa" w:w="80"/>
              <w:left w:type="dxa" w:w="120"/>
              <w:bottom w:type="dxa" w:w="80"/>
              <w:right w:type="dxa" w:w="120"/>
            </w:tcMar>
            <w:vAlign w:val="center"/>
          </w:tcPr>
          <w:p>
            <w:pPr>
              <w:spacing w:after="0" w:line="240"/>
            </w:pPr>
            <w:r>
              <w:rPr>
                <w:rFonts w:ascii="Calibri" w:cs="Calibri" w:eastAsia="Calibri" w:hAnsi="Calibri"/>
                <w:b/>
                <w:bCs/>
                <w:i w:val="false"/>
                <w:iCs w:val="false"/>
                <w:color w:val="1F4D78"/>
                <w:sz w:val="20"/>
                <w:szCs w:val="20"/>
              </w:rPr>
              <w:t xml:space="preserve">Input</w:t>
            </w:r>
          </w:p>
        </w:tc>
        <w:tc>
          <w:tcPr>
            <w:tcW w:type="dxa" w:w="3000"/>
            <w:shd w:fill="F2F4F7" w:val="clear"/>
            <w:tcMar>
              <w:top w:type="dxa" w:w="80"/>
              <w:left w:type="dxa" w:w="120"/>
              <w:bottom w:type="dxa" w:w="80"/>
              <w:right w:type="dxa" w:w="120"/>
            </w:tcMar>
            <w:vAlign w:val="center"/>
          </w:tcPr>
          <w:p>
            <w:pPr>
              <w:spacing w:after="0" w:line="240"/>
            </w:pPr>
            <w:r>
              <w:rPr>
                <w:rFonts w:ascii="Calibri" w:cs="Calibri" w:eastAsia="Calibri" w:hAnsi="Calibri"/>
                <w:b/>
                <w:bCs/>
                <w:i w:val="false"/>
                <w:iCs w:val="false"/>
                <w:color w:val="1F4D78"/>
                <w:sz w:val="20"/>
                <w:szCs w:val="20"/>
              </w:rPr>
              <w:t xml:space="preserve">Authority</w:t>
            </w:r>
          </w:p>
        </w:tc>
        <w:tc>
          <w:tcPr>
            <w:tcW w:type="dxa" w:w="3860"/>
            <w:shd w:fill="F2F4F7" w:val="clear"/>
            <w:tcMar>
              <w:top w:type="dxa" w:w="80"/>
              <w:left w:type="dxa" w:w="120"/>
              <w:bottom w:type="dxa" w:w="80"/>
              <w:right w:type="dxa" w:w="120"/>
            </w:tcMar>
            <w:vAlign w:val="center"/>
          </w:tcPr>
          <w:p>
            <w:pPr>
              <w:spacing w:after="0" w:line="240"/>
            </w:pPr>
            <w:r>
              <w:rPr>
                <w:rFonts w:ascii="Calibri" w:cs="Calibri" w:eastAsia="Calibri" w:hAnsi="Calibri"/>
                <w:b/>
                <w:bCs/>
                <w:i w:val="false"/>
                <w:iCs w:val="false"/>
                <w:color w:val="1F4D78"/>
                <w:sz w:val="20"/>
                <w:szCs w:val="20"/>
              </w:rPr>
              <w:t xml:space="preserve">Analytical use</w:t>
            </w:r>
          </w:p>
        </w:tc>
      </w:tr>
      <w:tr>
        <w:trPr>
          <w:cantSplit/>
        </w:trPr>
        <w:tc>
          <w:tcPr>
            <w:tcW w:type="dxa" w:w="25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Private Rent Report</w:t>
            </w:r>
          </w:p>
        </w:tc>
        <w:tc>
          <w:tcPr>
            <w:tcW w:type="dxa" w:w="30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SA Housing Trust / Consumer and Business Services</w:t>
            </w:r>
          </w:p>
        </w:tc>
        <w:tc>
          <w:tcPr>
            <w:tcW w:type="dxa" w:w="386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Quarterly LGA median rents and published bond counts.</w:t>
            </w:r>
          </w:p>
        </w:tc>
      </w:tr>
      <w:tr>
        <w:trPr>
          <w:cantSplit/>
        </w:trPr>
        <w:tc>
          <w:tcPr>
            <w:tcW w:type="dxa" w:w="25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Building Approvals</w:t>
            </w:r>
          </w:p>
        </w:tc>
        <w:tc>
          <w:tcPr>
            <w:tcW w:type="dxa" w:w="30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Australian Bureau of Statistics</w:t>
            </w:r>
          </w:p>
        </w:tc>
        <w:tc>
          <w:tcPr>
            <w:tcW w:type="dxa" w:w="386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Full-year local supply signal; FYTD and monthly state context.</w:t>
            </w:r>
          </w:p>
        </w:tc>
      </w:tr>
      <w:tr>
        <w:trPr>
          <w:cantSplit/>
        </w:trPr>
        <w:tc>
          <w:tcPr>
            <w:tcW w:type="dxa" w:w="25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Regional Population</w:t>
            </w:r>
          </w:p>
        </w:tc>
        <w:tc>
          <w:tcPr>
            <w:tcW w:type="dxa" w:w="30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Australian Bureau of Statistics</w:t>
            </w:r>
          </w:p>
        </w:tc>
        <w:tc>
          <w:tcPr>
            <w:tcW w:type="dxa" w:w="386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Population growth and per-capita approval denominator.</w:t>
            </w:r>
          </w:p>
        </w:tc>
      </w:tr>
      <w:tr>
        <w:trPr>
          <w:cantSplit/>
        </w:trPr>
        <w:tc>
          <w:tcPr>
            <w:tcW w:type="dxa" w:w="25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2021 Census DataPack</w:t>
            </w:r>
          </w:p>
        </w:tc>
        <w:tc>
          <w:tcPr>
            <w:tcW w:type="dxa" w:w="30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Australian Bureau of Statistics</w:t>
            </w:r>
          </w:p>
        </w:tc>
        <w:tc>
          <w:tcPr>
            <w:tcW w:type="dxa" w:w="386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Median weekly household-income denominator for a screening proxy.</w:t>
            </w:r>
          </w:p>
        </w:tc>
      </w:tr>
    </w:tbl>
    <w:p>
      <w:pPr>
        <w:pStyle w:val="Heading2"/>
        <w:keepNext/>
      </w:pPr>
      <w:r>
        <w:t xml:space="preserve">Scoring model</w:t>
      </w:r>
    </w:p>
    <w:p>
      <w:pPr>
        <w:pStyle w:val="ListParagraph"/>
        <w:numPr>
          <w:ilvl w:val="0"/>
          <w:numId w:val="3"/>
        </w:numPr>
        <w:spacing w:after="160" w:line="280"/>
      </w:pPr>
      <w:r>
        <w:rPr>
          <w:rFonts w:ascii="Calibri" w:cs="Calibri" w:eastAsia="Calibri" w:hAnsi="Calibri"/>
          <w:b w:val="false"/>
          <w:bCs w:val="false"/>
          <w:i w:val="false"/>
          <w:iCs w:val="false"/>
          <w:color w:val="1F2937"/>
          <w:sz w:val="22"/>
          <w:szCs w:val="22"/>
        </w:rPr>
        <w:t xml:space="preserve">Eligibility: at least 10 published quarterly rental bonds and complete values for all three components.</w:t>
      </w:r>
    </w:p>
    <w:p>
      <w:pPr>
        <w:pStyle w:val="ListParagraph"/>
        <w:numPr>
          <w:ilvl w:val="0"/>
          <w:numId w:val="3"/>
        </w:numPr>
        <w:spacing w:after="160" w:line="280"/>
      </w:pPr>
      <w:r>
        <w:rPr>
          <w:rFonts w:ascii="Calibri" w:cs="Calibri" w:eastAsia="Calibri" w:hAnsi="Calibri"/>
          <w:b w:val="false"/>
          <w:bCs w:val="false"/>
          <w:i w:val="false"/>
          <w:iCs w:val="false"/>
          <w:color w:val="1F2937"/>
          <w:sz w:val="22"/>
          <w:szCs w:val="22"/>
        </w:rPr>
        <w:t xml:space="preserve">Affordability pressure: percentile of median rent divided by 2021 median weekly household income; weight 50%.</w:t>
      </w:r>
    </w:p>
    <w:p>
      <w:pPr>
        <w:pStyle w:val="ListParagraph"/>
        <w:numPr>
          <w:ilvl w:val="0"/>
          <w:numId w:val="3"/>
        </w:numPr>
        <w:spacing w:after="160" w:line="280"/>
      </w:pPr>
      <w:r>
        <w:rPr>
          <w:rFonts w:ascii="Calibri" w:cs="Calibri" w:eastAsia="Calibri" w:hAnsi="Calibri"/>
          <w:b w:val="false"/>
          <w:bCs w:val="false"/>
          <w:i w:val="false"/>
          <w:iCs w:val="false"/>
          <w:color w:val="1F2937"/>
          <w:sz w:val="22"/>
          <w:szCs w:val="22"/>
        </w:rPr>
        <w:t xml:space="preserve">Demand pressure: percentile of 2024–25 population growth; weight 25%.</w:t>
      </w:r>
    </w:p>
    <w:p>
      <w:pPr>
        <w:pStyle w:val="ListParagraph"/>
        <w:numPr>
          <w:ilvl w:val="0"/>
          <w:numId w:val="3"/>
        </w:numPr>
        <w:spacing w:after="160" w:line="280"/>
      </w:pPr>
      <w:r>
        <w:rPr>
          <w:rFonts w:ascii="Calibri" w:cs="Calibri" w:eastAsia="Calibri" w:hAnsi="Calibri"/>
          <w:b w:val="false"/>
          <w:bCs w:val="false"/>
          <w:i w:val="false"/>
          <w:iCs w:val="false"/>
          <w:color w:val="1F2937"/>
          <w:sz w:val="22"/>
          <w:szCs w:val="22"/>
        </w:rPr>
        <w:t xml:space="preserve">Supply gap: inverse percentile of 2024–25 approvals per 1,000 June 2025 residents; weight 25%.</w:t>
      </w:r>
    </w:p>
    <w:p>
      <w:pPr>
        <w:pStyle w:val="ListParagraph"/>
        <w:numPr>
          <w:ilvl w:val="0"/>
          <w:numId w:val="3"/>
        </w:numPr>
        <w:spacing w:after="160" w:line="280"/>
      </w:pPr>
      <w:r>
        <w:rPr>
          <w:rFonts w:ascii="Calibri" w:cs="Calibri" w:eastAsia="Calibri" w:hAnsi="Calibri"/>
          <w:b w:val="false"/>
          <w:bCs w:val="false"/>
          <w:i w:val="false"/>
          <w:iCs w:val="false"/>
          <w:color w:val="1F2937"/>
          <w:sz w:val="22"/>
          <w:szCs w:val="22"/>
        </w:rPr>
        <w:t xml:space="preserve">Final index: percentile rank of the weighted component score among eligible areas.</w:t>
      </w:r>
    </w:p>
    <w:p>
      <w:pPr>
        <w:keepNext w:val="false"/>
        <w:spacing w:after="120" w:before="0" w:line="264"/>
        <w:jc w:val="left"/>
      </w:pPr>
      <w:r>
        <w:rPr>
          <w:rFonts w:ascii="Calibri" w:cs="Calibri" w:eastAsia="Calibri" w:hAnsi="Calibri"/>
          <w:b w:val="false"/>
          <w:bCs w:val="false"/>
          <w:i w:val="false"/>
          <w:iCs w:val="false"/>
          <w:color w:val="1F2937"/>
          <w:sz w:val="22"/>
          <w:szCs w:val="22"/>
        </w:rPr>
        <w:t xml:space="preserve">Categories are Very High (80–100), High (60–79.9), Moderate (40–59.9), Low (20–39.9) and Very Low (below 20). Ties use average percentile ranks.</w:t>
      </w:r>
    </w:p>
    <w:tbl>
      <w:tblPr>
        <w:tblW w:type="dxa" w:w="9360"/>
        <w:tblInd w:type="dxa" w:w="120"/>
        <w:tblBorders>
          <w:top w:val="single" w:color="C7CDD4" w:sz="4"/>
          <w:left w:val="single" w:color="C7CDD4" w:sz="4"/>
          <w:bottom w:val="single" w:color="C7CDD4" w:sz="4"/>
          <w:right w:val="single" w:color="C7CDD4" w:sz="4"/>
          <w:insideH w:val="single" w:color="auto" w:sz="4"/>
          <w:insideV w:val="single" w:color="auto" w:sz="4"/>
        </w:tblBorders>
        <w:tblLayout w:type="fixed"/>
      </w:tblPr>
      <w:tblGrid>
        <w:gridCol w:w="100"/>
      </w:tblGrid>
      <w:tr>
        <w:tc>
          <w:tcPr>
            <w:tcW w:type="dxa" w:w="9360"/>
            <w:shd w:fill="FFF8E8" w:val="clear"/>
            <w:tcMar>
              <w:top w:type="dxa" w:w="120"/>
              <w:left w:type="dxa" w:w="160"/>
              <w:bottom w:type="dxa" w:w="120"/>
              <w:right w:type="dxa" w:w="160"/>
            </w:tcMar>
          </w:tcPr>
          <w:p>
            <w:pPr>
              <w:spacing w:after="0" w:line="264"/>
            </w:pPr>
            <w:r>
              <w:rPr>
                <w:rFonts w:ascii="Calibri" w:cs="Calibri" w:eastAsia="Calibri" w:hAnsi="Calibri"/>
                <w:b/>
                <w:bCs/>
                <w:i w:val="false"/>
                <w:iCs w:val="false"/>
                <w:color w:val="9B1C1C"/>
                <w:sz w:val="22"/>
                <w:szCs w:val="22"/>
              </w:rPr>
              <w:t xml:space="preserve">Interpretation safeguard: </w:t>
            </w:r>
            <w:r>
              <w:rPr>
                <w:rFonts w:ascii="Calibri" w:cs="Calibri" w:eastAsia="Calibri" w:hAnsi="Calibri"/>
                <w:b w:val="false"/>
                <w:bCs w:val="false"/>
                <w:i w:val="false"/>
                <w:iCs w:val="false"/>
                <w:color w:val="1F2937"/>
                <w:sz w:val="22"/>
                <w:szCs w:val="22"/>
              </w:rPr>
              <w:t xml:space="preserve">A high index means higher relative pressure within the eligible South Australian comparison set. It does not prove shortage, financial stress or causation.</w:t>
            </w:r>
          </w:p>
        </w:tc>
        <w:trPr>
          <w:tblHeader/>
        </w:trPr>
      </w:tr>
    </w:tbl>
    <w:p>
      <w:r>
        <w:br w:type="page"/>
      </w:r>
    </w:p>
    <w:p>
      <w:pPr>
        <w:pStyle w:val="Heading1"/>
        <w:keepNext/>
      </w:pPr>
      <w:r>
        <w:t xml:space="preserve">6. Risks, controls and acceptance criteria</w:t>
      </w:r>
    </w:p>
    <w:tbl>
      <w:tblPr>
        <w:tblW w:type="dxa" w:w="9360"/>
        <w:tblInd w:type="dxa" w:w="120"/>
        <w:tblBorders>
          <w:top w:val="single" w:color="C7CDD4" w:sz="4"/>
          <w:left w:val="single" w:color="C7CDD4" w:sz="4"/>
          <w:bottom w:val="single" w:color="C7CDD4" w:sz="4"/>
          <w:right w:val="single" w:color="C7CDD4" w:sz="4"/>
          <w:insideH w:val="single" w:color="C7CDD4" w:sz="4"/>
          <w:insideV w:val="single" w:color="C7CDD4" w:sz="4"/>
        </w:tblBorders>
        <w:tblLayout w:type="fixed"/>
      </w:tblPr>
      <w:tblGrid>
        <w:gridCol w:w="100"/>
        <w:gridCol w:w="100"/>
      </w:tblGrid>
      <w:tr>
        <w:trPr>
          <w:tblHeader/>
        </w:trPr>
        <w:tc>
          <w:tcPr>
            <w:tcW w:type="dxa" w:w="2700"/>
            <w:shd w:fill="F2F4F7" w:val="clear"/>
            <w:tcMar>
              <w:top w:type="dxa" w:w="80"/>
              <w:left w:type="dxa" w:w="120"/>
              <w:bottom w:type="dxa" w:w="80"/>
              <w:right w:type="dxa" w:w="120"/>
            </w:tcMar>
            <w:vAlign w:val="center"/>
          </w:tcPr>
          <w:p>
            <w:pPr>
              <w:spacing w:after="0" w:line="240"/>
            </w:pPr>
            <w:r>
              <w:rPr>
                <w:rFonts w:ascii="Calibri" w:cs="Calibri" w:eastAsia="Calibri" w:hAnsi="Calibri"/>
                <w:b/>
                <w:bCs/>
                <w:i w:val="false"/>
                <w:iCs w:val="false"/>
                <w:color w:val="1F4D78"/>
                <w:sz w:val="20"/>
                <w:szCs w:val="20"/>
              </w:rPr>
              <w:t xml:space="preserve">Risk</w:t>
            </w:r>
          </w:p>
        </w:tc>
        <w:tc>
          <w:tcPr>
            <w:tcW w:type="dxa" w:w="6660"/>
            <w:shd w:fill="F2F4F7" w:val="clear"/>
            <w:tcMar>
              <w:top w:type="dxa" w:w="80"/>
              <w:left w:type="dxa" w:w="120"/>
              <w:bottom w:type="dxa" w:w="80"/>
              <w:right w:type="dxa" w:w="120"/>
            </w:tcMar>
            <w:vAlign w:val="center"/>
          </w:tcPr>
          <w:p>
            <w:pPr>
              <w:spacing w:after="0" w:line="240"/>
            </w:pPr>
            <w:r>
              <w:rPr>
                <w:rFonts w:ascii="Calibri" w:cs="Calibri" w:eastAsia="Calibri" w:hAnsi="Calibri"/>
                <w:b/>
                <w:bCs/>
                <w:i w:val="false"/>
                <w:iCs w:val="false"/>
                <w:color w:val="1F4D78"/>
                <w:sz w:val="20"/>
                <w:szCs w:val="20"/>
              </w:rPr>
              <w:t xml:space="preserve">Control / treatment</w:t>
            </w:r>
          </w:p>
        </w:tc>
      </w:tr>
      <w:tr>
        <w:trPr>
          <w:cantSplit/>
        </w:trPr>
        <w:tc>
          <w:tcPr>
            <w:tcW w:type="dxa" w:w="27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Small or suppressed rent samples</w:t>
            </w:r>
          </w:p>
        </w:tc>
        <w:tc>
          <w:tcPr>
            <w:tcW w:type="dxa" w:w="666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Exclude fewer than 10 published bonds; display sample quality and unscored records.</w:t>
            </w:r>
          </w:p>
        </w:tc>
      </w:tr>
      <w:tr>
        <w:trPr>
          <w:cantSplit/>
        </w:trPr>
        <w:tc>
          <w:tcPr>
            <w:tcW w:type="dxa" w:w="27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Period mismatch</w:t>
            </w:r>
          </w:p>
        </w:tc>
        <w:tc>
          <w:tcPr>
            <w:tcW w:type="dxa" w:w="666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State every reference period; label income as a 2021-based proxy.</w:t>
            </w:r>
          </w:p>
        </w:tc>
      </w:tr>
      <w:tr>
        <w:trPr>
          <w:cantSplit/>
        </w:trPr>
        <w:tc>
          <w:tcPr>
            <w:tcW w:type="dxa" w:w="27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Approval misinterpretation</w:t>
            </w:r>
          </w:p>
        </w:tc>
        <w:tc>
          <w:tcPr>
            <w:tcW w:type="dxa" w:w="666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Use “approved supply/pipeline”; never call approvals completed homes.</w:t>
            </w:r>
          </w:p>
        </w:tc>
      </w:tr>
      <w:tr>
        <w:trPr>
          <w:cantSplit/>
        </w:trPr>
        <w:tc>
          <w:tcPr>
            <w:tcW w:type="dxa" w:w="27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Workbook schema drift</w:t>
            </w:r>
          </w:p>
        </w:tc>
        <w:tc>
          <w:tcPr>
            <w:tcW w:type="dxa" w:w="666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Validate files, sheets, columns, positions, ZIP members, uniqueness and key coverage.</w:t>
            </w:r>
          </w:p>
        </w:tc>
      </w:tr>
      <w:tr>
        <w:trPr>
          <w:cantSplit/>
        </w:trPr>
        <w:tc>
          <w:tcPr>
            <w:tcW w:type="dxa" w:w="27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Invalid ratios</w:t>
            </w:r>
          </w:p>
        </w:tc>
        <w:tc>
          <w:tcPr>
            <w:tcW w:type="dxa" w:w="666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Calculate only with positive finite denominators.</w:t>
            </w:r>
          </w:p>
        </w:tc>
      </w:tr>
      <w:tr>
        <w:trPr>
          <w:cantSplit/>
        </w:trPr>
        <w:tc>
          <w:tcPr>
            <w:tcW w:type="dxa" w:w="27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Partial output after interruption</w:t>
            </w:r>
          </w:p>
        </w:tc>
        <w:tc>
          <w:tcPr>
            <w:tcW w:type="dxa" w:w="666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Write generated CSVs atomically.</w:t>
            </w:r>
          </w:p>
        </w:tc>
      </w:tr>
      <w:tr>
        <w:trPr>
          <w:cantSplit/>
        </w:trPr>
        <w:tc>
          <w:tcPr>
            <w:tcW w:type="dxa" w:w="27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Interface regression</w:t>
            </w:r>
          </w:p>
        </w:tc>
        <w:tc>
          <w:tcPr>
            <w:tcW w:type="dxa" w:w="666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Run unit/contract tests plus desktop and narrow-width browser checks.</w:t>
            </w:r>
          </w:p>
        </w:tc>
      </w:tr>
      <w:tr>
        <w:trPr>
          <w:cantSplit/>
        </w:trPr>
        <w:tc>
          <w:tcPr>
            <w:tcW w:type="dxa" w:w="27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Documentation drift</w:t>
            </w:r>
          </w:p>
        </w:tc>
        <w:tc>
          <w:tcPr>
            <w:tcW w:type="dxa" w:w="666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Update documents after implementation and verification settle.</w:t>
            </w:r>
          </w:p>
        </w:tc>
      </w:tr>
    </w:tbl>
    <w:p>
      <w:pPr>
        <w:pStyle w:val="Heading2"/>
        <w:keepNext/>
      </w:pPr>
      <w:r>
        <w:t xml:space="preserve">Release acceptance criteria</w:t>
      </w:r>
    </w:p>
    <w:p>
      <w:pPr>
        <w:pStyle w:val="ListParagraph"/>
        <w:numPr>
          <w:ilvl w:val="0"/>
          <w:numId w:val="2"/>
        </w:numPr>
        <w:spacing w:after="160" w:line="280"/>
      </w:pPr>
      <w:r>
        <w:rPr>
          <w:rFonts w:ascii="Calibri" w:cs="Calibri" w:eastAsia="Calibri" w:hAnsi="Calibri"/>
          <w:b w:val="false"/>
          <w:bCs w:val="false"/>
          <w:i w:val="false"/>
          <w:iCs w:val="false"/>
          <w:color w:val="1F2937"/>
          <w:sz w:val="22"/>
          <w:szCs w:val="22"/>
        </w:rPr>
        <w:t xml:space="preserve">`python -m src.pipeline` completes and regenerates all documented processed files.</w:t>
      </w:r>
    </w:p>
    <w:p>
      <w:pPr>
        <w:pStyle w:val="ListParagraph"/>
        <w:numPr>
          <w:ilvl w:val="0"/>
          <w:numId w:val="2"/>
        </w:numPr>
        <w:spacing w:after="160" w:line="280"/>
      </w:pPr>
      <w:r>
        <w:rPr>
          <w:rFonts w:ascii="Calibri" w:cs="Calibri" w:eastAsia="Calibri" w:hAnsi="Calibri"/>
          <w:b w:val="false"/>
          <w:bCs w:val="false"/>
          <w:i w:val="false"/>
          <w:iCs w:val="false"/>
          <w:color w:val="1F2937"/>
          <w:sz w:val="22"/>
          <w:szCs w:val="22"/>
        </w:rPr>
        <w:t xml:space="preserve">`pytest -q` passes locally; CI passes on Python 3.10 and 3.12.</w:t>
      </w:r>
    </w:p>
    <w:p>
      <w:pPr>
        <w:pStyle w:val="ListParagraph"/>
        <w:numPr>
          <w:ilvl w:val="0"/>
          <w:numId w:val="2"/>
        </w:numPr>
        <w:spacing w:after="160" w:line="280"/>
      </w:pPr>
      <w:r>
        <w:rPr>
          <w:rFonts w:ascii="Calibri" w:cs="Calibri" w:eastAsia="Calibri" w:hAnsi="Calibri"/>
          <w:b w:val="false"/>
          <w:bCs w:val="false"/>
          <w:i w:val="false"/>
          <w:iCs w:val="false"/>
          <w:color w:val="1F2937"/>
          <w:sz w:val="22"/>
          <w:szCs w:val="22"/>
        </w:rPr>
        <w:t xml:space="preserve">71 ABS-coded local areas are produced, with the eligible/complete count explained.</w:t>
      </w:r>
    </w:p>
    <w:p>
      <w:pPr>
        <w:pStyle w:val="ListParagraph"/>
        <w:numPr>
          <w:ilvl w:val="0"/>
          <w:numId w:val="2"/>
        </w:numPr>
        <w:spacing w:after="160" w:line="280"/>
      </w:pPr>
      <w:r>
        <w:rPr>
          <w:rFonts w:ascii="Calibri" w:cs="Calibri" w:eastAsia="Calibri" w:hAnsi="Calibri"/>
          <w:b w:val="false"/>
          <w:bCs w:val="false"/>
          <w:i w:val="false"/>
          <w:iCs w:val="false"/>
          <w:color w:val="1F2937"/>
          <w:sz w:val="22"/>
          <w:szCs w:val="22"/>
        </w:rPr>
        <w:t xml:space="preserve">No aggregate state row appears in local rankings; keys remain unique.</w:t>
      </w:r>
    </w:p>
    <w:p>
      <w:pPr>
        <w:pStyle w:val="ListParagraph"/>
        <w:numPr>
          <w:ilvl w:val="0"/>
          <w:numId w:val="2"/>
        </w:numPr>
        <w:spacing w:after="160" w:line="280"/>
      </w:pPr>
      <w:r>
        <w:rPr>
          <w:rFonts w:ascii="Calibri" w:cs="Calibri" w:eastAsia="Calibri" w:hAnsi="Calibri"/>
          <w:b w:val="false"/>
          <w:bCs w:val="false"/>
          <w:i w:val="false"/>
          <w:iCs w:val="false"/>
          <w:color w:val="1F2937"/>
          <w:sz w:val="22"/>
          <w:szCs w:val="22"/>
        </w:rPr>
        <w:t xml:space="preserve">Every dashboard tab, filter, empty state and download is checked in a browser.</w:t>
      </w:r>
    </w:p>
    <w:p>
      <w:pPr>
        <w:pStyle w:val="ListParagraph"/>
        <w:numPr>
          <w:ilvl w:val="0"/>
          <w:numId w:val="2"/>
        </w:numPr>
        <w:spacing w:after="160" w:line="280"/>
      </w:pPr>
      <w:r>
        <w:rPr>
          <w:rFonts w:ascii="Calibri" w:cs="Calibri" w:eastAsia="Calibri" w:hAnsi="Calibri"/>
          <w:b w:val="false"/>
          <w:bCs w:val="false"/>
          <w:i w:val="false"/>
          <w:iCs w:val="false"/>
          <w:color w:val="1F2937"/>
          <w:sz w:val="22"/>
          <w:szCs w:val="22"/>
        </w:rPr>
        <w:t xml:space="preserve">The rent-to-income proxy, approvals caveat, relative-score meaning and partial periods remain visible.</w:t>
      </w:r>
    </w:p>
    <w:p>
      <w:pPr>
        <w:pStyle w:val="ListParagraph"/>
        <w:numPr>
          <w:ilvl w:val="0"/>
          <w:numId w:val="2"/>
        </w:numPr>
        <w:spacing w:after="160" w:line="280"/>
      </w:pPr>
      <w:r>
        <w:rPr>
          <w:rFonts w:ascii="Calibri" w:cs="Calibri" w:eastAsia="Calibri" w:hAnsi="Calibri"/>
          <w:b w:val="false"/>
          <w:bCs w:val="false"/>
          <w:i w:val="false"/>
          <w:iCs w:val="false"/>
          <w:color w:val="1F2937"/>
          <w:sz w:val="22"/>
          <w:szCs w:val="22"/>
        </w:rPr>
        <w:t xml:space="preserve">README, data dictionary, source register and project status match the released code and data.</w:t>
      </w:r>
    </w:p>
    <w:p>
      <w:r>
        <w:br w:type="page"/>
      </w:r>
    </w:p>
    <w:p>
      <w:pPr>
        <w:pStyle w:val="Heading1"/>
        <w:keepNext/>
      </w:pPr>
      <w:r>
        <w:t xml:space="preserve">7. Roadmap and maintenance workflow</w:t>
      </w:r>
    </w:p>
    <w:p>
      <w:pPr>
        <w:pStyle w:val="Heading2"/>
        <w:keepNext/>
      </w:pPr>
      <w:r>
        <w:t xml:space="preserve">Release sequence</w:t>
      </w:r>
    </w:p>
    <w:p>
      <w:pPr>
        <w:pStyle w:val="ListParagraph"/>
        <w:numPr>
          <w:ilvl w:val="0"/>
          <w:numId w:val="3"/>
        </w:numPr>
        <w:spacing w:after="160" w:line="280"/>
      </w:pPr>
      <w:r>
        <w:rPr>
          <w:rFonts w:ascii="Calibri" w:cs="Calibri" w:eastAsia="Calibri" w:hAnsi="Calibri"/>
          <w:b w:val="false"/>
          <w:bCs w:val="false"/>
          <w:i w:val="false"/>
          <w:iCs w:val="false"/>
          <w:color w:val="1F2937"/>
          <w:sz w:val="22"/>
          <w:szCs w:val="22"/>
        </w:rPr>
        <w:t xml:space="preserve">Replace raw sources only by adding a new dated release; preserve prior raw files.</w:t>
      </w:r>
    </w:p>
    <w:p>
      <w:pPr>
        <w:pStyle w:val="ListParagraph"/>
        <w:numPr>
          <w:ilvl w:val="0"/>
          <w:numId w:val="3"/>
        </w:numPr>
        <w:spacing w:after="160" w:line="280"/>
      </w:pPr>
      <w:r>
        <w:rPr>
          <w:rFonts w:ascii="Calibri" w:cs="Calibri" w:eastAsia="Calibri" w:hAnsi="Calibri"/>
          <w:b w:val="false"/>
          <w:bCs w:val="false"/>
          <w:i w:val="false"/>
          <w:iCs w:val="false"/>
          <w:color w:val="1F2937"/>
          <w:sz w:val="22"/>
          <w:szCs w:val="22"/>
        </w:rPr>
        <w:t xml:space="preserve">Update source constants and period labels where the release requires them.</w:t>
      </w:r>
    </w:p>
    <w:p>
      <w:pPr>
        <w:pStyle w:val="ListParagraph"/>
        <w:numPr>
          <w:ilvl w:val="0"/>
          <w:numId w:val="3"/>
        </w:numPr>
        <w:spacing w:after="160" w:line="280"/>
      </w:pPr>
      <w:r>
        <w:rPr>
          <w:rFonts w:ascii="Calibri" w:cs="Calibri" w:eastAsia="Calibri" w:hAnsi="Calibri"/>
          <w:b w:val="false"/>
          <w:bCs w:val="false"/>
          <w:i w:val="false"/>
          <w:iCs w:val="false"/>
          <w:color w:val="1F2937"/>
          <w:sz w:val="22"/>
          <w:szCs w:val="22"/>
        </w:rPr>
        <w:t xml:space="preserve">Inspect source schema and run the pipeline contract validations.</w:t>
      </w:r>
    </w:p>
    <w:p>
      <w:pPr>
        <w:pStyle w:val="ListParagraph"/>
        <w:numPr>
          <w:ilvl w:val="0"/>
          <w:numId w:val="3"/>
        </w:numPr>
        <w:spacing w:after="160" w:line="280"/>
      </w:pPr>
      <w:r>
        <w:rPr>
          <w:rFonts w:ascii="Calibri" w:cs="Calibri" w:eastAsia="Calibri" w:hAnsi="Calibri"/>
          <w:b w:val="false"/>
          <w:bCs w:val="false"/>
          <w:i w:val="false"/>
          <w:iCs w:val="false"/>
          <w:color w:val="1F2937"/>
          <w:sz w:val="22"/>
          <w:szCs w:val="22"/>
        </w:rPr>
        <w:t xml:space="preserve">Reconcile totals, review aliases and investigate every unmatched area.</w:t>
      </w:r>
    </w:p>
    <w:p>
      <w:pPr>
        <w:pStyle w:val="ListParagraph"/>
        <w:numPr>
          <w:ilvl w:val="0"/>
          <w:numId w:val="3"/>
        </w:numPr>
        <w:spacing w:after="160" w:line="280"/>
      </w:pPr>
      <w:r>
        <w:rPr>
          <w:rFonts w:ascii="Calibri" w:cs="Calibri" w:eastAsia="Calibri" w:hAnsi="Calibri"/>
          <w:b w:val="false"/>
          <w:bCs w:val="false"/>
          <w:i w:val="false"/>
          <w:iCs w:val="false"/>
          <w:color w:val="1F2937"/>
          <w:sz w:val="22"/>
          <w:szCs w:val="22"/>
        </w:rPr>
        <w:t xml:space="preserve">Run the full test suite and browser verification.</w:t>
      </w:r>
    </w:p>
    <w:p>
      <w:pPr>
        <w:pStyle w:val="ListParagraph"/>
        <w:numPr>
          <w:ilvl w:val="0"/>
          <w:numId w:val="3"/>
        </w:numPr>
        <w:spacing w:after="160" w:line="280"/>
      </w:pPr>
      <w:r>
        <w:rPr>
          <w:rFonts w:ascii="Calibri" w:cs="Calibri" w:eastAsia="Calibri" w:hAnsi="Calibri"/>
          <w:b w:val="false"/>
          <w:bCs w:val="false"/>
          <w:i w:val="false"/>
          <w:iCs w:val="false"/>
          <w:color w:val="1F2937"/>
          <w:sz w:val="22"/>
          <w:szCs w:val="22"/>
        </w:rPr>
        <w:t xml:space="preserve">Update the source register, project status and user-facing period labels.</w:t>
      </w:r>
    </w:p>
    <w:p>
      <w:pPr>
        <w:pStyle w:val="Heading2"/>
        <w:keepNext/>
      </w:pPr>
      <w:r>
        <w:t xml:space="preserve">Evidence roadmap</w:t>
      </w:r>
    </w:p>
    <w:tbl>
      <w:tblPr>
        <w:tblW w:type="dxa" w:w="9360"/>
        <w:tblInd w:type="dxa" w:w="120"/>
        <w:tblBorders>
          <w:top w:val="single" w:color="C7CDD4" w:sz="4"/>
          <w:left w:val="single" w:color="C7CDD4" w:sz="4"/>
          <w:bottom w:val="single" w:color="C7CDD4" w:sz="4"/>
          <w:right w:val="single" w:color="C7CDD4" w:sz="4"/>
          <w:insideH w:val="single" w:color="C7CDD4" w:sz="4"/>
          <w:insideV w:val="single" w:color="C7CDD4" w:sz="4"/>
        </w:tblBorders>
        <w:tblLayout w:type="fixed"/>
      </w:tblPr>
      <w:tblGrid>
        <w:gridCol w:w="100"/>
        <w:gridCol w:w="100"/>
        <w:gridCol w:w="100"/>
      </w:tblGrid>
      <w:tr>
        <w:trPr>
          <w:tblHeader/>
        </w:trPr>
        <w:tc>
          <w:tcPr>
            <w:tcW w:type="dxa" w:w="1100"/>
            <w:shd w:fill="F2F4F7" w:val="clear"/>
            <w:tcMar>
              <w:top w:type="dxa" w:w="80"/>
              <w:left w:type="dxa" w:w="120"/>
              <w:bottom w:type="dxa" w:w="80"/>
              <w:right w:type="dxa" w:w="120"/>
            </w:tcMar>
            <w:vAlign w:val="center"/>
          </w:tcPr>
          <w:p>
            <w:pPr>
              <w:spacing w:after="0" w:line="240"/>
            </w:pPr>
            <w:r>
              <w:rPr>
                <w:rFonts w:ascii="Calibri" w:cs="Calibri" w:eastAsia="Calibri" w:hAnsi="Calibri"/>
                <w:b/>
                <w:bCs/>
                <w:i w:val="false"/>
                <w:iCs w:val="false"/>
                <w:color w:val="1F4D78"/>
                <w:sz w:val="20"/>
                <w:szCs w:val="20"/>
              </w:rPr>
              <w:t xml:space="preserve">Priority</w:t>
            </w:r>
          </w:p>
        </w:tc>
        <w:tc>
          <w:tcPr>
            <w:tcW w:type="dxa" w:w="3450"/>
            <w:shd w:fill="F2F4F7" w:val="clear"/>
            <w:tcMar>
              <w:top w:type="dxa" w:w="80"/>
              <w:left w:type="dxa" w:w="120"/>
              <w:bottom w:type="dxa" w:w="80"/>
              <w:right w:type="dxa" w:w="120"/>
            </w:tcMar>
            <w:vAlign w:val="center"/>
          </w:tcPr>
          <w:p>
            <w:pPr>
              <w:spacing w:after="0" w:line="240"/>
            </w:pPr>
            <w:r>
              <w:rPr>
                <w:rFonts w:ascii="Calibri" w:cs="Calibri" w:eastAsia="Calibri" w:hAnsi="Calibri"/>
                <w:b/>
                <w:bCs/>
                <w:i w:val="false"/>
                <w:iCs w:val="false"/>
                <w:color w:val="1F4D78"/>
                <w:sz w:val="20"/>
                <w:szCs w:val="20"/>
              </w:rPr>
              <w:t xml:space="preserve">Next capability</w:t>
            </w:r>
          </w:p>
        </w:tc>
        <w:tc>
          <w:tcPr>
            <w:tcW w:type="dxa" w:w="4810"/>
            <w:shd w:fill="F2F4F7" w:val="clear"/>
            <w:tcMar>
              <w:top w:type="dxa" w:w="80"/>
              <w:left w:type="dxa" w:w="120"/>
              <w:bottom w:type="dxa" w:w="80"/>
              <w:right w:type="dxa" w:w="120"/>
            </w:tcMar>
            <w:vAlign w:val="center"/>
          </w:tcPr>
          <w:p>
            <w:pPr>
              <w:spacing w:after="0" w:line="240"/>
            </w:pPr>
            <w:r>
              <w:rPr>
                <w:rFonts w:ascii="Calibri" w:cs="Calibri" w:eastAsia="Calibri" w:hAnsi="Calibri"/>
                <w:b/>
                <w:bCs/>
                <w:i w:val="false"/>
                <w:iCs w:val="false"/>
                <w:color w:val="1F4D78"/>
                <w:sz w:val="20"/>
                <w:szCs w:val="20"/>
              </w:rPr>
              <w:t xml:space="preserve">Entry condition</w:t>
            </w:r>
          </w:p>
        </w:tc>
      </w:tr>
      <w:tr>
        <w:trPr>
          <w:cantSplit/>
        </w:trPr>
        <w:tc>
          <w:tcPr>
            <w:tcW w:type="dxa" w:w="11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1</w:t>
            </w:r>
          </w:p>
        </w:tc>
        <w:tc>
          <w:tcPr>
            <w:tcW w:type="dxa" w:w="345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Vacancy and advertised-rent context</w:t>
            </w:r>
          </w:p>
        </w:tc>
        <w:tc>
          <w:tcPr>
            <w:tcW w:type="dxa" w:w="481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Authoritative, geographically compatible and refreshable source.</w:t>
            </w:r>
          </w:p>
        </w:tc>
      </w:tr>
      <w:tr>
        <w:trPr>
          <w:cantSplit/>
        </w:trPr>
        <w:tc>
          <w:tcPr>
            <w:tcW w:type="dxa" w:w="11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2</w:t>
            </w:r>
          </w:p>
        </w:tc>
        <w:tc>
          <w:tcPr>
            <w:tcW w:type="dxa" w:w="345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Commencements and completions</w:t>
            </w:r>
          </w:p>
        </w:tc>
        <w:tc>
          <w:tcPr>
            <w:tcW w:type="dxa" w:w="481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Comparable local geography or a clearly separated state-level view.</w:t>
            </w:r>
          </w:p>
        </w:tc>
      </w:tr>
      <w:tr>
        <w:trPr>
          <w:cantSplit/>
        </w:trPr>
        <w:tc>
          <w:tcPr>
            <w:tcW w:type="dxa" w:w="11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3</w:t>
            </w:r>
          </w:p>
        </w:tc>
        <w:tc>
          <w:tcPr>
            <w:tcW w:type="dxa" w:w="345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Infrastructure-readiness module</w:t>
            </w:r>
          </w:p>
        </w:tc>
        <w:tc>
          <w:tcPr>
            <w:tcW w:type="dxa" w:w="481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Validated capacity data for water, wastewater, transport, schools, health and land sequencing.</w:t>
            </w:r>
          </w:p>
        </w:tc>
      </w:tr>
      <w:tr>
        <w:trPr>
          <w:cantSplit/>
        </w:trPr>
        <w:tc>
          <w:tcPr>
            <w:tcW w:type="dxa" w:w="110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4</w:t>
            </w:r>
          </w:p>
        </w:tc>
        <w:tc>
          <w:tcPr>
            <w:tcW w:type="dxa" w:w="345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New income denominator</w:t>
            </w:r>
          </w:p>
        </w:tc>
        <w:tc>
          <w:tcPr>
            <w:tcW w:type="dxa" w:w="4810"/>
            <w:tcMar>
              <w:top w:type="dxa" w:w="80"/>
              <w:left w:type="dxa" w:w="120"/>
              <w:bottom w:type="dxa" w:w="80"/>
              <w:right w:type="dxa" w:w="120"/>
            </w:tcMar>
            <w:vAlign w:val="center"/>
          </w:tcPr>
          <w:p>
            <w:pPr>
              <w:spacing w:after="0" w:line="240"/>
            </w:pPr>
            <w:r>
              <w:rPr>
                <w:rFonts w:ascii="Calibri" w:cs="Calibri" w:eastAsia="Calibri" w:hAnsi="Calibri"/>
                <w:b w:val="false"/>
                <w:bCs w:val="false"/>
                <w:i w:val="false"/>
                <w:iCs w:val="false"/>
                <w:color w:val="1F2937"/>
                <w:sz w:val="20"/>
                <w:szCs w:val="20"/>
              </w:rPr>
              <w:t xml:space="preserve">Authoritative and methodologically compatible update with documented continuity.</w:t>
            </w:r>
          </w:p>
        </w:tc>
      </w:tr>
    </w:tbl>
    <w:p>
      <w:pPr>
        <w:pStyle w:val="Heading2"/>
        <w:keepNext/>
      </w:pPr>
      <w:r>
        <w:t xml:space="preserve">Approval note</w:t>
      </w:r>
    </w:p>
    <w:p>
      <w:pPr>
        <w:keepNext w:val="false"/>
        <w:spacing w:after="120" w:before="0" w:line="264"/>
        <w:jc w:val="left"/>
      </w:pPr>
      <w:r>
        <w:rPr>
          <w:rFonts w:ascii="Calibri" w:cs="Calibri" w:eastAsia="Calibri" w:hAnsi="Calibri"/>
          <w:b w:val="false"/>
          <w:bCs w:val="false"/>
          <w:i w:val="false"/>
          <w:iCs w:val="false"/>
          <w:color w:val="1F2937"/>
          <w:sz w:val="22"/>
          <w:szCs w:val="22"/>
        </w:rPr>
        <w:t xml:space="preserve">This foundation establishes the present product boundary. Any change to weights, thresholds, eligibility, geography, tie handling or interpretation is a model change requiring tests, documentation and explicit release review.</w:t>
      </w:r>
    </w:p>
    <w:p>
      <w:pPr>
        <w:keepNext w:val="false"/>
        <w:spacing w:after="120" w:before="240" w:line="264"/>
        <w:jc w:val="left"/>
      </w:pPr>
      <w:r>
        <w:rPr>
          <w:rFonts w:ascii="Calibri" w:cs="Calibri" w:eastAsia="Calibri" w:hAnsi="Calibri"/>
          <w:b w:val="false"/>
          <w:bCs w:val="false"/>
          <w:i/>
          <w:iCs/>
          <w:color w:val="5B6573"/>
          <w:sz w:val="22"/>
          <w:szCs w:val="22"/>
        </w:rPr>
        <w:t xml:space="preserve">Prepared as a portfolio Business Analysis foundation document for the South Australian Housing Pressure &amp; Supply Dashboard.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b w:val="false"/>
        <w:bCs w:val="false"/>
        <w:i w:val="false"/>
        <w:iCs w:val="false"/>
        <w:color w:val="5B6573"/>
        <w:sz w:val="18"/>
        <w:szCs w:val="18"/>
      </w:rPr>
      <w:t xml:space="preserve">Page </w:t>
    </w:r>
    <w:r>
      <w:rPr>
        <w:rFonts w:ascii="Calibri" w:cs="Calibri" w:eastAsia="Calibri" w:hAnsi="Calibri"/>
        <w:color w:val="5B65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Calibri" w:cs="Calibri" w:eastAsia="Calibri" w:hAnsi="Calibri"/>
        <w:b/>
        <w:bCs/>
        <w:i w:val="false"/>
        <w:iCs w:val="false"/>
        <w:color w:val="5B6573"/>
        <w:sz w:val="16"/>
        <w:szCs w:val="16"/>
      </w:rPr>
      <w:t xml:space="preserve">SA HOUSING ANALYTICS | BUSINESS ANALYSIS FOUNDATION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60" w:line="280"/>
        <w:ind w:left="720" w:hanging="360"/>
      </w:pPr>
      <w:rPr>
        <w:rFonts w:ascii="Calibri" w:cs="Calibri" w:eastAsia="Calibri" w:hAnsi="Calibri"/>
        <w:color w:val="1F2937"/>
        <w:sz w:val="22"/>
        <w:szCs w:val="22"/>
      </w:rPr>
    </w:lvl>
  </w:abstractNum>
  <w:abstractNum w:abstractNumId="3" w15:restartNumberingAfterBreak="0">
    <w:multiLevelType w:val="hybridMultilevel"/>
    <w:lvl w:ilvl="0" w15:tentative="1">
      <w:start w:val="1"/>
      <w:numFmt w:val="decimal"/>
      <w:lvlText w:val="%1."/>
      <w:lvlJc w:val="left"/>
      <w:pPr>
        <w:spacing w:after="160" w:line="280"/>
        <w:ind w:left="720" w:hanging="360"/>
      </w:pPr>
      <w:rPr>
        <w:rFonts w:ascii="Calibri" w:cs="Calibri" w:eastAsia="Calibri" w:hAnsi="Calibri"/>
        <w:color w:val="1F2937"/>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after="1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line="500"/>
    </w:pPr>
    <w:rPr>
      <w:rFonts w:ascii="Calibri" w:cs="Calibri" w:eastAsia="Calibri" w:hAnsi="Calibri"/>
      <w:b/>
      <w:bCs/>
      <w:color w:val="1F4D78"/>
      <w:sz w:val="44"/>
      <w:szCs w:val="44"/>
    </w:rPr>
  </w:style>
  <w:style w:type="paragraph" w:styleId="Heading1">
    <w:name w:val="Heading 1"/>
    <w:basedOn w:val="Normal"/>
    <w:next w:val="Normal"/>
    <w:qFormat/>
    <w:pPr>
      <w:keepNext/>
      <w:spacing w:after="160" w:before="320"/>
      <w:outlineLvl w:val="0"/>
    </w:pPr>
    <w:rPr>
      <w:rFonts w:ascii="Calibri" w:cs="Calibri" w:eastAsia="Calibri" w:hAnsi="Calibri"/>
      <w:b/>
      <w:bCs/>
      <w:color w:val="2E74B5"/>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keepNext/>
      <w:spacing w:after="80" w:before="160"/>
      <w:outlineLvl w:val="2"/>
    </w:pPr>
    <w:rPr>
      <w:rFonts w:ascii="Calibri" w:cs="Calibri" w:eastAsia="Calibri" w:hAnsi="Calibri"/>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Analysis Foundation - SA Housing Pressure &amp; Supply Dashboard</dc:title>
  <dc:subject>Problem, stakeholders, scope, requirements, methodology, risks, acceptance criteria and roadmap</dc:subject>
  <dc:creator>SA Housing Analytics Project</dc:creator>
  <dc:description>Portfolio business analysis foundation document</dc:description>
  <cp:lastModifiedBy>Un-named</cp:lastModifiedBy>
  <cp:revision>1</cp:revision>
  <dcterms:created xsi:type="dcterms:W3CDTF">2026-06-28T13:57:50.643Z</dcterms:created>
  <dcterms:modified xsi:type="dcterms:W3CDTF">2026-06-28T13:57:50.644Z</dcterms:modified>
</cp:coreProperties>
</file>

<file path=docProps/custom.xml><?xml version="1.0" encoding="utf-8"?>
<Properties xmlns="http://schemas.openxmlformats.org/officeDocument/2006/custom-properties" xmlns:vt="http://schemas.openxmlformats.org/officeDocument/2006/docPropsVTypes"/>
</file>