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 嵌入表测试方案(合成示例)</w:t>
      </w:r>
    </w:p>
    <w:p>
      <w:r>
        <w:t>本文档是阶段 4 步骤 4.2 嵌入表抽取的测试 fixture。所有数据均为虚构,验证 python-docx 抽取表格 + 替换 markitdown 空骨架的流程。文档需达到 G16 路径(密度 ≥ 5% 且字符 ≥ 2000),所以本节会写足够多的描述性正文配合表格出现。</w:t>
      </w:r>
    </w:p>
    <w:p>
      <w:r>
        <w:t>数据库选型对比表如下。表中所有产品代号 / 版本号 / 性能数据均为合成,不代表真实选型结论。表格包含 5 行(含表头) × 3 列(产品 / 关键能力 / 风险点)。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产品代号</w:t>
            </w:r>
          </w:p>
        </w:tc>
        <w:tc>
          <w:tcPr>
            <w:tcW w:type="dxa" w:w="2880"/>
          </w:tcPr>
          <w:p>
            <w:r>
              <w:t>关键能力</w:t>
            </w:r>
          </w:p>
        </w:tc>
        <w:tc>
          <w:tcPr>
            <w:tcW w:type="dxa" w:w="2880"/>
          </w:tcPr>
          <w:p>
            <w:r>
              <w:t>已知风险点</w:t>
            </w:r>
          </w:p>
        </w:tc>
      </w:tr>
      <w:tr>
        <w:tc>
          <w:tcPr>
            <w:tcW w:type="dxa" w:w="2880"/>
          </w:tcPr>
          <w:p>
            <w:r>
              <w:t>产品 X (合成)</w:t>
            </w:r>
          </w:p>
        </w:tc>
        <w:tc>
          <w:tcPr>
            <w:tcW w:type="dxa" w:w="2880"/>
          </w:tcPr>
          <w:p>
            <w:r>
              <w:t>信创适配 + 空间扩展支持</w:t>
            </w:r>
          </w:p>
        </w:tc>
        <w:tc>
          <w:tcPr>
            <w:tcW w:type="dxa" w:w="2880"/>
          </w:tcPr>
          <w:p>
            <w:r>
              <w:t>GIS 函数语法局部不兼容</w:t>
            </w:r>
          </w:p>
        </w:tc>
      </w:tr>
      <w:tr>
        <w:tc>
          <w:tcPr>
            <w:tcW w:type="dxa" w:w="2880"/>
          </w:tcPr>
          <w:p>
            <w:r>
              <w:t>产品 Y (合成)</w:t>
            </w:r>
          </w:p>
        </w:tc>
        <w:tc>
          <w:tcPr>
            <w:tcW w:type="dxa" w:w="2880"/>
          </w:tcPr>
          <w:p>
            <w:r>
              <w:t>开源生态成熟 + 性能领先</w:t>
            </w:r>
          </w:p>
        </w:tc>
        <w:tc>
          <w:tcPr>
            <w:tcW w:type="dxa" w:w="2880"/>
          </w:tcPr>
          <w:p>
            <w:r>
              <w:t>信创资质未覆盖目标客户类别</w:t>
            </w:r>
          </w:p>
        </w:tc>
      </w:tr>
      <w:tr>
        <w:tc>
          <w:tcPr>
            <w:tcW w:type="dxa" w:w="2880"/>
          </w:tcPr>
          <w:p>
            <w:r>
              <w:t>产品 Z (合成)</w:t>
            </w:r>
          </w:p>
        </w:tc>
        <w:tc>
          <w:tcPr>
            <w:tcW w:type="dxa" w:w="2880"/>
          </w:tcPr>
          <w:p>
            <w:r>
              <w:t>原生分布式 + 多副本一致性</w:t>
            </w:r>
          </w:p>
        </w:tc>
        <w:tc>
          <w:tcPr>
            <w:tcW w:type="dxa" w:w="2880"/>
          </w:tcPr>
          <w:p>
            <w:r>
              <w:t>三方依赖较多,运维成本高</w:t>
            </w:r>
          </w:p>
        </w:tc>
      </w:tr>
      <w:tr>
        <w:tc>
          <w:tcPr>
            <w:tcW w:type="dxa" w:w="2880"/>
          </w:tcPr>
          <w:p>
            <w:r>
              <w:t>产品 W (合成)</w:t>
            </w:r>
          </w:p>
        </w:tc>
        <w:tc>
          <w:tcPr>
            <w:tcW w:type="dxa" w:w="2880"/>
          </w:tcPr>
          <w:p>
            <w:r>
              <w:t>国产化彻底 + 政府背书强</w:t>
            </w:r>
          </w:p>
        </w:tc>
        <w:tc>
          <w:tcPr>
            <w:tcW w:type="dxa" w:w="2880"/>
          </w:tcPr>
          <w:p>
            <w:r>
              <w:t>性能较其他产品低 30% 区间</w:t>
            </w:r>
          </w:p>
        </w:tc>
      </w:tr>
    </w:tbl>
    <w:p/>
    <w:p>
      <w:r>
        <w:t>以上是主选型表。合成项目最终选定的是产品 X(合成示例,不指代任何真实产品)。原因是该产品在信创适配上覆盖目标客户类别,且空间扩展函数支持度高;已知 GIS 函数语法不兼容点已在调研阶段评估,通过适配层屏蔽。</w:t>
      </w:r>
    </w:p>
    <w:p>
      <w:r>
        <w:t>下表展示合并单元格示例,验证 python-docx 抽取时的合并单元格行为(预期标 ◀ ▲ 占位 / 视实现而定)。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负责方</w:t>
            </w:r>
          </w:p>
        </w:tc>
      </w:tr>
      <w:tr>
        <w:tc>
          <w:tcPr>
            <w:tcW w:type="dxa" w:w="2880"/>
            <w:vMerge w:val="restart"/>
          </w:tcPr>
          <w:p>
            <w:r>
              <w:t>需求</w:t>
            </w:r>
          </w:p>
          <w:p>
            <w:r>
              <w:t>需求</w:t>
            </w:r>
          </w:p>
        </w:tc>
        <w:tc>
          <w:tcPr>
            <w:tcW w:type="dxa" w:w="2880"/>
          </w:tcPr>
          <w:p>
            <w:r>
              <w:t>需求摸底</w:t>
            </w:r>
          </w:p>
        </w:tc>
        <w:tc>
          <w:tcPr>
            <w:tcW w:type="dxa" w:w="2880"/>
          </w:tcPr>
          <w:p>
            <w:r>
              <w:t>乙方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需求确认</w:t>
            </w:r>
          </w:p>
        </w:tc>
        <w:tc>
          <w:tcPr>
            <w:tcW w:type="dxa" w:w="2880"/>
          </w:tcPr>
          <w:p>
            <w:r>
              <w:t>双方</w:t>
            </w:r>
          </w:p>
        </w:tc>
      </w:tr>
      <w:tr>
        <w:tc>
          <w:tcPr>
            <w:tcW w:type="dxa" w:w="2880"/>
          </w:tcPr>
          <w:p>
            <w:r>
              <w:t>设计</w:t>
            </w:r>
          </w:p>
        </w:tc>
        <w:tc>
          <w:tcPr>
            <w:tcW w:type="dxa" w:w="2880"/>
          </w:tcPr>
          <w:p>
            <w:r>
              <w:t>总体方案设计</w:t>
            </w:r>
          </w:p>
        </w:tc>
        <w:tc>
          <w:tcPr>
            <w:tcW w:type="dxa" w:w="2880"/>
          </w:tcPr>
          <w:p>
            <w:r>
              <w:t>乙方</w:t>
            </w:r>
          </w:p>
        </w:tc>
      </w:tr>
    </w:tbl>
    <w:p/>
    <w:p>
      <w:r>
        <w:t>以上两个表覆盖普通表 + 合并单元格表两个常见 case。markitdown 直接对 docx 转 markdown 时,表格往往出现 `| | |` 这种空骨架行(尤其在合并单元格场景),python-docx 抽取后可生成可靠 markdown 表格,直接 append 到 .md 末尾的 ## 嵌入表(python-docx 抽取版本)段。两份共存的好处:LLM 在 ripgrep 检索表格内容时,markitdown 段命中失败可由 python-docx 段兜底命中。这种 2 路径冗余设计是 v0.2 阶段 4 的核心质量保障。</w:t>
      </w:r>
    </w:p>
    <w:p>
      <w:r>
        <w:t>交付时序详细说明:依照上表设计,合成项目按需求 → 设计 → 实施 → 验收四阶段推进。需求阶段(M0-M1):需求摸底 + 需求确认,乙方主导调研,双方共同 sign-off 需求文档;预期交付 1 份需求规格说明书。设计阶段(M1-M3):总体方案设计 + 详细设计,乙方主导,关键设计点(数据库选型 / 架构选型 / 接口契约)需双方评审通过;预期交付 1 份总体方案、3-5 份详细设计文档。实施阶段(M3-M7):编码 + 单元测试 + 集成测试,乙方主导,周度进度同步;预期交付可运行的合成平台 X 二进制 + 单元测试报告 + 集成测试报告。验收阶段(M7-M9):甲方初验 → 整改 → 终验,双方共同确认验收标准,初验整改周期不超过 4 周;预期交付验收报告 + 运维手册 + 用户培训材料。每阶段交付物均与本文档对应章节绑定,本 fixture 不展开各阶段具体细节。</w:t>
      </w:r>
    </w:p>
    <w:p>
      <w:r>
        <w:t>性能验收标准详述:合成项目要求主选型产品 X 在测试集上达到 P95 延迟 &lt; 200ms,QPS &gt; 500;P99 延迟 &lt; 500ms。测试数据集规模:10 万空间要素 + 1000 万业务记录(合成数据);测试场景包括典型查询、典型空间分析、典型可视化渲染三大类各 50 个 case。性能未达标时按既定降级方案处理:P95 &lt; 300ms 仍可接受,但需要乙方提交性能改进计划;P95 ≥ 300ms 直接判验收不通过。以上指标均为合成数据,不代表真实项目验收指标。本文档作为 V6 fixture 也刻意写长以触发 G16 路径,确保 ingest.py 的 extract_docx_tables 函数能在 G16 三件共存路径下被调用,在 .md 末尾追加 ## 嵌入表(python-docx 抽取版本) 补段。</w:t>
      </w:r>
    </w:p>
    <w:p>
      <w:r>
        <w:t>额外正文段:为了确保 markitdown 转出后 char_count ≥ 2000 触发 G16 三件共存路径而非 G18 stub-only,本段刻意加更多业务描述性文字作为缓冲。合成示例平台 X 的运维支撑方案包含以下要点:1) 监控告警体系基于 Prometheus + Grafana + Alertmanager 三件套,关键指标包括 CPU 使用率、内存使用率、磁盘 I/O、网络带宽、应用错误率、API 响应延迟等;2) 日志体系基于 ELK 栈,所有日志通过 Filebeat 采集到 Logstash 处理后入 Elasticsearch,Kibana 提供查询与可视化;3) 备份体系包括数据库每日全量 + 每小时增量,关键配置文件版本化管理;4) 灾备体系包括主备双机房 + 异步复制 + RPO ≤ 1 小时 / RTO ≤ 4 小时。以上方案均为合成示例,不代表真实交付内容。</w:t>
      </w:r>
    </w:p>
    <w:p>
      <w:r>
        <w:t>培训计划详述:合成项目交付前需完成 3 类培训。第一类是用户操作培训,面向最终用户,内容覆盖系统功能介绍、常用操作流程、典型问题处置;预期 2 天 4 学时。第二类是运维管理培训,面向运维人员,内容覆盖系统部署、日常巡检、故障排查、应急处置;预期 3 天 6 学时。第三类是开发对接培训,面向开发人员,内容覆盖系统架构、接口规范、二次开发流程、典型扩展案例;预期 2 天 4 学时。所有培训均提供配套培训材料、操作手册、视频回放。培训完成后由甲方组织考核,考核通过率 ≥ 80% 方可启动验收。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