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测试演示项目 2026 年度技术服务采购</w:t>
      </w:r>
    </w:p>
    <w:p>
      <w:pPr>
        <w:pStyle w:val="Heading1"/>
      </w:pPr>
      <w:r>
        <w:t>1 概述</w:t>
      </w:r>
    </w:p>
    <w:p>
      <w:r>
        <w:t>本项目概述。</w:t>
      </w:r>
    </w:p>
    <w:p>
      <w:pPr>
        <w:pStyle w:val="Heading1"/>
      </w:pPr>
      <w:r>
        <w:t>2 实施方案</w:t>
      </w:r>
    </w:p>
    <w:p>
      <w:r>
        <w:t>技术方案的实施细节,详见 8.5 节,该节描述详细流程。</w:t>
      </w:r>
    </w:p>
    <w:p>
      <w:pPr>
        <w:pStyle w:val="Heading1"/>
      </w:pPr>
      <w:r>
        <w:t>3 质量保障</w:t>
      </w:r>
    </w:p>
    <w:p>
      <w:r>
        <w:t>质量保障措施按章节执行。</w:t>
      </w:r>
    </w:p>
    <w:p>
      <w:pPr>
        <w:pStyle w:val="Heading1"/>
      </w:pPr>
      <w:r>
        <w:t>4 服务承诺</w:t>
      </w:r>
    </w:p>
    <w:p>
      <w:pPr>
        <w:pStyle w:val="Heading2"/>
      </w:pPr>
      <w:r>
        <w:t>4.1 响应时间</w:t>
      </w:r>
    </w:p>
    <w:p>
      <w:r>
        <w:t>响应时间 4 小时内。</w:t>
      </w:r>
    </w:p>
    <w:p>
      <w:pPr>
        <w:pStyle w:val="Heading1"/>
      </w:pPr>
      <w:r>
        <w:t>5 附录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依据</w:t>
            </w:r>
          </w:p>
        </w:tc>
      </w:tr>
      <w:tr>
        <w:tc>
          <w:tcPr>
            <w:tcW w:type="dxa" w:w="4320"/>
          </w:tcPr>
          <w:p>
            <w:r>
              <w:t>应急响应</w:t>
            </w:r>
          </w:p>
        </w:tc>
        <w:tc>
          <w:tcPr>
            <w:tcW w:type="dxa" w:w="4320"/>
          </w:tcPr>
          <w:p>
            <w:r>
              <w:t>详见 9.1 节标准执行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