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投标文件</w:t>
      </w:r>
    </w:p>
    <w:p>
      <w:r>
        <w:t>投标人:示例投标方 ALPHA</w:t>
      </w:r>
    </w:p>
    <w:p>
      <w:r>
        <w:t>目录</w:t>
      </w:r>
    </w:p>
    <w:p>
      <w:pPr>
        <w:pStyle w:val="Heading1"/>
      </w:pPr>
      <w:r>
        <w:t>第一章 项目管理体系</w:t>
      </w:r>
    </w:p>
    <w:p>
      <w:r>
        <w:t>本投标方在项目管理体系方面采用 PMBOK 与敏捷方法论,建立分层管理机制并完全响应招标文件要求。</w:t>
      </w:r>
    </w:p>
    <w:p>
      <w:pPr>
        <w:pStyle w:val="Heading1"/>
      </w:pPr>
      <w:r>
        <w:t>第二章 技术方案完整性</w:t>
      </w:r>
    </w:p>
    <w:p>
      <w:r>
        <w:t>技术方案完整性是核心要素,包括完整架构和模块化设计。本部分内容完全满足★实质性响应条款的所有要求。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SimSun"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