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hd w:val="clear" w:color="auto" w:fill="000000"/>
      </w:pPr>
      <w:r>
        <w:rPr>
          <w:b/>
        </w:rPr>
        <w:t>Ficha técnica: Portafolio de acciones                Fecha de inversión: 2024-03-05                    Fecha de análisis: 2024-12-02</w:t>
      </w:r>
    </w:p>
    <w:p>
      <w:r>
        <w:rPr>
          <w:b/>
        </w:rPr>
        <w:t xml:space="preserve">Retorno Acumulado del portafolio frente al Benchmark </w:t>
        <w:br/>
      </w:r>
      <w:r>
        <w:rPr>
          <w:b/>
        </w:rPr>
        <w:t>Benchamark:</w:t>
      </w:r>
      <w:r>
        <w:t xml:space="preserve"> S&amp;P 500</w:t>
      </w:r>
    </w:p>
    <w:tbl>
      <w:tblPr>
        <w:tblStyle w:val="TableGrid"/>
        <w:tblW w:type="auto" w:w="0"/>
        <w:tblLook w:firstColumn="1" w:firstRow="1" w:lastColumn="0" w:lastRow="0" w:noHBand="0" w:noVBand="1" w:val="04A0"/>
      </w:tblPr>
      <w:tblGrid>
        <w:gridCol w:w="2275"/>
        <w:gridCol w:w="2275"/>
        <w:gridCol w:w="2275"/>
        <w:gridCol w:w="2275"/>
        <w:gridCol w:w="2275"/>
      </w:tblGrid>
      <w:tr>
        <w:tc>
          <w:tcPr>
            <w:tcW w:type="dxa" w:w="2275"/>
          </w:tcPr>
          <w:p>
            <w:r/>
          </w:p>
        </w:tc>
        <w:tc>
          <w:tcPr>
            <w:tcW w:type="dxa" w:w="2275"/>
          </w:tcPr>
          <w:p>
            <w:r>
              <w:t>Acumulado</w:t>
            </w:r>
          </w:p>
        </w:tc>
        <w:tc>
          <w:tcPr>
            <w:tcW w:type="dxa" w:w="2275"/>
          </w:tcPr>
          <w:p>
            <w:r>
              <w:t>Ultimo mes</w:t>
            </w:r>
          </w:p>
        </w:tc>
        <w:tc>
          <w:tcPr>
            <w:tcW w:type="dxa" w:w="2275"/>
          </w:tcPr>
          <w:p>
            <w:r>
              <w:t>Ultimo año</w:t>
            </w:r>
          </w:p>
        </w:tc>
        <w:tc>
          <w:tcPr>
            <w:tcW w:type="dxa" w:w="2275"/>
          </w:tcPr>
          <w:p>
            <w:r>
              <w:t>Ultimos 5 años</w:t>
            </w:r>
          </w:p>
        </w:tc>
      </w:tr>
      <w:tr>
        <w:tc>
          <w:tcPr>
            <w:tcW w:type="dxa" w:w="2275"/>
          </w:tcPr>
          <w:p>
            <w:r>
              <w:t>Retorno anualizado</w:t>
            </w:r>
          </w:p>
        </w:tc>
        <w:tc>
          <w:tcPr>
            <w:tcW w:type="dxa" w:w="2275"/>
          </w:tcPr>
          <w:p>
            <w:r>
              <w:t>32.39%</w:t>
            </w:r>
          </w:p>
        </w:tc>
        <w:tc>
          <w:tcPr>
            <w:tcW w:type="dxa" w:w="2275"/>
          </w:tcPr>
          <w:p>
            <w:r>
              <w:t>1.38%</w:t>
            </w:r>
          </w:p>
        </w:tc>
        <w:tc>
          <w:tcPr>
            <w:tcW w:type="dxa" w:w="2275"/>
          </w:tcPr>
          <w:p>
            <w:r>
              <w:t>38.31%</w:t>
            </w:r>
          </w:p>
        </w:tc>
        <w:tc>
          <w:tcPr>
            <w:tcW w:type="dxa" w:w="2275"/>
          </w:tcPr>
          <w:p>
            <w:r>
              <w:t>24.56%</w:t>
            </w:r>
          </w:p>
        </w:tc>
      </w:tr>
      <w:tr>
        <w:tc>
          <w:tcPr>
            <w:tcW w:type="dxa" w:w="2275"/>
          </w:tcPr>
          <w:p>
            <w:r>
              <w:t>Volatilidad anualizada</w:t>
            </w:r>
          </w:p>
        </w:tc>
        <w:tc>
          <w:tcPr>
            <w:tcW w:type="dxa" w:w="2275"/>
          </w:tcPr>
          <w:p>
            <w:r>
              <w:t>26.79%</w:t>
            </w:r>
          </w:p>
        </w:tc>
        <w:tc>
          <w:tcPr>
            <w:tcW w:type="dxa" w:w="2275"/>
          </w:tcPr>
          <w:p>
            <w:r>
              <w:t>39.59%</w:t>
            </w:r>
          </w:p>
        </w:tc>
        <w:tc>
          <w:tcPr>
            <w:tcW w:type="dxa" w:w="2275"/>
          </w:tcPr>
          <w:p>
            <w:r>
              <w:t>25.19%</w:t>
            </w:r>
          </w:p>
        </w:tc>
        <w:tc>
          <w:tcPr>
            <w:tcW w:type="dxa" w:w="2275"/>
          </w:tcPr>
          <w:p>
            <w:r>
              <w:t>32.83%</w:t>
            </w:r>
          </w:p>
        </w:tc>
      </w:tr>
      <w:tr>
        <w:tc>
          <w:tcPr>
            <w:tcW w:type="dxa" w:w="2275"/>
          </w:tcPr>
          <w:p>
            <w:r>
              <w:t>Retorno del benchmark</w:t>
            </w:r>
          </w:p>
        </w:tc>
        <w:tc>
          <w:tcPr>
            <w:tcW w:type="dxa" w:w="2275"/>
          </w:tcPr>
          <w:p>
            <w:r>
              <w:t>13.66%</w:t>
            </w:r>
          </w:p>
        </w:tc>
        <w:tc>
          <w:tcPr>
            <w:tcW w:type="dxa" w:w="2275"/>
          </w:tcPr>
          <w:p>
            <w:r>
              <w:t>0.42%</w:t>
            </w:r>
          </w:p>
        </w:tc>
        <w:tc>
          <w:tcPr>
            <w:tcW w:type="dxa" w:w="2275"/>
          </w:tcPr>
          <w:p>
            <w:r>
              <w:t>31.57%</w:t>
            </w:r>
          </w:p>
        </w:tc>
        <w:tc>
          <w:tcPr>
            <w:tcW w:type="dxa" w:w="2275"/>
          </w:tcPr>
          <w:p>
            <w:r>
              <w:t>14.11%</w:t>
            </w:r>
          </w:p>
        </w:tc>
      </w:tr>
    </w:tbl>
    <w:tbl>
      <w:tblPr>
        <w:tblW w:type="auto" w:w="0"/>
        <w:tblLook w:firstColumn="1" w:firstRow="1" w:lastColumn="0" w:lastRow="0" w:noHBand="0" w:noVBand="1" w:val="04A0"/>
      </w:tblPr>
      <w:tblGrid>
        <w:gridCol w:w="5688"/>
        <w:gridCol w:w="5688"/>
      </w:tblGrid>
      <w:tr>
        <w:tc>
          <w:tcPr>
            <w:tcW w:type="dxa" w:w="5688"/>
          </w:tcPr>
          <w:p>
            <w:pPr>
              <w:jc w:val="both"/>
            </w:pPr>
            <w:r>
              <w:rPr>
                <w:b/>
              </w:rPr>
              <w:t xml:space="preserve"> </w:t>
              <w:br/>
              <w:t xml:space="preserve">  </w:t>
              <w:br/>
              <w:t xml:space="preserve">Descripción de la estrategía: </w:t>
            </w:r>
            <w:r>
              <w:t>El portafolio se encuentra compuesto en su mayoría por renta variable, en conjunto con instrumentos para seguir el comportamiento de otras materias primas. El portafolio es de alto riesgo, al incluir en su mayoría instrumentos de renta variable. El portafolio posee una exposición a múltiples monedas, al igual que posee activos de renta variable de múltiples países y de múltiples sectores.</w:t>
            </w:r>
          </w:p>
          <w:p>
            <w:r>
              <w:rPr>
                <w:b/>
              </w:rPr>
              <w:t xml:space="preserve">Sharpe ratio: {{sharpe}} </w:t>
              <w:br/>
              <w:t xml:space="preserve">Numero de activos: {{n_activos}}  </w:t>
              <w:br/>
              <w:t xml:space="preserve">VaR(95% 1-año): {{VaR}} </w:t>
              <w:br/>
              <w:t xml:space="preserve">Tasa de captura de PyG: {{PyG}} </w:t>
            </w:r>
          </w:p>
        </w:tc>
        <w:tc>
          <w:tcPr>
            <w:tcW w:type="dxa" w:w="5688"/>
          </w:tcPr>
          <w:p/>
          <w:p>
            <w:r>
              <w:drawing>
                <wp:inline xmlns:a="http://schemas.openxmlformats.org/drawingml/2006/main" xmlns:pic="http://schemas.openxmlformats.org/drawingml/2006/picture">
                  <wp:extent cx="3657600" cy="2884266"/>
                  <wp:docPr id="1" name="Picture 1"/>
                  <wp:cNvGraphicFramePr>
                    <a:graphicFrameLocks noChangeAspect="1"/>
                  </wp:cNvGraphicFramePr>
                  <a:graphic>
                    <a:graphicData uri="http://schemas.openxmlformats.org/drawingml/2006/picture">
                      <pic:pic>
                        <pic:nvPicPr>
                          <pic:cNvPr id="0" name="evol100.png"/>
                          <pic:cNvPicPr/>
                        </pic:nvPicPr>
                        <pic:blipFill>
                          <a:blip r:embed="rId9"/>
                          <a:stretch>
                            <a:fillRect/>
                          </a:stretch>
                        </pic:blipFill>
                        <pic:spPr>
                          <a:xfrm>
                            <a:off x="0" y="0"/>
                            <a:ext cx="3657600" cy="2884266"/>
                          </a:xfrm>
                          <a:prstGeom prst="rect"/>
                        </pic:spPr>
                      </pic:pic>
                    </a:graphicData>
                  </a:graphic>
                </wp:inline>
              </w:drawing>
            </w:r>
          </w:p>
          <w:p>
            <w:r>
              <w:drawing>
                <wp:inline xmlns:a="http://schemas.openxmlformats.org/drawingml/2006/main" xmlns:pic="http://schemas.openxmlformats.org/drawingml/2006/picture">
                  <wp:extent cx="3657600" cy="2509639"/>
                  <wp:docPr id="2" name="Picture 2"/>
                  <wp:cNvGraphicFramePr>
                    <a:graphicFrameLocks noChangeAspect="1"/>
                  </wp:cNvGraphicFramePr>
                  <a:graphic>
                    <a:graphicData uri="http://schemas.openxmlformats.org/drawingml/2006/picture">
                      <pic:pic>
                        <pic:nvPicPr>
                          <pic:cNvPr id="0" name="comp_sector.png"/>
                          <pic:cNvPicPr/>
                        </pic:nvPicPr>
                        <pic:blipFill>
                          <a:blip r:embed="rId10"/>
                          <a:stretch>
                            <a:fillRect/>
                          </a:stretch>
                        </pic:blipFill>
                        <pic:spPr>
                          <a:xfrm>
                            <a:off x="0" y="0"/>
                            <a:ext cx="3657600" cy="2509639"/>
                          </a:xfrm>
                          <a:prstGeom prst="rect"/>
                        </pic:spPr>
                      </pic:pic>
                    </a:graphicData>
                  </a:graphic>
                </wp:inline>
              </w:drawing>
            </w:r>
          </w:p>
        </w:tc>
      </w:tr>
    </w:tbl>
    <w:p>
      <w:r>
        <w:br w:type="page"/>
      </w:r>
    </w:p>
    <w:tbl>
      <w:tblPr>
        <w:tblW w:type="auto" w:w="0"/>
        <w:tblLook w:firstColumn="1" w:firstRow="1" w:lastColumn="0" w:lastRow="0" w:noHBand="0" w:noVBand="1" w:val="04A0"/>
      </w:tblPr>
      <w:tblGrid>
        <w:gridCol w:w="5688"/>
        <w:gridCol w:w="5688"/>
      </w:tblGrid>
      <w:tr>
        <w:tc>
          <w:tcPr>
            <w:tcW w:type="dxa" w:w="5688"/>
          </w:tcPr>
          <w:p/>
          <w:p>
            <w:r>
              <w:drawing>
                <wp:inline xmlns:a="http://schemas.openxmlformats.org/drawingml/2006/main" xmlns:pic="http://schemas.openxmlformats.org/drawingml/2006/picture">
                  <wp:extent cx="3657600" cy="2689219"/>
                  <wp:docPr id="3" name="Picture 3"/>
                  <wp:cNvGraphicFramePr>
                    <a:graphicFrameLocks noChangeAspect="1"/>
                  </wp:cNvGraphicFramePr>
                  <a:graphic>
                    <a:graphicData uri="http://schemas.openxmlformats.org/drawingml/2006/picture">
                      <pic:pic>
                        <pic:nvPicPr>
                          <pic:cNvPr id="0" name="comp_pais.png"/>
                          <pic:cNvPicPr/>
                        </pic:nvPicPr>
                        <pic:blipFill>
                          <a:blip r:embed="rId11"/>
                          <a:stretch>
                            <a:fillRect/>
                          </a:stretch>
                        </pic:blipFill>
                        <pic:spPr>
                          <a:xfrm>
                            <a:off x="0" y="0"/>
                            <a:ext cx="3657600" cy="2689219"/>
                          </a:xfrm>
                          <a:prstGeom prst="rect"/>
                        </pic:spPr>
                      </pic:pic>
                    </a:graphicData>
                  </a:graphic>
                </wp:inline>
              </w:drawing>
            </w:r>
          </w:p>
        </w:tc>
        <w:tc>
          <w:tcPr>
            <w:tcW w:type="dxa" w:w="5688"/>
          </w:tcPr>
          <w:p/>
          <w:p>
            <w:r>
              <w:drawing>
                <wp:inline xmlns:a="http://schemas.openxmlformats.org/drawingml/2006/main" xmlns:pic="http://schemas.openxmlformats.org/drawingml/2006/picture">
                  <wp:extent cx="3657600" cy="3038963"/>
                  <wp:docPr id="4" name="Picture 4"/>
                  <wp:cNvGraphicFramePr>
                    <a:graphicFrameLocks noChangeAspect="1"/>
                  </wp:cNvGraphicFramePr>
                  <a:graphic>
                    <a:graphicData uri="http://schemas.openxmlformats.org/drawingml/2006/picture">
                      <pic:pic>
                        <pic:nvPicPr>
                          <pic:cNvPr id="0" name="comp_moneda.png"/>
                          <pic:cNvPicPr/>
                        </pic:nvPicPr>
                        <pic:blipFill>
                          <a:blip r:embed="rId12"/>
                          <a:stretch>
                            <a:fillRect/>
                          </a:stretch>
                        </pic:blipFill>
                        <pic:spPr>
                          <a:xfrm>
                            <a:off x="0" y="0"/>
                            <a:ext cx="3657600" cy="3038963"/>
                          </a:xfrm>
                          <a:prstGeom prst="rect"/>
                        </pic:spPr>
                      </pic:pic>
                    </a:graphicData>
                  </a:graphic>
                </wp:inline>
              </w:drawing>
            </w:r>
          </w:p>
        </w:tc>
      </w:tr>
    </w:tbl>
    <w:tbl>
      <w:tblPr>
        <w:tblStyle w:val="TableGrid"/>
        <w:tblW w:type="auto" w:w="0"/>
        <w:jc w:val="center"/>
        <w:tblLook w:firstColumn="1" w:firstRow="1" w:lastColumn="0" w:lastRow="0" w:noHBand="0" w:noVBand="1" w:val="04A0"/>
      </w:tblPr>
      <w:tblGrid>
        <w:gridCol w:w="5688"/>
        <w:gridCol w:w="5688"/>
      </w:tblGrid>
      <w:tr>
        <w:tc>
          <w:tcPr>
            <w:tcW w:type="dxa" w:w="1575"/>
            <w:shd w:fill="3498DB"/>
          </w:tcPr>
          <w:p>
            <w:r>
              <w:t>AAPL</w:t>
            </w:r>
          </w:p>
        </w:tc>
        <w:tc>
          <w:tcPr>
            <w:tcW w:type="dxa" w:w="1575"/>
            <w:shd w:fill="3498DB"/>
          </w:tcPr>
          <w:p>
            <w:r>
              <w:t>10.0%</w:t>
            </w:r>
          </w:p>
        </w:tc>
      </w:tr>
      <w:tr>
        <w:tc>
          <w:tcPr>
            <w:tcW w:type="dxa" w:w="1575"/>
          </w:tcPr>
          <w:p>
            <w:r>
              <w:t>PFE</w:t>
            </w:r>
          </w:p>
        </w:tc>
        <w:tc>
          <w:tcPr>
            <w:tcW w:type="dxa" w:w="1575"/>
          </w:tcPr>
          <w:p>
            <w:r>
              <w:t>5.0%</w:t>
            </w:r>
          </w:p>
        </w:tc>
      </w:tr>
      <w:tr>
        <w:tc>
          <w:tcPr>
            <w:tcW w:type="dxa" w:w="1575"/>
          </w:tcPr>
          <w:p>
            <w:r>
              <w:t>JPM</w:t>
            </w:r>
          </w:p>
        </w:tc>
        <w:tc>
          <w:tcPr>
            <w:tcW w:type="dxa" w:w="1575"/>
          </w:tcPr>
          <w:p>
            <w:r>
              <w:t>20.0%</w:t>
            </w:r>
          </w:p>
        </w:tc>
      </w:tr>
      <w:tr>
        <w:tc>
          <w:tcPr>
            <w:tcW w:type="dxa" w:w="1575"/>
          </w:tcPr>
          <w:p>
            <w:r>
              <w:t>HD</w:t>
            </w:r>
          </w:p>
        </w:tc>
        <w:tc>
          <w:tcPr>
            <w:tcW w:type="dxa" w:w="1575"/>
          </w:tcPr>
          <w:p>
            <w:r>
              <w:t>25.0%</w:t>
            </w:r>
          </w:p>
        </w:tc>
      </w:tr>
      <w:tr>
        <w:tc>
          <w:tcPr>
            <w:tcW w:type="dxa" w:w="1575"/>
          </w:tcPr>
          <w:p>
            <w:r>
              <w:t>XOM</w:t>
            </w:r>
          </w:p>
        </w:tc>
        <w:tc>
          <w:tcPr>
            <w:tcW w:type="dxa" w:w="1575"/>
          </w:tcPr>
          <w:p>
            <w:r>
              <w:t>25.0%</w:t>
            </w:r>
          </w:p>
        </w:tc>
      </w:tr>
      <w:tr>
        <w:tc>
          <w:tcPr>
            <w:tcW w:type="dxa" w:w="1575"/>
          </w:tcPr>
          <w:p>
            <w:r>
              <w:t>TSLA</w:t>
            </w:r>
          </w:p>
        </w:tc>
        <w:tc>
          <w:tcPr>
            <w:tcW w:type="dxa" w:w="1575"/>
          </w:tcPr>
          <w:p>
            <w:r>
              <w:t>15.0%</w:t>
            </w:r>
          </w:p>
        </w:tc>
      </w:tr>
      <w:tr>
        <w:tc>
          <w:tcPr>
            <w:tcW w:type="dxa" w:w="1575"/>
          </w:tcPr>
          <w:p>
            <w:r>
              <w:t>Total</w:t>
            </w:r>
          </w:p>
        </w:tc>
        <w:tc>
          <w:tcPr>
            <w:tcW w:type="dxa" w:w="1575"/>
          </w:tcPr>
          <w:p>
            <w:r>
              <w:t>100%</w:t>
            </w:r>
          </w:p>
        </w:tc>
      </w:tr>
    </w:tbl>
    <w:sectPr w:rsidR="00FC693F" w:rsidRPr="0006063C" w:rsidSect="00034616">
      <w:pgSz w:w="12240" w:h="15840"/>
      <w:pgMar w:top="720" w:right="432" w:bottom="72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ptos" w:hAnsi="aptos"/>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