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val="clear" w:color="auto" w:fill="000000"/>
      </w:pPr>
      <w:r>
        <w:rPr>
          <w:b/>
        </w:rPr>
        <w:t>Ficha técnica: Portafolio de acciones                Fecha de inversión: 2024-03-05                    Fecha de análisis: 2024-12-02</w:t>
      </w:r>
    </w:p>
    <w:p>
      <w:r>
        <w:rPr>
          <w:b/>
        </w:rPr>
        <w:t xml:space="preserve">Retorno Acumulado del portafolio frente al Benchmark </w:t>
        <w:br/>
      </w:r>
      <w:r>
        <w:rPr>
          <w:b/>
        </w:rPr>
        <w:t>Benchamark:</w:t>
      </w:r>
      <w:r>
        <w:t xml:space="preserve"> S&amp;P 500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>
        <w:tc>
          <w:tcPr>
            <w:tcW w:type="dxa" w:w="2275"/>
          </w:tcPr>
          <w:p>
            <w:r/>
          </w:p>
        </w:tc>
        <w:tc>
          <w:tcPr>
            <w:tcW w:type="dxa" w:w="2275"/>
          </w:tcPr>
          <w:p>
            <w:r>
              <w:t>Acumulado</w:t>
            </w:r>
          </w:p>
        </w:tc>
        <w:tc>
          <w:tcPr>
            <w:tcW w:type="dxa" w:w="2275"/>
          </w:tcPr>
          <w:p>
            <w:r>
              <w:t>Ultimo mes</w:t>
            </w:r>
          </w:p>
        </w:tc>
        <w:tc>
          <w:tcPr>
            <w:tcW w:type="dxa" w:w="2275"/>
          </w:tcPr>
          <w:p>
            <w:r>
              <w:t>Ultimo año</w:t>
            </w:r>
          </w:p>
        </w:tc>
        <w:tc>
          <w:tcPr>
            <w:tcW w:type="dxa" w:w="2275"/>
          </w:tcPr>
          <w:p>
            <w:r>
              <w:t>Ultimos 5 años</w:t>
            </w:r>
          </w:p>
        </w:tc>
      </w:tr>
      <w:tr>
        <w:tc>
          <w:tcPr>
            <w:tcW w:type="dxa" w:w="2275"/>
          </w:tcPr>
          <w:p>
            <w:r>
              <w:t>Retorno anualizado</w:t>
            </w:r>
          </w:p>
        </w:tc>
        <w:tc>
          <w:tcPr>
            <w:tcW w:type="dxa" w:w="2275"/>
          </w:tcPr>
          <w:p>
            <w:r>
              <w:t>32.39%</w:t>
            </w:r>
          </w:p>
        </w:tc>
        <w:tc>
          <w:tcPr>
            <w:tcW w:type="dxa" w:w="2275"/>
          </w:tcPr>
          <w:p>
            <w:r>
              <w:t>1.38%</w:t>
            </w:r>
          </w:p>
        </w:tc>
        <w:tc>
          <w:tcPr>
            <w:tcW w:type="dxa" w:w="2275"/>
          </w:tcPr>
          <w:p>
            <w:r>
              <w:t>38.31%</w:t>
            </w:r>
          </w:p>
        </w:tc>
        <w:tc>
          <w:tcPr>
            <w:tcW w:type="dxa" w:w="2275"/>
          </w:tcPr>
          <w:p>
            <w:r>
              <w:t>24.56%</w:t>
            </w:r>
          </w:p>
        </w:tc>
      </w:tr>
      <w:tr>
        <w:tc>
          <w:tcPr>
            <w:tcW w:type="dxa" w:w="2275"/>
          </w:tcPr>
          <w:p>
            <w:r>
              <w:t>Volatilidad anualizada</w:t>
            </w:r>
          </w:p>
        </w:tc>
        <w:tc>
          <w:tcPr>
            <w:tcW w:type="dxa" w:w="2275"/>
          </w:tcPr>
          <w:p>
            <w:r>
              <w:t>26.79%</w:t>
            </w:r>
          </w:p>
        </w:tc>
        <w:tc>
          <w:tcPr>
            <w:tcW w:type="dxa" w:w="2275"/>
          </w:tcPr>
          <w:p>
            <w:r>
              <w:t>39.59%</w:t>
            </w:r>
          </w:p>
        </w:tc>
        <w:tc>
          <w:tcPr>
            <w:tcW w:type="dxa" w:w="2275"/>
          </w:tcPr>
          <w:p>
            <w:r>
              <w:t>25.19%</w:t>
            </w:r>
          </w:p>
        </w:tc>
        <w:tc>
          <w:tcPr>
            <w:tcW w:type="dxa" w:w="2275"/>
          </w:tcPr>
          <w:p>
            <w:r>
              <w:t>32.83%</w:t>
            </w:r>
          </w:p>
        </w:tc>
      </w:tr>
      <w:tr>
        <w:tc>
          <w:tcPr>
            <w:tcW w:type="dxa" w:w="2275"/>
          </w:tcPr>
          <w:p>
            <w:r>
              <w:t>Retorno del benchmark</w:t>
            </w:r>
          </w:p>
        </w:tc>
        <w:tc>
          <w:tcPr>
            <w:tcW w:type="dxa" w:w="2275"/>
          </w:tcPr>
          <w:p>
            <w:r>
              <w:t>13.66%</w:t>
            </w:r>
          </w:p>
        </w:tc>
        <w:tc>
          <w:tcPr>
            <w:tcW w:type="dxa" w:w="2275"/>
          </w:tcPr>
          <w:p>
            <w:r>
              <w:t>0.42%</w:t>
            </w:r>
          </w:p>
        </w:tc>
        <w:tc>
          <w:tcPr>
            <w:tcW w:type="dxa" w:w="2275"/>
          </w:tcPr>
          <w:p>
            <w:r>
              <w:t>31.57%</w:t>
            </w:r>
          </w:p>
        </w:tc>
        <w:tc>
          <w:tcPr>
            <w:tcW w:type="dxa" w:w="2275"/>
          </w:tcPr>
          <w:p>
            <w:r>
              <w:t>14.11%</w:t>
            </w:r>
          </w:p>
        </w:tc>
      </w:tr>
    </w:tbl>
    <w:sectPr w:rsidR="00FC693F" w:rsidRPr="0006063C" w:rsidSect="00034616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ptos" w:hAnsi="apto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