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424BB" w14:textId="77777777" w:rsidR="00F10D43" w:rsidRPr="00C866FE" w:rsidRDefault="00F10D43" w:rsidP="00F10D43">
      <w:pPr>
        <w:rPr>
          <w:b/>
          <w:bCs/>
          <w:sz w:val="28"/>
          <w:szCs w:val="28"/>
        </w:rPr>
      </w:pPr>
      <w:r w:rsidRPr="00C866FE">
        <w:rPr>
          <w:b/>
          <w:bCs/>
          <w:sz w:val="28"/>
          <w:szCs w:val="28"/>
        </w:rPr>
        <w:t xml:space="preserve">Puntos Por Desarrollar: </w:t>
      </w:r>
    </w:p>
    <w:p w14:paraId="4851F1E6" w14:textId="77777777" w:rsidR="00F10D43" w:rsidRPr="00C866FE" w:rsidRDefault="00F10D43" w:rsidP="00F10D43">
      <w:pPr>
        <w:pStyle w:val="Heading1"/>
      </w:pPr>
      <w:r w:rsidRPr="00C866FE">
        <w:t xml:space="preserve">Primer Punto </w:t>
      </w:r>
    </w:p>
    <w:p w14:paraId="0AB9E7D7" w14:textId="3FD2FA10" w:rsidR="00F10D43" w:rsidRPr="00C866FE" w:rsidRDefault="00F10D43" w:rsidP="00922534">
      <w:pPr>
        <w:jc w:val="both"/>
        <w:rPr>
          <w:b/>
          <w:bCs/>
        </w:rPr>
      </w:pPr>
      <w:r w:rsidRPr="00C866FE">
        <w:rPr>
          <w:b/>
          <w:bCs/>
        </w:rPr>
        <w:t xml:space="preserve">Ustedes cuentan con varias bases de datos que cuenta con información del precio del </w:t>
      </w:r>
      <w:r w:rsidR="007553D8" w:rsidRPr="00C866FE">
        <w:rPr>
          <w:b/>
          <w:bCs/>
        </w:rPr>
        <w:t>P</w:t>
      </w:r>
      <w:r w:rsidRPr="00C866FE">
        <w:rPr>
          <w:b/>
          <w:bCs/>
        </w:rPr>
        <w:t xml:space="preserve">etróleo Brent, del </w:t>
      </w:r>
      <w:r w:rsidR="007553D8" w:rsidRPr="00C866FE">
        <w:rPr>
          <w:b/>
          <w:bCs/>
        </w:rPr>
        <w:t>G</w:t>
      </w:r>
      <w:r w:rsidRPr="00C866FE">
        <w:rPr>
          <w:b/>
          <w:bCs/>
        </w:rPr>
        <w:t xml:space="preserve">as </w:t>
      </w:r>
      <w:r w:rsidR="007553D8" w:rsidRPr="00C866FE">
        <w:rPr>
          <w:b/>
          <w:bCs/>
        </w:rPr>
        <w:t>N</w:t>
      </w:r>
      <w:r w:rsidRPr="00C866FE">
        <w:rPr>
          <w:b/>
          <w:bCs/>
        </w:rPr>
        <w:t xml:space="preserve">atural, </w:t>
      </w:r>
      <w:r w:rsidR="007553D8" w:rsidRPr="00C866FE">
        <w:rPr>
          <w:b/>
          <w:bCs/>
        </w:rPr>
        <w:t>C</w:t>
      </w:r>
      <w:r w:rsidRPr="00C866FE">
        <w:rPr>
          <w:b/>
          <w:bCs/>
        </w:rPr>
        <w:t xml:space="preserve">arbón, </w:t>
      </w:r>
      <w:r w:rsidR="007553D8" w:rsidRPr="00C866FE">
        <w:rPr>
          <w:b/>
          <w:bCs/>
        </w:rPr>
        <w:t>Gasolina Motor Corriente</w:t>
      </w:r>
      <w:r w:rsidRPr="00C866FE">
        <w:rPr>
          <w:b/>
          <w:bCs/>
        </w:rPr>
        <w:t xml:space="preserve"> y finalmente del IPC para Colombia desde el 2000 hasta el 202</w:t>
      </w:r>
      <w:r w:rsidR="007553D8" w:rsidRPr="00C866FE">
        <w:rPr>
          <w:b/>
          <w:bCs/>
        </w:rPr>
        <w:t>4</w:t>
      </w:r>
      <w:r w:rsidRPr="00C866FE">
        <w:rPr>
          <w:b/>
          <w:bCs/>
        </w:rPr>
        <w:t xml:space="preserve"> con una periodicidad mensual. Cada una de estas bases de datos toma el nombre del bien al que hacen referencia junto con el sufijo .csv. Por ejemplo, cuentan con “Carbón.csv” y así con los demás bienes. Cada una de estas bases cuenta con </w:t>
      </w:r>
      <w:r w:rsidR="005B6822" w:rsidRPr="00C866FE">
        <w:rPr>
          <w:b/>
          <w:bCs/>
        </w:rPr>
        <w:t>tres</w:t>
      </w:r>
      <w:r w:rsidRPr="00C866FE">
        <w:rPr>
          <w:b/>
          <w:bCs/>
        </w:rPr>
        <w:t xml:space="preserve"> columnas, una primera columna con la fecha mensualizada</w:t>
      </w:r>
      <w:r w:rsidR="005B6822" w:rsidRPr="00C866FE">
        <w:rPr>
          <w:b/>
          <w:bCs/>
        </w:rPr>
        <w:t xml:space="preserve">, </w:t>
      </w:r>
      <w:r w:rsidRPr="00C866FE">
        <w:rPr>
          <w:b/>
          <w:bCs/>
        </w:rPr>
        <w:t>una segunda columna con el precio del bien</w:t>
      </w:r>
      <w:r w:rsidR="005B6822" w:rsidRPr="00C866FE">
        <w:rPr>
          <w:b/>
          <w:bCs/>
        </w:rPr>
        <w:t xml:space="preserve"> para Colombia y una tercera columna con el precio del bien </w:t>
      </w:r>
      <w:r w:rsidR="005E234B" w:rsidRPr="00C866FE">
        <w:rPr>
          <w:b/>
          <w:bCs/>
        </w:rPr>
        <w:t xml:space="preserve">promedio </w:t>
      </w:r>
      <w:r w:rsidR="005B6822" w:rsidRPr="00C866FE">
        <w:rPr>
          <w:b/>
          <w:bCs/>
        </w:rPr>
        <w:t>en el mundo</w:t>
      </w:r>
      <w:r w:rsidRPr="00C866FE">
        <w:rPr>
          <w:b/>
          <w:bCs/>
        </w:rPr>
        <w:t xml:space="preserve">. En su trabajo como analistas de información se les solicita realizar un reporte sobre estas series. Para ello, su jefa les solicita realizar las siguientes tareas: </w:t>
      </w:r>
    </w:p>
    <w:p w14:paraId="18FFCA12" w14:textId="77777777" w:rsidR="00F10D43" w:rsidRPr="00C866FE" w:rsidRDefault="00F10D43" w:rsidP="00922534">
      <w:pPr>
        <w:jc w:val="both"/>
        <w:rPr>
          <w:b/>
          <w:bCs/>
        </w:rPr>
      </w:pPr>
    </w:p>
    <w:p w14:paraId="27F7D966" w14:textId="77777777" w:rsidR="00F10D43" w:rsidRDefault="00F10D43" w:rsidP="00922534">
      <w:pPr>
        <w:pStyle w:val="ListParagraph"/>
        <w:numPr>
          <w:ilvl w:val="1"/>
          <w:numId w:val="2"/>
        </w:numPr>
        <w:jc w:val="both"/>
        <w:rPr>
          <w:b/>
          <w:bCs/>
        </w:rPr>
      </w:pPr>
      <w:r w:rsidRPr="00C866FE">
        <w:rPr>
          <w:b/>
          <w:bCs/>
        </w:rPr>
        <w:t xml:space="preserve">Establezcan un código que les permita cargar en el programa R las bases de datos de los diferentes precios de combustibles. </w:t>
      </w:r>
    </w:p>
    <w:p w14:paraId="4D7CCF14" w14:textId="77777777" w:rsidR="0024118F" w:rsidRDefault="0024118F" w:rsidP="00922534">
      <w:pPr>
        <w:pStyle w:val="ListParagraph"/>
        <w:ind w:left="432"/>
        <w:jc w:val="both"/>
        <w:rPr>
          <w:b/>
          <w:bCs/>
        </w:rPr>
      </w:pPr>
    </w:p>
    <w:p w14:paraId="1E4F89B9" w14:textId="545D4A45" w:rsidR="00C4555E" w:rsidRDefault="00C4555E" w:rsidP="00922534">
      <w:pPr>
        <w:pStyle w:val="ListParagraph"/>
        <w:ind w:left="432"/>
        <w:jc w:val="both"/>
        <w:rPr>
          <w:b/>
          <w:bCs/>
        </w:rPr>
      </w:pPr>
      <w:r>
        <w:rPr>
          <w:b/>
          <w:bCs/>
        </w:rPr>
        <w:t>Solución:</w:t>
      </w:r>
    </w:p>
    <w:p w14:paraId="7A5AB6CC" w14:textId="7F31B1DD" w:rsidR="00F34CEA" w:rsidRDefault="00F34CEA" w:rsidP="00922534">
      <w:pPr>
        <w:ind w:left="432"/>
        <w:jc w:val="both"/>
        <w:rPr>
          <w:sz w:val="24"/>
          <w:szCs w:val="24"/>
        </w:rPr>
      </w:pPr>
      <w:r w:rsidRPr="00F34CEA">
        <w:rPr>
          <w:sz w:val="24"/>
          <w:szCs w:val="24"/>
        </w:rPr>
        <w:t xml:space="preserve">Las instrucciones de este punto no requieren argumentación ni interpretación de resultados, ni tampoco responder a una pregunta en forma de texto. Por lo tanto, la solución se limita únicamente al script de R asociado al taller. </w:t>
      </w:r>
    </w:p>
    <w:p w14:paraId="50E36573" w14:textId="19FAB7BD" w:rsidR="00224ECE" w:rsidRPr="00224ECE" w:rsidRDefault="002E1EAC" w:rsidP="00922534">
      <w:pPr>
        <w:ind w:left="432"/>
        <w:jc w:val="both"/>
        <w:rPr>
          <w:sz w:val="24"/>
          <w:szCs w:val="24"/>
        </w:rPr>
      </w:pPr>
      <w:r>
        <w:rPr>
          <w:sz w:val="24"/>
          <w:szCs w:val="24"/>
        </w:rPr>
        <w:t xml:space="preserve">Sin embargo, nos parece importante </w:t>
      </w:r>
      <w:r w:rsidR="00C75D33">
        <w:rPr>
          <w:sz w:val="24"/>
          <w:szCs w:val="24"/>
        </w:rPr>
        <w:t xml:space="preserve">mencionar </w:t>
      </w:r>
      <w:r w:rsidR="00071908">
        <w:rPr>
          <w:sz w:val="24"/>
          <w:szCs w:val="24"/>
        </w:rPr>
        <w:t>dos aspectos relevantes:</w:t>
      </w:r>
    </w:p>
    <w:p w14:paraId="3EB7C917" w14:textId="2B6831C6" w:rsidR="00224ECE" w:rsidRPr="00224ECE" w:rsidRDefault="00224ECE" w:rsidP="00922534">
      <w:pPr>
        <w:pStyle w:val="ListParagraph"/>
        <w:numPr>
          <w:ilvl w:val="0"/>
          <w:numId w:val="5"/>
        </w:numPr>
        <w:jc w:val="both"/>
        <w:rPr>
          <w:sz w:val="24"/>
          <w:szCs w:val="24"/>
        </w:rPr>
      </w:pPr>
      <w:r w:rsidRPr="00224ECE">
        <w:rPr>
          <w:sz w:val="24"/>
          <w:szCs w:val="24"/>
        </w:rPr>
        <w:t>Se utilizó la función `read_csv` de la librería `readr` para importar los datos de precios de los bienes. Esta función fue seleccionada porque permite importar las columnas de fecha como objetos de tipo `Date` de manera eficiente."</w:t>
      </w:r>
    </w:p>
    <w:p w14:paraId="6A5BF51E" w14:textId="04440840" w:rsidR="00F10D43" w:rsidRPr="00224ECE" w:rsidRDefault="00224ECE" w:rsidP="00922534">
      <w:pPr>
        <w:pStyle w:val="ListParagraph"/>
        <w:numPr>
          <w:ilvl w:val="0"/>
          <w:numId w:val="5"/>
        </w:numPr>
        <w:jc w:val="both"/>
        <w:rPr>
          <w:sz w:val="24"/>
          <w:szCs w:val="24"/>
        </w:rPr>
      </w:pPr>
      <w:r w:rsidRPr="00224ECE">
        <w:rPr>
          <w:sz w:val="24"/>
          <w:szCs w:val="24"/>
        </w:rPr>
        <w:t>U</w:t>
      </w:r>
      <w:r w:rsidR="00C75D33" w:rsidRPr="00224ECE">
        <w:rPr>
          <w:sz w:val="24"/>
          <w:szCs w:val="24"/>
        </w:rPr>
        <w:t xml:space="preserve">samos </w:t>
      </w:r>
      <w:r w:rsidR="00DC3863" w:rsidRPr="00224ECE">
        <w:rPr>
          <w:sz w:val="24"/>
          <w:szCs w:val="24"/>
        </w:rPr>
        <w:t xml:space="preserve">una referencia de internet para </w:t>
      </w:r>
      <w:r w:rsidR="00746F84" w:rsidRPr="00224ECE">
        <w:rPr>
          <w:sz w:val="24"/>
          <w:szCs w:val="24"/>
        </w:rPr>
        <w:t>importar datos de un archivo</w:t>
      </w:r>
      <w:r w:rsidR="003C2884" w:rsidRPr="00224ECE">
        <w:rPr>
          <w:sz w:val="24"/>
          <w:szCs w:val="24"/>
        </w:rPr>
        <w:t xml:space="preserve"> “</w:t>
      </w:r>
      <w:r w:rsidR="00746F84" w:rsidRPr="00224ECE">
        <w:rPr>
          <w:sz w:val="24"/>
          <w:szCs w:val="24"/>
        </w:rPr>
        <w:t>.zip</w:t>
      </w:r>
      <w:r w:rsidR="003C2884" w:rsidRPr="00224ECE">
        <w:rPr>
          <w:sz w:val="24"/>
          <w:szCs w:val="24"/>
        </w:rPr>
        <w:t xml:space="preserve">”. </w:t>
      </w:r>
      <w:r w:rsidR="00C4555E" w:rsidRPr="00224ECE">
        <w:rPr>
          <w:sz w:val="24"/>
          <w:szCs w:val="24"/>
        </w:rPr>
        <w:t>El link</w:t>
      </w:r>
      <w:r w:rsidR="003C2884" w:rsidRPr="00224ECE">
        <w:rPr>
          <w:sz w:val="24"/>
          <w:szCs w:val="24"/>
        </w:rPr>
        <w:t xml:space="preserve"> de la referencia es el siguiente</w:t>
      </w:r>
      <w:r w:rsidRPr="00224ECE">
        <w:rPr>
          <w:sz w:val="24"/>
          <w:szCs w:val="24"/>
        </w:rPr>
        <w:t xml:space="preserve">: </w:t>
      </w:r>
      <w:r w:rsidR="003C2884" w:rsidRPr="00224ECE">
        <w:rPr>
          <w:sz w:val="24"/>
          <w:szCs w:val="24"/>
        </w:rPr>
        <w:t xml:space="preserve">Link: </w:t>
      </w:r>
      <w:hyperlink r:id="rId8" w:history="1">
        <w:r w:rsidR="00C4555E" w:rsidRPr="00224ECE">
          <w:rPr>
            <w:rStyle w:val="Hyperlink"/>
            <w:sz w:val="24"/>
            <w:szCs w:val="24"/>
          </w:rPr>
          <w:t>https://www.statology.org/read-zip-file-in-r/</w:t>
        </w:r>
      </w:hyperlink>
    </w:p>
    <w:p w14:paraId="1ACE8AFD" w14:textId="77777777" w:rsidR="00224ECE" w:rsidRPr="00224ECE" w:rsidRDefault="00224ECE" w:rsidP="00922534">
      <w:pPr>
        <w:pStyle w:val="ListParagraph"/>
        <w:ind w:left="1152"/>
        <w:jc w:val="both"/>
        <w:rPr>
          <w:sz w:val="24"/>
          <w:szCs w:val="24"/>
        </w:rPr>
      </w:pPr>
    </w:p>
    <w:p w14:paraId="64D782A5" w14:textId="2C9B6091" w:rsidR="00F10D43" w:rsidRPr="00C866FE" w:rsidRDefault="00F10D43" w:rsidP="00922534">
      <w:pPr>
        <w:pStyle w:val="ListParagraph"/>
        <w:numPr>
          <w:ilvl w:val="1"/>
          <w:numId w:val="2"/>
        </w:numPr>
        <w:jc w:val="both"/>
        <w:rPr>
          <w:b/>
          <w:bCs/>
        </w:rPr>
      </w:pPr>
      <w:r w:rsidRPr="00C866FE">
        <w:rPr>
          <w:b/>
          <w:bCs/>
        </w:rPr>
        <w:t xml:space="preserve">Realicen una exploración inicial de la base de datos. Para esto, para cada una de las bases de datos describan la misma. Es decir, redacten un breve párrafo comentando qué variables contiene la base de datos, el número de observaciones, el periodo de tiempo que comprende, el tipo de las variables, entre otros aspectos relevantes. </w:t>
      </w:r>
    </w:p>
    <w:p w14:paraId="3ABBF2B9" w14:textId="4D71E637" w:rsidR="00F10D43" w:rsidRDefault="00C4555E" w:rsidP="00922534">
      <w:pPr>
        <w:ind w:left="432"/>
        <w:jc w:val="both"/>
        <w:rPr>
          <w:b/>
          <w:bCs/>
        </w:rPr>
      </w:pPr>
      <w:r>
        <w:rPr>
          <w:b/>
          <w:bCs/>
        </w:rPr>
        <w:t>Solución:</w:t>
      </w:r>
    </w:p>
    <w:p w14:paraId="00A1110F" w14:textId="20D2F05E" w:rsidR="00C27781" w:rsidRDefault="00216616" w:rsidP="00922534">
      <w:pPr>
        <w:ind w:left="432"/>
        <w:jc w:val="both"/>
        <w:rPr>
          <w:b/>
          <w:bCs/>
        </w:rPr>
      </w:pPr>
      <w:r>
        <w:rPr>
          <w:b/>
          <w:bCs/>
        </w:rPr>
        <w:t>Conjunto de datos de petróleo:</w:t>
      </w:r>
    </w:p>
    <w:p w14:paraId="18340A58" w14:textId="70E5EEBC" w:rsidR="00E80186" w:rsidRPr="00E80186" w:rsidRDefault="00E80186" w:rsidP="00922534">
      <w:pPr>
        <w:ind w:left="432"/>
        <w:jc w:val="both"/>
      </w:pPr>
      <w:r w:rsidRPr="00E80186">
        <w:t xml:space="preserve">El conjunto de datos de carbón contiene 8,667 observaciones y 2 columnas: una correspondiente al precio del </w:t>
      </w:r>
      <w:r w:rsidR="006C289A">
        <w:t>petróleo</w:t>
      </w:r>
      <w:r w:rsidR="004E7F77">
        <w:t>,</w:t>
      </w:r>
      <w:r w:rsidRPr="00E80186">
        <w:t xml:space="preserve"> y otra a la fecha, con frecuencia diaria, que abarca el periodo desde el 1 de enero de 2000 hasta el 1 de enero de 2024. No obstante, el conjunto presenta fechas faltantes, lo que afecta la precisión de la frecuencia diaria, y tiene 88 valores faltantes en la columna de precios. La columna de fecha es de tipo date, mientras que la columna de precio es de tipo numérico. El precio promedio es de </w:t>
      </w:r>
      <w:r w:rsidR="00150F61">
        <w:t>10</w:t>
      </w:r>
      <w:r w:rsidR="006B67B9">
        <w:t>8</w:t>
      </w:r>
      <w:r w:rsidR="006C289A">
        <w:t>.</w:t>
      </w:r>
      <w:r w:rsidR="006B67B9">
        <w:t>0</w:t>
      </w:r>
      <w:r w:rsidR="00F81A9C">
        <w:t xml:space="preserve">9 y la desviación estándar del precio es </w:t>
      </w:r>
      <w:r w:rsidR="00657068">
        <w:t>16.26</w:t>
      </w:r>
      <w:r w:rsidRPr="00E80186">
        <w:t>.</w:t>
      </w:r>
    </w:p>
    <w:p w14:paraId="31D6CAEF" w14:textId="77777777" w:rsidR="00E80186" w:rsidRDefault="00E80186" w:rsidP="00922534">
      <w:pPr>
        <w:ind w:left="432"/>
        <w:jc w:val="both"/>
        <w:rPr>
          <w:b/>
          <w:bCs/>
        </w:rPr>
      </w:pPr>
    </w:p>
    <w:p w14:paraId="0BB0105B" w14:textId="4E28EF88" w:rsidR="00216616" w:rsidRDefault="00216616" w:rsidP="00922534">
      <w:pPr>
        <w:ind w:left="432"/>
        <w:jc w:val="both"/>
        <w:rPr>
          <w:b/>
          <w:bCs/>
        </w:rPr>
      </w:pPr>
      <w:r>
        <w:rPr>
          <w:b/>
          <w:bCs/>
        </w:rPr>
        <w:t>Conjunto de datos de carbón:</w:t>
      </w:r>
    </w:p>
    <w:p w14:paraId="35F3660D" w14:textId="749E6856" w:rsidR="00E80186" w:rsidRPr="00E80186" w:rsidRDefault="00E80186" w:rsidP="00922534">
      <w:pPr>
        <w:ind w:left="432"/>
        <w:jc w:val="both"/>
      </w:pPr>
      <w:r w:rsidRPr="00E80186">
        <w:t>El conjunto de datos de carbón contiene 8,667 observaciones y 2 columnas: una correspondiente al precio del carbón y otra a la fecha, con frecuencia diaria, que abarca el periodo desde el 1 de enero de 2000 hasta el 1 de enero de 2024. No obstante, el conjunto presenta fechas faltantes, lo que afecta la precisión de la frecuencia diaria, y tiene 88 valores faltantes en la columna de precios. La columna de fecha es de tipo date, mientras que la columna de precio es de tipo numérico. El precio promedio es de 96.96</w:t>
      </w:r>
      <w:r w:rsidR="000C1414">
        <w:t xml:space="preserve"> y la desviación estándar del precio es </w:t>
      </w:r>
      <w:r w:rsidR="005819AE">
        <w:t>19</w:t>
      </w:r>
      <w:r w:rsidR="00BC2A5E">
        <w:t>.07</w:t>
      </w:r>
      <w:r w:rsidRPr="00E80186">
        <w:t>.</w:t>
      </w:r>
    </w:p>
    <w:p w14:paraId="008D21D8" w14:textId="5EFE37F4" w:rsidR="00216616" w:rsidRDefault="00216616" w:rsidP="00922534">
      <w:pPr>
        <w:ind w:left="432"/>
        <w:jc w:val="both"/>
        <w:rPr>
          <w:b/>
          <w:bCs/>
        </w:rPr>
      </w:pPr>
      <w:r>
        <w:rPr>
          <w:b/>
          <w:bCs/>
        </w:rPr>
        <w:t>Conjunto de datos gas natural:</w:t>
      </w:r>
    </w:p>
    <w:p w14:paraId="00026C4B" w14:textId="0F162B11" w:rsidR="00E80186" w:rsidRPr="00DA7834" w:rsidRDefault="00E80186" w:rsidP="00922534">
      <w:pPr>
        <w:ind w:left="432"/>
        <w:jc w:val="both"/>
      </w:pPr>
      <w:r w:rsidRPr="00E80186">
        <w:t xml:space="preserve">El conjunto de datos de carbón contiene 8,667 observaciones y 2 columnas: una correspondiente al precio del </w:t>
      </w:r>
      <w:r>
        <w:t>gas natural</w:t>
      </w:r>
      <w:r w:rsidRPr="00E80186">
        <w:t xml:space="preserve"> y otra a la fecha, con frecuencia diaria, que abarca el periodo desde el 1 de enero de 2000 hasta el 1 de enero de 2024. No obstante, el conjunto presenta fechas faltantes, lo que afecta la precisión de la frecuencia diaria, y tiene 88 valores faltantes en la columna de precios. La columna de fecha es de tipo date, mientras que la columna de precio es de tipo numérico. El precio promedio es de </w:t>
      </w:r>
      <w:r w:rsidR="00822F25">
        <w:t>118.3</w:t>
      </w:r>
      <w:r w:rsidR="00BC2A5E">
        <w:t xml:space="preserve">1 y la desviación estándar del precio es </w:t>
      </w:r>
      <w:r w:rsidR="00C07794">
        <w:t>21.61</w:t>
      </w:r>
      <w:r w:rsidRPr="00E80186">
        <w:t>.</w:t>
      </w:r>
    </w:p>
    <w:p w14:paraId="1F592D7A" w14:textId="27793C73" w:rsidR="00216616" w:rsidRDefault="00216616" w:rsidP="00922534">
      <w:pPr>
        <w:ind w:left="432"/>
        <w:jc w:val="both"/>
        <w:rPr>
          <w:b/>
          <w:bCs/>
        </w:rPr>
      </w:pPr>
      <w:r>
        <w:rPr>
          <w:b/>
          <w:bCs/>
        </w:rPr>
        <w:t xml:space="preserve">Conjunto de datos </w:t>
      </w:r>
      <w:r w:rsidR="00E948E4">
        <w:rPr>
          <w:b/>
          <w:bCs/>
        </w:rPr>
        <w:t>gasolina:</w:t>
      </w:r>
    </w:p>
    <w:p w14:paraId="48AC02AC" w14:textId="0523DD75" w:rsidR="00E80186" w:rsidRPr="00DA7834" w:rsidRDefault="00E80186" w:rsidP="00922534">
      <w:pPr>
        <w:ind w:left="432"/>
        <w:jc w:val="both"/>
      </w:pPr>
      <w:r w:rsidRPr="00E80186">
        <w:t>El conjunto de datos de carbón contiene 8,667 observaciones y 2 columnas: una correspondiente al precio de</w:t>
      </w:r>
      <w:r>
        <w:t xml:space="preserve"> la gasolina</w:t>
      </w:r>
      <w:r w:rsidRPr="00E80186">
        <w:t xml:space="preserve"> y otra a la fecha, con frecuencia diaria, que abarca el periodo desde el 1 de enero de 2000 hasta el 1 de enero de 2024. No obstante, el conjunto presenta fechas faltantes, lo que afecta la precisión de la frecuencia diaria, y tiene 88 valores faltantes en la columna de precios. La columna de fecha es de tipo date, mientras que la columna de precio es de tipo numérico. El precio promedio es de </w:t>
      </w:r>
      <w:r w:rsidR="00DA7834">
        <w:t>108.</w:t>
      </w:r>
      <w:r w:rsidR="0087547B">
        <w:t>94 y la desviación estándar del precio es 2</w:t>
      </w:r>
      <w:r w:rsidR="00777B44">
        <w:t>9.22</w:t>
      </w:r>
      <w:r w:rsidRPr="00E80186">
        <w:t>.</w:t>
      </w:r>
    </w:p>
    <w:p w14:paraId="15DC3D68" w14:textId="354DAD3E" w:rsidR="00E948E4" w:rsidRDefault="00E948E4" w:rsidP="00922534">
      <w:pPr>
        <w:ind w:left="432"/>
        <w:jc w:val="both"/>
        <w:rPr>
          <w:b/>
          <w:bCs/>
        </w:rPr>
      </w:pPr>
      <w:r>
        <w:rPr>
          <w:b/>
          <w:bCs/>
        </w:rPr>
        <w:t>Conjunto de datos IPC:</w:t>
      </w:r>
    </w:p>
    <w:p w14:paraId="38F7B589" w14:textId="0DBB1833" w:rsidR="00FC695C" w:rsidRDefault="00FC695C" w:rsidP="00922534">
      <w:pPr>
        <w:ind w:left="432"/>
        <w:jc w:val="both"/>
      </w:pPr>
      <w:r w:rsidRPr="00FC695C">
        <w:t>El conjunto de datos del IPC contiene 289 observaciones y 5 columnas: una para el valor del índice, otra para la variación anual, otra para la variación año corrido y una más para la fecha</w:t>
      </w:r>
      <w:r w:rsidR="00916521">
        <w:t>. La fecha</w:t>
      </w:r>
      <w:r w:rsidRPr="00FC695C">
        <w:t xml:space="preserve"> abarca desde enero de 2000 hasta enero de 2024 con frecuencia mensual</w:t>
      </w:r>
      <w:r w:rsidR="00916521">
        <w:t xml:space="preserve"> y no tiene </w:t>
      </w:r>
      <w:r w:rsidR="002B6939">
        <w:t xml:space="preserve">fechas faltantes en </w:t>
      </w:r>
      <w:r w:rsidR="00BA6EDC">
        <w:t>dentro del periodo de tiempo que abarca</w:t>
      </w:r>
      <w:r w:rsidRPr="00FC695C">
        <w:t>. Este conjunto no presenta</w:t>
      </w:r>
      <w:r w:rsidR="00916521">
        <w:t xml:space="preserve"> </w:t>
      </w:r>
      <w:r w:rsidR="00F87D70">
        <w:t>valores faltantes</w:t>
      </w:r>
      <w:r w:rsidRPr="00FC695C">
        <w:t>, y todas las columnas son de tipo numérico, ya que la fecha está representada como un número entero.</w:t>
      </w:r>
      <w:r w:rsidR="005F375D">
        <w:t xml:space="preserve"> Las </w:t>
      </w:r>
      <w:r w:rsidR="00795804">
        <w:t xml:space="preserve">estadísticas descriptivas de las variables en esta base de datos se encuentran en la siguiente tabla: </w:t>
      </w:r>
    </w:p>
    <w:p w14:paraId="3F5939D3" w14:textId="77777777" w:rsidR="00795804" w:rsidRDefault="00795804" w:rsidP="00922534">
      <w:pPr>
        <w:ind w:left="432"/>
        <w:jc w:val="both"/>
      </w:pPr>
    </w:p>
    <w:p w14:paraId="34294FC1" w14:textId="77777777" w:rsidR="00795804" w:rsidRDefault="00795804" w:rsidP="00922534">
      <w:pPr>
        <w:ind w:left="432"/>
        <w:jc w:val="both"/>
      </w:pPr>
    </w:p>
    <w:p w14:paraId="27A14132" w14:textId="49253388" w:rsidR="00795804" w:rsidRPr="00922534" w:rsidRDefault="00922534" w:rsidP="00922534">
      <w:pPr>
        <w:ind w:left="432"/>
        <w:jc w:val="both"/>
        <w:rPr>
          <w:b/>
          <w:bCs/>
        </w:rPr>
      </w:pPr>
      <w:r w:rsidRPr="00922534">
        <w:rPr>
          <w:b/>
          <w:bCs/>
        </w:rPr>
        <w:t>Tabla 1: Estadísticas descriptivas de la base de datos del IPC</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923"/>
        <w:gridCol w:w="1395"/>
        <w:gridCol w:w="951"/>
        <w:gridCol w:w="1553"/>
        <w:gridCol w:w="1055"/>
        <w:gridCol w:w="827"/>
      </w:tblGrid>
      <w:tr w:rsidR="005F375D" w14:paraId="157D84AE" w14:textId="77777777" w:rsidTr="005F375D">
        <w:trPr>
          <w:divId w:val="243995263"/>
          <w:tblCellSpacing w:w="15" w:type="dxa"/>
          <w:jc w:val="center"/>
        </w:trPr>
        <w:tc>
          <w:tcPr>
            <w:tcW w:w="0" w:type="auto"/>
            <w:gridSpan w:val="6"/>
            <w:tcBorders>
              <w:bottom w:val="single" w:sz="6" w:space="0" w:color="000000"/>
            </w:tcBorders>
            <w:vAlign w:val="center"/>
            <w:hideMark/>
          </w:tcPr>
          <w:p w14:paraId="046AEFC8" w14:textId="77777777" w:rsidR="005F375D" w:rsidRDefault="005F375D" w:rsidP="00922534">
            <w:pPr>
              <w:jc w:val="both"/>
              <w:rPr>
                <w:kern w:val="0"/>
                <w:sz w:val="20"/>
                <w:szCs w:val="20"/>
                <w14:ligatures w14:val="none"/>
              </w:rPr>
            </w:pPr>
          </w:p>
        </w:tc>
      </w:tr>
      <w:tr w:rsidR="005F375D" w14:paraId="0CFF1582" w14:textId="77777777" w:rsidTr="005F375D">
        <w:trPr>
          <w:divId w:val="243995263"/>
          <w:tblCellSpacing w:w="15" w:type="dxa"/>
          <w:jc w:val="center"/>
        </w:trPr>
        <w:tc>
          <w:tcPr>
            <w:tcW w:w="0" w:type="auto"/>
            <w:vAlign w:val="center"/>
            <w:hideMark/>
          </w:tcPr>
          <w:p w14:paraId="0B57C375" w14:textId="2BFA6E47" w:rsidR="005F375D" w:rsidRPr="00922534" w:rsidRDefault="005F375D" w:rsidP="00922534">
            <w:pPr>
              <w:jc w:val="center"/>
              <w:rPr>
                <w:rFonts w:eastAsia="Times New Roman"/>
                <w:b/>
                <w:bCs/>
                <w:sz w:val="24"/>
                <w:szCs w:val="24"/>
              </w:rPr>
            </w:pPr>
            <w:r w:rsidRPr="00922534">
              <w:rPr>
                <w:rFonts w:eastAsia="Times New Roman"/>
                <w:b/>
                <w:bCs/>
              </w:rPr>
              <w:t>Variable</w:t>
            </w:r>
          </w:p>
        </w:tc>
        <w:tc>
          <w:tcPr>
            <w:tcW w:w="0" w:type="auto"/>
            <w:vAlign w:val="center"/>
            <w:hideMark/>
          </w:tcPr>
          <w:p w14:paraId="40F2147A" w14:textId="0D7BE392" w:rsidR="005F375D" w:rsidRPr="00922534" w:rsidRDefault="005F375D" w:rsidP="00922534">
            <w:pPr>
              <w:jc w:val="center"/>
              <w:rPr>
                <w:rFonts w:eastAsia="Times New Roman"/>
                <w:b/>
                <w:bCs/>
              </w:rPr>
            </w:pPr>
            <w:r w:rsidRPr="00922534">
              <w:rPr>
                <w:rFonts w:eastAsia="Times New Roman"/>
                <w:b/>
                <w:bCs/>
              </w:rPr>
              <w:t>Observaciones</w:t>
            </w:r>
          </w:p>
        </w:tc>
        <w:tc>
          <w:tcPr>
            <w:tcW w:w="0" w:type="auto"/>
            <w:vAlign w:val="center"/>
            <w:hideMark/>
          </w:tcPr>
          <w:p w14:paraId="22087645" w14:textId="02B1570D" w:rsidR="005F375D" w:rsidRPr="00922534" w:rsidRDefault="005F375D" w:rsidP="00922534">
            <w:pPr>
              <w:jc w:val="center"/>
              <w:rPr>
                <w:rFonts w:eastAsia="Times New Roman"/>
                <w:b/>
                <w:bCs/>
              </w:rPr>
            </w:pPr>
            <w:r w:rsidRPr="00922534">
              <w:rPr>
                <w:rFonts w:eastAsia="Times New Roman"/>
                <w:b/>
                <w:bCs/>
              </w:rPr>
              <w:t>Promedio</w:t>
            </w:r>
          </w:p>
        </w:tc>
        <w:tc>
          <w:tcPr>
            <w:tcW w:w="1523" w:type="dxa"/>
            <w:vAlign w:val="center"/>
            <w:hideMark/>
          </w:tcPr>
          <w:p w14:paraId="39AE08C3" w14:textId="552E26D0" w:rsidR="005F375D" w:rsidRPr="00922534" w:rsidRDefault="005F375D" w:rsidP="00922534">
            <w:pPr>
              <w:jc w:val="center"/>
              <w:rPr>
                <w:rFonts w:eastAsia="Times New Roman"/>
                <w:b/>
                <w:bCs/>
              </w:rPr>
            </w:pPr>
            <w:r w:rsidRPr="00922534">
              <w:rPr>
                <w:rFonts w:eastAsia="Times New Roman"/>
                <w:b/>
                <w:bCs/>
              </w:rPr>
              <w:t>Desviación estándar</w:t>
            </w:r>
          </w:p>
        </w:tc>
        <w:tc>
          <w:tcPr>
            <w:tcW w:w="1025" w:type="dxa"/>
            <w:vAlign w:val="center"/>
            <w:hideMark/>
          </w:tcPr>
          <w:p w14:paraId="6492F68E" w14:textId="6BB8B5BD" w:rsidR="005F375D" w:rsidRPr="00922534" w:rsidRDefault="005F375D" w:rsidP="00922534">
            <w:pPr>
              <w:jc w:val="center"/>
              <w:rPr>
                <w:rFonts w:eastAsia="Times New Roman"/>
                <w:b/>
                <w:bCs/>
              </w:rPr>
            </w:pPr>
            <w:r w:rsidRPr="00922534">
              <w:rPr>
                <w:rFonts w:eastAsia="Times New Roman"/>
                <w:b/>
                <w:bCs/>
              </w:rPr>
              <w:t>Mínimo</w:t>
            </w:r>
          </w:p>
        </w:tc>
        <w:tc>
          <w:tcPr>
            <w:tcW w:w="0" w:type="auto"/>
            <w:vAlign w:val="center"/>
            <w:hideMark/>
          </w:tcPr>
          <w:p w14:paraId="75099DFE" w14:textId="386F25F5" w:rsidR="005F375D" w:rsidRPr="00922534" w:rsidRDefault="005F375D" w:rsidP="00922534">
            <w:pPr>
              <w:jc w:val="center"/>
              <w:rPr>
                <w:rFonts w:eastAsia="Times New Roman"/>
                <w:b/>
                <w:bCs/>
              </w:rPr>
            </w:pPr>
            <w:r w:rsidRPr="00922534">
              <w:rPr>
                <w:rFonts w:eastAsia="Times New Roman"/>
                <w:b/>
                <w:bCs/>
              </w:rPr>
              <w:t>Máximo</w:t>
            </w:r>
          </w:p>
        </w:tc>
      </w:tr>
      <w:tr w:rsidR="005F375D" w14:paraId="6F667332" w14:textId="77777777" w:rsidTr="005F375D">
        <w:trPr>
          <w:divId w:val="243995263"/>
          <w:tblCellSpacing w:w="15" w:type="dxa"/>
          <w:jc w:val="center"/>
        </w:trPr>
        <w:tc>
          <w:tcPr>
            <w:tcW w:w="0" w:type="auto"/>
            <w:gridSpan w:val="6"/>
            <w:tcBorders>
              <w:bottom w:val="single" w:sz="6" w:space="0" w:color="000000"/>
            </w:tcBorders>
            <w:vAlign w:val="center"/>
            <w:hideMark/>
          </w:tcPr>
          <w:p w14:paraId="30E8D5FF" w14:textId="77777777" w:rsidR="005F375D" w:rsidRDefault="005F375D" w:rsidP="00922534">
            <w:pPr>
              <w:jc w:val="center"/>
              <w:rPr>
                <w:rFonts w:eastAsia="Times New Roman"/>
              </w:rPr>
            </w:pPr>
          </w:p>
        </w:tc>
      </w:tr>
      <w:tr w:rsidR="005F375D" w14:paraId="682AEE8D" w14:textId="77777777" w:rsidTr="005F375D">
        <w:trPr>
          <w:divId w:val="243995263"/>
          <w:tblCellSpacing w:w="15" w:type="dxa"/>
          <w:jc w:val="center"/>
        </w:trPr>
        <w:tc>
          <w:tcPr>
            <w:tcW w:w="0" w:type="auto"/>
            <w:vAlign w:val="center"/>
            <w:hideMark/>
          </w:tcPr>
          <w:p w14:paraId="485E4404" w14:textId="2D4B430D" w:rsidR="005F375D" w:rsidRDefault="005F375D" w:rsidP="00922534">
            <w:pPr>
              <w:jc w:val="center"/>
              <w:rPr>
                <w:rFonts w:eastAsia="Times New Roman"/>
                <w:sz w:val="24"/>
                <w:szCs w:val="24"/>
              </w:rPr>
            </w:pPr>
            <w:r>
              <w:rPr>
                <w:rFonts w:eastAsia="Times New Roman"/>
              </w:rPr>
              <w:t>Índice de Precios al Consumidor</w:t>
            </w:r>
          </w:p>
        </w:tc>
        <w:tc>
          <w:tcPr>
            <w:tcW w:w="0" w:type="auto"/>
            <w:vAlign w:val="center"/>
            <w:hideMark/>
          </w:tcPr>
          <w:p w14:paraId="63643B39" w14:textId="77777777" w:rsidR="005F375D" w:rsidRDefault="005F375D" w:rsidP="00922534">
            <w:pPr>
              <w:jc w:val="center"/>
              <w:rPr>
                <w:rFonts w:eastAsia="Times New Roman"/>
              </w:rPr>
            </w:pPr>
            <w:r>
              <w:rPr>
                <w:rFonts w:eastAsia="Times New Roman"/>
              </w:rPr>
              <w:t>289</w:t>
            </w:r>
          </w:p>
        </w:tc>
        <w:tc>
          <w:tcPr>
            <w:tcW w:w="0" w:type="auto"/>
            <w:vAlign w:val="center"/>
            <w:hideMark/>
          </w:tcPr>
          <w:p w14:paraId="1740D785" w14:textId="77777777" w:rsidR="005F375D" w:rsidRDefault="005F375D" w:rsidP="00922534">
            <w:pPr>
              <w:jc w:val="center"/>
              <w:rPr>
                <w:rFonts w:eastAsia="Times New Roman"/>
              </w:rPr>
            </w:pPr>
            <w:r>
              <w:rPr>
                <w:rFonts w:eastAsia="Times New Roman"/>
              </w:rPr>
              <w:t>79.165</w:t>
            </w:r>
          </w:p>
        </w:tc>
        <w:tc>
          <w:tcPr>
            <w:tcW w:w="1523" w:type="dxa"/>
            <w:vAlign w:val="center"/>
            <w:hideMark/>
          </w:tcPr>
          <w:p w14:paraId="2D98CCAE" w14:textId="77777777" w:rsidR="005F375D" w:rsidRDefault="005F375D" w:rsidP="00922534">
            <w:pPr>
              <w:jc w:val="center"/>
              <w:rPr>
                <w:rFonts w:eastAsia="Times New Roman"/>
              </w:rPr>
            </w:pPr>
            <w:r>
              <w:rPr>
                <w:rFonts w:eastAsia="Times New Roman"/>
              </w:rPr>
              <w:t>24.132</w:t>
            </w:r>
          </w:p>
        </w:tc>
        <w:tc>
          <w:tcPr>
            <w:tcW w:w="1025" w:type="dxa"/>
            <w:vAlign w:val="center"/>
            <w:hideMark/>
          </w:tcPr>
          <w:p w14:paraId="59F0EE00" w14:textId="77777777" w:rsidR="005F375D" w:rsidRDefault="005F375D" w:rsidP="00922534">
            <w:pPr>
              <w:jc w:val="center"/>
              <w:rPr>
                <w:rFonts w:eastAsia="Times New Roman"/>
              </w:rPr>
            </w:pPr>
            <w:r>
              <w:rPr>
                <w:rFonts w:eastAsia="Times New Roman"/>
              </w:rPr>
              <w:t>40.300</w:t>
            </w:r>
          </w:p>
        </w:tc>
        <w:tc>
          <w:tcPr>
            <w:tcW w:w="0" w:type="auto"/>
            <w:vAlign w:val="center"/>
            <w:hideMark/>
          </w:tcPr>
          <w:p w14:paraId="0AE75816" w14:textId="77777777" w:rsidR="005F375D" w:rsidRDefault="005F375D" w:rsidP="00922534">
            <w:pPr>
              <w:jc w:val="center"/>
              <w:rPr>
                <w:rFonts w:eastAsia="Times New Roman"/>
              </w:rPr>
            </w:pPr>
            <w:r>
              <w:rPr>
                <w:rFonts w:eastAsia="Times New Roman"/>
              </w:rPr>
              <w:t>138.980</w:t>
            </w:r>
          </w:p>
        </w:tc>
      </w:tr>
      <w:tr w:rsidR="005F375D" w14:paraId="378B2067" w14:textId="77777777" w:rsidTr="005F375D">
        <w:trPr>
          <w:divId w:val="243995263"/>
          <w:tblCellSpacing w:w="15" w:type="dxa"/>
          <w:jc w:val="center"/>
        </w:trPr>
        <w:tc>
          <w:tcPr>
            <w:tcW w:w="0" w:type="auto"/>
            <w:vAlign w:val="center"/>
            <w:hideMark/>
          </w:tcPr>
          <w:p w14:paraId="520E77A8" w14:textId="000D0EE2" w:rsidR="005F375D" w:rsidRDefault="005F375D" w:rsidP="00922534">
            <w:pPr>
              <w:jc w:val="center"/>
              <w:rPr>
                <w:rFonts w:eastAsia="Times New Roman"/>
              </w:rPr>
            </w:pPr>
            <w:r>
              <w:rPr>
                <w:rFonts w:eastAsia="Times New Roman"/>
              </w:rPr>
              <w:t>Variación anual</w:t>
            </w:r>
          </w:p>
        </w:tc>
        <w:tc>
          <w:tcPr>
            <w:tcW w:w="0" w:type="auto"/>
            <w:vAlign w:val="center"/>
            <w:hideMark/>
          </w:tcPr>
          <w:p w14:paraId="1011391B" w14:textId="77777777" w:rsidR="005F375D" w:rsidRDefault="005F375D" w:rsidP="00922534">
            <w:pPr>
              <w:jc w:val="center"/>
              <w:rPr>
                <w:rFonts w:eastAsia="Times New Roman"/>
              </w:rPr>
            </w:pPr>
            <w:r>
              <w:rPr>
                <w:rFonts w:eastAsia="Times New Roman"/>
              </w:rPr>
              <w:t>289</w:t>
            </w:r>
          </w:p>
        </w:tc>
        <w:tc>
          <w:tcPr>
            <w:tcW w:w="0" w:type="auto"/>
            <w:vAlign w:val="center"/>
            <w:hideMark/>
          </w:tcPr>
          <w:p w14:paraId="7FC888D0" w14:textId="77777777" w:rsidR="005F375D" w:rsidRDefault="005F375D" w:rsidP="00922534">
            <w:pPr>
              <w:jc w:val="center"/>
              <w:rPr>
                <w:rFonts w:eastAsia="Times New Roman"/>
              </w:rPr>
            </w:pPr>
            <w:r>
              <w:rPr>
                <w:rFonts w:eastAsia="Times New Roman"/>
              </w:rPr>
              <w:t>5.345</w:t>
            </w:r>
          </w:p>
        </w:tc>
        <w:tc>
          <w:tcPr>
            <w:tcW w:w="1523" w:type="dxa"/>
            <w:vAlign w:val="center"/>
            <w:hideMark/>
          </w:tcPr>
          <w:p w14:paraId="4B3582C1" w14:textId="77777777" w:rsidR="005F375D" w:rsidRDefault="005F375D" w:rsidP="00922534">
            <w:pPr>
              <w:jc w:val="center"/>
              <w:rPr>
                <w:rFonts w:eastAsia="Times New Roman"/>
              </w:rPr>
            </w:pPr>
            <w:r>
              <w:rPr>
                <w:rFonts w:eastAsia="Times New Roman"/>
              </w:rPr>
              <w:t>2.677</w:t>
            </w:r>
          </w:p>
        </w:tc>
        <w:tc>
          <w:tcPr>
            <w:tcW w:w="1025" w:type="dxa"/>
            <w:vAlign w:val="center"/>
            <w:hideMark/>
          </w:tcPr>
          <w:p w14:paraId="5EE6153B" w14:textId="77777777" w:rsidR="005F375D" w:rsidRDefault="005F375D" w:rsidP="00922534">
            <w:pPr>
              <w:jc w:val="center"/>
              <w:rPr>
                <w:rFonts w:eastAsia="Times New Roman"/>
              </w:rPr>
            </w:pPr>
            <w:r>
              <w:rPr>
                <w:rFonts w:eastAsia="Times New Roman"/>
              </w:rPr>
              <w:t>1.490</w:t>
            </w:r>
          </w:p>
        </w:tc>
        <w:tc>
          <w:tcPr>
            <w:tcW w:w="0" w:type="auto"/>
            <w:vAlign w:val="center"/>
            <w:hideMark/>
          </w:tcPr>
          <w:p w14:paraId="3BC96096" w14:textId="77777777" w:rsidR="005F375D" w:rsidRDefault="005F375D" w:rsidP="00922534">
            <w:pPr>
              <w:jc w:val="center"/>
              <w:rPr>
                <w:rFonts w:eastAsia="Times New Roman"/>
              </w:rPr>
            </w:pPr>
            <w:r>
              <w:rPr>
                <w:rFonts w:eastAsia="Times New Roman"/>
              </w:rPr>
              <w:t>13.340</w:t>
            </w:r>
          </w:p>
        </w:tc>
      </w:tr>
      <w:tr w:rsidR="005F375D" w14:paraId="2D58DD34" w14:textId="77777777" w:rsidTr="005F375D">
        <w:trPr>
          <w:divId w:val="243995263"/>
          <w:tblCellSpacing w:w="15" w:type="dxa"/>
          <w:jc w:val="center"/>
        </w:trPr>
        <w:tc>
          <w:tcPr>
            <w:tcW w:w="0" w:type="auto"/>
            <w:vAlign w:val="center"/>
            <w:hideMark/>
          </w:tcPr>
          <w:p w14:paraId="6F66D4F3" w14:textId="745F04A1" w:rsidR="005F375D" w:rsidRDefault="005F375D" w:rsidP="00922534">
            <w:pPr>
              <w:jc w:val="center"/>
              <w:rPr>
                <w:rFonts w:eastAsia="Times New Roman"/>
              </w:rPr>
            </w:pPr>
            <w:r>
              <w:rPr>
                <w:rFonts w:eastAsia="Times New Roman"/>
              </w:rPr>
              <w:t>Variación mensual</w:t>
            </w:r>
          </w:p>
        </w:tc>
        <w:tc>
          <w:tcPr>
            <w:tcW w:w="0" w:type="auto"/>
            <w:vAlign w:val="center"/>
            <w:hideMark/>
          </w:tcPr>
          <w:p w14:paraId="57045DB2" w14:textId="77777777" w:rsidR="005F375D" w:rsidRDefault="005F375D" w:rsidP="00922534">
            <w:pPr>
              <w:jc w:val="center"/>
              <w:rPr>
                <w:rFonts w:eastAsia="Times New Roman"/>
              </w:rPr>
            </w:pPr>
            <w:r>
              <w:rPr>
                <w:rFonts w:eastAsia="Times New Roman"/>
              </w:rPr>
              <w:t>289</w:t>
            </w:r>
          </w:p>
        </w:tc>
        <w:tc>
          <w:tcPr>
            <w:tcW w:w="0" w:type="auto"/>
            <w:vAlign w:val="center"/>
            <w:hideMark/>
          </w:tcPr>
          <w:p w14:paraId="5D8B5366" w14:textId="77777777" w:rsidR="005F375D" w:rsidRDefault="005F375D" w:rsidP="00922534">
            <w:pPr>
              <w:jc w:val="center"/>
              <w:rPr>
                <w:rFonts w:eastAsia="Times New Roman"/>
              </w:rPr>
            </w:pPr>
            <w:r>
              <w:rPr>
                <w:rFonts w:eastAsia="Times New Roman"/>
              </w:rPr>
              <w:t>0.435</w:t>
            </w:r>
          </w:p>
        </w:tc>
        <w:tc>
          <w:tcPr>
            <w:tcW w:w="1523" w:type="dxa"/>
            <w:vAlign w:val="center"/>
            <w:hideMark/>
          </w:tcPr>
          <w:p w14:paraId="450B52CF" w14:textId="77777777" w:rsidR="005F375D" w:rsidRDefault="005F375D" w:rsidP="00922534">
            <w:pPr>
              <w:jc w:val="center"/>
              <w:rPr>
                <w:rFonts w:eastAsia="Times New Roman"/>
              </w:rPr>
            </w:pPr>
            <w:r>
              <w:rPr>
                <w:rFonts w:eastAsia="Times New Roman"/>
              </w:rPr>
              <w:t>0.425</w:t>
            </w:r>
          </w:p>
        </w:tc>
        <w:tc>
          <w:tcPr>
            <w:tcW w:w="1025" w:type="dxa"/>
            <w:vAlign w:val="center"/>
            <w:hideMark/>
          </w:tcPr>
          <w:p w14:paraId="5E74B879" w14:textId="77777777" w:rsidR="005F375D" w:rsidRDefault="005F375D" w:rsidP="00922534">
            <w:pPr>
              <w:jc w:val="center"/>
              <w:rPr>
                <w:rFonts w:eastAsia="Times New Roman"/>
              </w:rPr>
            </w:pPr>
            <w:r>
              <w:rPr>
                <w:rFonts w:eastAsia="Times New Roman"/>
              </w:rPr>
              <w:t>-0.380</w:t>
            </w:r>
          </w:p>
        </w:tc>
        <w:tc>
          <w:tcPr>
            <w:tcW w:w="0" w:type="auto"/>
            <w:vAlign w:val="center"/>
            <w:hideMark/>
          </w:tcPr>
          <w:p w14:paraId="3ED5DBAA" w14:textId="77777777" w:rsidR="005F375D" w:rsidRDefault="005F375D" w:rsidP="00922534">
            <w:pPr>
              <w:jc w:val="center"/>
              <w:rPr>
                <w:rFonts w:eastAsia="Times New Roman"/>
              </w:rPr>
            </w:pPr>
            <w:r>
              <w:rPr>
                <w:rFonts w:eastAsia="Times New Roman"/>
              </w:rPr>
              <w:t>2.300</w:t>
            </w:r>
          </w:p>
        </w:tc>
      </w:tr>
      <w:tr w:rsidR="005F375D" w14:paraId="313F587F" w14:textId="77777777" w:rsidTr="005F375D">
        <w:trPr>
          <w:divId w:val="243995263"/>
          <w:tblCellSpacing w:w="15" w:type="dxa"/>
          <w:jc w:val="center"/>
        </w:trPr>
        <w:tc>
          <w:tcPr>
            <w:tcW w:w="0" w:type="auto"/>
            <w:vAlign w:val="center"/>
            <w:hideMark/>
          </w:tcPr>
          <w:p w14:paraId="452AE291" w14:textId="527F0AEE" w:rsidR="005F375D" w:rsidRDefault="005F375D" w:rsidP="00922534">
            <w:pPr>
              <w:jc w:val="center"/>
              <w:rPr>
                <w:rFonts w:eastAsia="Times New Roman"/>
              </w:rPr>
            </w:pPr>
            <w:r>
              <w:rPr>
                <w:rFonts w:eastAsia="Times New Roman"/>
              </w:rPr>
              <w:t>Variación año corrido</w:t>
            </w:r>
          </w:p>
        </w:tc>
        <w:tc>
          <w:tcPr>
            <w:tcW w:w="0" w:type="auto"/>
            <w:vAlign w:val="center"/>
            <w:hideMark/>
          </w:tcPr>
          <w:p w14:paraId="1942A3E1" w14:textId="77777777" w:rsidR="005F375D" w:rsidRDefault="005F375D" w:rsidP="00922534">
            <w:pPr>
              <w:jc w:val="center"/>
              <w:rPr>
                <w:rFonts w:eastAsia="Times New Roman"/>
              </w:rPr>
            </w:pPr>
            <w:r>
              <w:rPr>
                <w:rFonts w:eastAsia="Times New Roman"/>
              </w:rPr>
              <w:t>289</w:t>
            </w:r>
          </w:p>
        </w:tc>
        <w:tc>
          <w:tcPr>
            <w:tcW w:w="0" w:type="auto"/>
            <w:vAlign w:val="center"/>
            <w:hideMark/>
          </w:tcPr>
          <w:p w14:paraId="2C95A1FE" w14:textId="77777777" w:rsidR="005F375D" w:rsidRDefault="005F375D" w:rsidP="00922534">
            <w:pPr>
              <w:jc w:val="center"/>
              <w:rPr>
                <w:rFonts w:eastAsia="Times New Roman"/>
              </w:rPr>
            </w:pPr>
            <w:r>
              <w:rPr>
                <w:rFonts w:eastAsia="Times New Roman"/>
              </w:rPr>
              <w:t>3.651</w:t>
            </w:r>
          </w:p>
        </w:tc>
        <w:tc>
          <w:tcPr>
            <w:tcW w:w="1523" w:type="dxa"/>
            <w:vAlign w:val="center"/>
            <w:hideMark/>
          </w:tcPr>
          <w:p w14:paraId="03744A0B" w14:textId="77777777" w:rsidR="005F375D" w:rsidRDefault="005F375D" w:rsidP="00922534">
            <w:pPr>
              <w:jc w:val="center"/>
              <w:rPr>
                <w:rFonts w:eastAsia="Times New Roman"/>
              </w:rPr>
            </w:pPr>
            <w:r>
              <w:rPr>
                <w:rFonts w:eastAsia="Times New Roman"/>
              </w:rPr>
              <w:t>2.211</w:t>
            </w:r>
          </w:p>
        </w:tc>
        <w:tc>
          <w:tcPr>
            <w:tcW w:w="1025" w:type="dxa"/>
            <w:vAlign w:val="center"/>
            <w:hideMark/>
          </w:tcPr>
          <w:p w14:paraId="1F494763" w14:textId="77777777" w:rsidR="005F375D" w:rsidRDefault="005F375D" w:rsidP="00922534">
            <w:pPr>
              <w:jc w:val="center"/>
              <w:rPr>
                <w:rFonts w:eastAsia="Times New Roman"/>
              </w:rPr>
            </w:pPr>
            <w:r>
              <w:rPr>
                <w:rFonts w:eastAsia="Times New Roman"/>
              </w:rPr>
              <w:t>0.300</w:t>
            </w:r>
          </w:p>
        </w:tc>
        <w:tc>
          <w:tcPr>
            <w:tcW w:w="0" w:type="auto"/>
            <w:vAlign w:val="center"/>
            <w:hideMark/>
          </w:tcPr>
          <w:p w14:paraId="59446E11" w14:textId="77777777" w:rsidR="005F375D" w:rsidRDefault="005F375D" w:rsidP="00922534">
            <w:pPr>
              <w:jc w:val="center"/>
              <w:rPr>
                <w:rFonts w:eastAsia="Times New Roman"/>
              </w:rPr>
            </w:pPr>
            <w:r>
              <w:rPr>
                <w:rFonts w:eastAsia="Times New Roman"/>
              </w:rPr>
              <w:t>13.120</w:t>
            </w:r>
          </w:p>
        </w:tc>
      </w:tr>
      <w:tr w:rsidR="005F375D" w14:paraId="43914F27" w14:textId="77777777" w:rsidTr="005F375D">
        <w:trPr>
          <w:divId w:val="243995263"/>
          <w:tblCellSpacing w:w="15" w:type="dxa"/>
          <w:jc w:val="center"/>
        </w:trPr>
        <w:tc>
          <w:tcPr>
            <w:tcW w:w="0" w:type="auto"/>
            <w:gridSpan w:val="6"/>
            <w:tcBorders>
              <w:bottom w:val="single" w:sz="6" w:space="0" w:color="000000"/>
            </w:tcBorders>
            <w:vAlign w:val="center"/>
            <w:hideMark/>
          </w:tcPr>
          <w:p w14:paraId="6632BD34" w14:textId="77777777" w:rsidR="005F375D" w:rsidRDefault="005F375D" w:rsidP="00922534">
            <w:pPr>
              <w:jc w:val="center"/>
              <w:rPr>
                <w:rFonts w:eastAsia="Times New Roman"/>
              </w:rPr>
            </w:pPr>
          </w:p>
        </w:tc>
      </w:tr>
    </w:tbl>
    <w:p w14:paraId="38966E26" w14:textId="544304B8" w:rsidR="005F375D" w:rsidRPr="00922534" w:rsidRDefault="00922534" w:rsidP="00922534">
      <w:pPr>
        <w:jc w:val="center"/>
        <w:divId w:val="243995263"/>
      </w:pPr>
      <w:r>
        <w:t>Fuente: Elaboración propia con Datos_taller.zip, 2024.</w:t>
      </w:r>
    </w:p>
    <w:p w14:paraId="079A10B6" w14:textId="77777777" w:rsidR="005F375D" w:rsidRDefault="005F375D" w:rsidP="00922534">
      <w:pPr>
        <w:ind w:left="432"/>
        <w:jc w:val="both"/>
      </w:pPr>
    </w:p>
    <w:p w14:paraId="575B6392" w14:textId="56489136" w:rsidR="00F10D43" w:rsidRPr="00C866FE" w:rsidRDefault="00F10D43" w:rsidP="00922534">
      <w:pPr>
        <w:jc w:val="both"/>
        <w:rPr>
          <w:b/>
          <w:bCs/>
        </w:rPr>
      </w:pPr>
      <w:r w:rsidRPr="00C866FE">
        <w:rPr>
          <w:b/>
          <w:bCs/>
        </w:rPr>
        <w:t>Explorando las bases de datos de los precios de forma individual identifican que no todas tienen el mismo número de observaciones. Un hecho muy común cuando se trabaja con datos en formato panel es que algunas fechas para algunos productos no estén en la base de datos, es decir, hay fechas faltantes. A continuación, ustedes quieren “explicitar” las fechas faltantes.</w:t>
      </w:r>
      <w:r w:rsidR="005D19BE" w:rsidRPr="00C866FE">
        <w:rPr>
          <w:rStyle w:val="FootnoteReference"/>
          <w:b/>
          <w:bCs/>
        </w:rPr>
        <w:footnoteReference w:id="2"/>
      </w:r>
      <w:r w:rsidRPr="00C866FE">
        <w:rPr>
          <w:b/>
          <w:bCs/>
        </w:rPr>
        <w:t xml:space="preserve"> </w:t>
      </w:r>
    </w:p>
    <w:p w14:paraId="6807B300" w14:textId="77777777" w:rsidR="00F10D43" w:rsidRPr="00C866FE" w:rsidRDefault="00F10D43" w:rsidP="00922534">
      <w:pPr>
        <w:pStyle w:val="ListParagraph"/>
        <w:ind w:left="792"/>
        <w:jc w:val="both"/>
        <w:rPr>
          <w:b/>
          <w:bCs/>
        </w:rPr>
      </w:pPr>
    </w:p>
    <w:p w14:paraId="2191D108" w14:textId="5069586A" w:rsidR="00054BBD" w:rsidRDefault="00B518CD" w:rsidP="00922534">
      <w:pPr>
        <w:pStyle w:val="ListParagraph"/>
        <w:numPr>
          <w:ilvl w:val="1"/>
          <w:numId w:val="2"/>
        </w:numPr>
        <w:jc w:val="both"/>
        <w:rPr>
          <w:b/>
          <w:bCs/>
        </w:rPr>
      </w:pPr>
      <w:r w:rsidRPr="00C866FE">
        <w:rPr>
          <w:b/>
          <w:bCs/>
        </w:rPr>
        <w:t xml:space="preserve">Creen una función que </w:t>
      </w:r>
      <w:r w:rsidR="00A41AD9" w:rsidRPr="00C866FE">
        <w:rPr>
          <w:b/>
          <w:bCs/>
        </w:rPr>
        <w:t>tenga como parámetros un</w:t>
      </w:r>
      <w:r w:rsidR="006B073D" w:rsidRPr="00C866FE">
        <w:rPr>
          <w:b/>
          <w:bCs/>
        </w:rPr>
        <w:t xml:space="preserve"> dataframe, una columna de fecha</w:t>
      </w:r>
      <w:r w:rsidR="00A41AD9" w:rsidRPr="00C866FE">
        <w:rPr>
          <w:b/>
          <w:bCs/>
        </w:rPr>
        <w:t xml:space="preserve"> y una columna de </w:t>
      </w:r>
      <w:r w:rsidR="006B073D" w:rsidRPr="00C866FE">
        <w:rPr>
          <w:b/>
          <w:bCs/>
        </w:rPr>
        <w:t xml:space="preserve">precio, posteriormente, la función tiene que </w:t>
      </w:r>
      <w:r w:rsidRPr="00C866FE">
        <w:rPr>
          <w:b/>
          <w:bCs/>
        </w:rPr>
        <w:t>a</w:t>
      </w:r>
      <w:r w:rsidR="00F10D43" w:rsidRPr="00C866FE">
        <w:rPr>
          <w:b/>
          <w:bCs/>
        </w:rPr>
        <w:t>greg</w:t>
      </w:r>
      <w:r w:rsidR="006B073D" w:rsidRPr="00C866FE">
        <w:rPr>
          <w:b/>
          <w:bCs/>
        </w:rPr>
        <w:t>ar</w:t>
      </w:r>
      <w:r w:rsidR="00F10D43" w:rsidRPr="00C866FE">
        <w:rPr>
          <w:b/>
          <w:bCs/>
        </w:rPr>
        <w:t xml:space="preserve"> las fechas faltantes en la columna </w:t>
      </w:r>
      <w:r w:rsidR="006B073D" w:rsidRPr="00C866FE">
        <w:rPr>
          <w:b/>
          <w:bCs/>
        </w:rPr>
        <w:t>de fecha</w:t>
      </w:r>
      <w:r w:rsidR="00F10D43" w:rsidRPr="00C866FE">
        <w:rPr>
          <w:b/>
          <w:bCs/>
        </w:rPr>
        <w:t xml:space="preserve"> y añad</w:t>
      </w:r>
      <w:r w:rsidR="006B073D" w:rsidRPr="00C866FE">
        <w:rPr>
          <w:b/>
          <w:bCs/>
        </w:rPr>
        <w:t>ir</w:t>
      </w:r>
      <w:r w:rsidR="00F10D43" w:rsidRPr="00C866FE">
        <w:rPr>
          <w:b/>
          <w:bCs/>
        </w:rPr>
        <w:t xml:space="preserve"> un missing value en su valor correspondiente en el precio para esta fecha explicitada. </w:t>
      </w:r>
      <w:r w:rsidR="00054BBD" w:rsidRPr="00C866FE">
        <w:rPr>
          <w:b/>
          <w:bCs/>
        </w:rPr>
        <w:t xml:space="preserve">Finalmente, tiene que retornar el dataframe con las fechas completas. </w:t>
      </w:r>
    </w:p>
    <w:p w14:paraId="77FC2AF6" w14:textId="77777777" w:rsidR="00FC5BBE" w:rsidRDefault="00FC5BBE" w:rsidP="00922534">
      <w:pPr>
        <w:pStyle w:val="ListParagraph"/>
        <w:ind w:left="432"/>
        <w:jc w:val="both"/>
        <w:rPr>
          <w:b/>
          <w:bCs/>
        </w:rPr>
      </w:pPr>
    </w:p>
    <w:p w14:paraId="15BFDBCF" w14:textId="0A7A88D5" w:rsidR="00FC5BBE" w:rsidRPr="00C866FE" w:rsidRDefault="00FC5BBE" w:rsidP="00922534">
      <w:pPr>
        <w:pStyle w:val="ListParagraph"/>
        <w:ind w:left="432"/>
        <w:jc w:val="both"/>
        <w:rPr>
          <w:b/>
          <w:bCs/>
        </w:rPr>
      </w:pPr>
      <w:r>
        <w:rPr>
          <w:b/>
          <w:bCs/>
        </w:rPr>
        <w:t>Solución:</w:t>
      </w:r>
    </w:p>
    <w:p w14:paraId="51453905" w14:textId="77777777" w:rsidR="00351635" w:rsidRDefault="00351635" w:rsidP="00922534">
      <w:pPr>
        <w:ind w:left="432"/>
        <w:jc w:val="both"/>
        <w:rPr>
          <w:sz w:val="24"/>
          <w:szCs w:val="24"/>
        </w:rPr>
      </w:pPr>
      <w:r w:rsidRPr="00F34CEA">
        <w:rPr>
          <w:sz w:val="24"/>
          <w:szCs w:val="24"/>
        </w:rPr>
        <w:t xml:space="preserve">Las instrucciones de este punto no requieren argumentación ni interpretación de resultados, ni tampoco responder a una pregunta en forma de texto. Por lo tanto, la solución se limita únicamente al script de R asociado al taller. </w:t>
      </w:r>
    </w:p>
    <w:p w14:paraId="34CF6D1C" w14:textId="41EE766F" w:rsidR="002B55FE" w:rsidRDefault="002B55FE" w:rsidP="00922534">
      <w:pPr>
        <w:ind w:left="432"/>
        <w:jc w:val="both"/>
        <w:rPr>
          <w:sz w:val="24"/>
          <w:szCs w:val="24"/>
        </w:rPr>
      </w:pPr>
      <w:r>
        <w:rPr>
          <w:sz w:val="24"/>
          <w:szCs w:val="24"/>
        </w:rPr>
        <w:t>Sin embargo, nos pare</w:t>
      </w:r>
      <w:r w:rsidR="00574845">
        <w:rPr>
          <w:sz w:val="24"/>
          <w:szCs w:val="24"/>
        </w:rPr>
        <w:t>ce relevante mencionar que para crear un vector</w:t>
      </w:r>
      <w:r w:rsidR="001D6C64">
        <w:rPr>
          <w:sz w:val="24"/>
          <w:szCs w:val="24"/>
        </w:rPr>
        <w:t xml:space="preserve"> que contenga todos los días desde 1 de </w:t>
      </w:r>
      <w:r w:rsidR="00AA19E1">
        <w:rPr>
          <w:sz w:val="24"/>
          <w:szCs w:val="24"/>
        </w:rPr>
        <w:t>enero</w:t>
      </w:r>
      <w:r w:rsidR="001D6C64">
        <w:rPr>
          <w:sz w:val="24"/>
          <w:szCs w:val="24"/>
        </w:rPr>
        <w:t xml:space="preserve"> de 2000 hasta el 1 de </w:t>
      </w:r>
      <w:r w:rsidR="009D250E">
        <w:rPr>
          <w:sz w:val="24"/>
          <w:szCs w:val="24"/>
        </w:rPr>
        <w:t>enero</w:t>
      </w:r>
      <w:r w:rsidR="001D6C64">
        <w:rPr>
          <w:sz w:val="24"/>
          <w:szCs w:val="24"/>
        </w:rPr>
        <w:t xml:space="preserve"> de 2024</w:t>
      </w:r>
      <w:r w:rsidR="00AA19E1">
        <w:rPr>
          <w:sz w:val="24"/>
          <w:szCs w:val="24"/>
        </w:rPr>
        <w:t xml:space="preserve"> se utilizo la siguiente referencia de internet:</w:t>
      </w:r>
    </w:p>
    <w:p w14:paraId="37F33194" w14:textId="6D02B342" w:rsidR="00AA19E1" w:rsidRPr="00864B8A" w:rsidRDefault="00AA19E1" w:rsidP="00922534">
      <w:pPr>
        <w:ind w:left="432"/>
        <w:jc w:val="both"/>
        <w:rPr>
          <w:sz w:val="24"/>
          <w:szCs w:val="24"/>
        </w:rPr>
      </w:pPr>
      <w:r w:rsidRPr="00864B8A">
        <w:rPr>
          <w:sz w:val="24"/>
          <w:szCs w:val="24"/>
        </w:rPr>
        <w:t>Enlace:</w:t>
      </w:r>
      <w:hyperlink r:id="rId9" w:history="1">
        <w:r w:rsidR="00864B8A" w:rsidRPr="00864B8A">
          <w:rPr>
            <w:rStyle w:val="Hyperlink"/>
            <w:sz w:val="24"/>
            <w:szCs w:val="24"/>
          </w:rPr>
          <w:t>https://www.tutorialspoint.com/how-to-create-a-vector-with-all-dates-in-a-particular-year-in-r</w:t>
        </w:r>
      </w:hyperlink>
    </w:p>
    <w:p w14:paraId="1889E71A" w14:textId="0158555C" w:rsidR="00351635" w:rsidRDefault="00351635" w:rsidP="00922534">
      <w:pPr>
        <w:ind w:left="432"/>
        <w:jc w:val="both"/>
      </w:pPr>
    </w:p>
    <w:p w14:paraId="1F9613C4" w14:textId="77777777" w:rsidR="00922534" w:rsidRPr="00864B8A" w:rsidRDefault="00922534" w:rsidP="00922534">
      <w:pPr>
        <w:ind w:left="432"/>
        <w:jc w:val="both"/>
      </w:pPr>
    </w:p>
    <w:p w14:paraId="28EAE4D6" w14:textId="4D12AE3B" w:rsidR="00054BBD" w:rsidRPr="00C866FE" w:rsidRDefault="00054BBD" w:rsidP="00922534">
      <w:pPr>
        <w:pStyle w:val="ListParagraph"/>
        <w:numPr>
          <w:ilvl w:val="1"/>
          <w:numId w:val="2"/>
        </w:numPr>
        <w:jc w:val="both"/>
        <w:rPr>
          <w:b/>
          <w:bCs/>
        </w:rPr>
      </w:pPr>
      <w:r w:rsidRPr="00C866FE">
        <w:rPr>
          <w:b/>
          <w:bCs/>
        </w:rPr>
        <w:t xml:space="preserve">Apliquen la función anterior a cada uno de los precios en la base de datos. </w:t>
      </w:r>
    </w:p>
    <w:p w14:paraId="1C767C6C" w14:textId="5F782E6F" w:rsidR="549639F2" w:rsidRDefault="549639F2" w:rsidP="00922534">
      <w:pPr>
        <w:spacing w:before="240" w:after="240"/>
        <w:ind w:left="573"/>
        <w:jc w:val="both"/>
        <w:rPr>
          <w:rFonts w:eastAsiaTheme="minorEastAsia"/>
          <w:b/>
          <w:bCs/>
          <w:color w:val="000000" w:themeColor="text1"/>
        </w:rPr>
      </w:pPr>
      <w:r w:rsidRPr="6D36E2AA">
        <w:rPr>
          <w:rFonts w:eastAsiaTheme="minorEastAsia"/>
          <w:b/>
          <w:bCs/>
          <w:color w:val="000000" w:themeColor="text1"/>
        </w:rPr>
        <w:t>Solución:</w:t>
      </w:r>
    </w:p>
    <w:p w14:paraId="052DA03F" w14:textId="652890A1" w:rsidR="549639F2" w:rsidRDefault="549639F2" w:rsidP="00922534">
      <w:pPr>
        <w:spacing w:before="240" w:after="240"/>
        <w:ind w:left="573"/>
        <w:jc w:val="both"/>
        <w:rPr>
          <w:rFonts w:eastAsiaTheme="minorEastAsia"/>
          <w:color w:val="000000" w:themeColor="text1"/>
        </w:rPr>
      </w:pPr>
      <w:r w:rsidRPr="6D36E2AA">
        <w:rPr>
          <w:rFonts w:eastAsiaTheme="minorEastAsia"/>
          <w:color w:val="000000" w:themeColor="text1"/>
        </w:rPr>
        <w:t>Las instrucciones de este punto no requieren argumentación ni interpretación de resultados, ni tampoco responder a una pregunta en forma de texto. Por lo tanto, la solución se limita únicamente al script de R asociado al taller.</w:t>
      </w:r>
    </w:p>
    <w:p w14:paraId="443187E5" w14:textId="77777777" w:rsidR="00F10D43" w:rsidRPr="00C866FE" w:rsidRDefault="00F10D43" w:rsidP="00922534">
      <w:pPr>
        <w:pStyle w:val="ListParagraph"/>
        <w:ind w:left="573"/>
        <w:jc w:val="both"/>
        <w:rPr>
          <w:b/>
          <w:bCs/>
        </w:rPr>
      </w:pPr>
    </w:p>
    <w:p w14:paraId="4A969DD8" w14:textId="16989EAA" w:rsidR="009D5637" w:rsidRPr="00C866FE" w:rsidRDefault="00F10D43" w:rsidP="00922534">
      <w:pPr>
        <w:pStyle w:val="ListParagraph"/>
        <w:numPr>
          <w:ilvl w:val="1"/>
          <w:numId w:val="2"/>
        </w:numPr>
        <w:jc w:val="both"/>
        <w:rPr>
          <w:b/>
          <w:bCs/>
        </w:rPr>
      </w:pPr>
      <w:r w:rsidRPr="00C866FE">
        <w:rPr>
          <w:b/>
          <w:bCs/>
        </w:rPr>
        <w:t>Realicen una unión de cada una de los datasets cargados que les permita juntar los precios y fechas en una misma base de datos.</w:t>
      </w:r>
    </w:p>
    <w:p w14:paraId="434B90C9" w14:textId="756C0881" w:rsidR="4800D31A" w:rsidRDefault="4800D31A" w:rsidP="00922534">
      <w:pPr>
        <w:pStyle w:val="ListParagraph"/>
        <w:ind w:left="432"/>
        <w:jc w:val="both"/>
        <w:rPr>
          <w:b/>
          <w:bCs/>
        </w:rPr>
      </w:pPr>
    </w:p>
    <w:p w14:paraId="7C74ED3D" w14:textId="0FD35F09" w:rsidR="2E666796" w:rsidRDefault="2E666796" w:rsidP="00922534">
      <w:pPr>
        <w:pStyle w:val="ListParagraph"/>
        <w:ind w:left="432"/>
        <w:jc w:val="both"/>
        <w:rPr>
          <w:b/>
          <w:bCs/>
        </w:rPr>
      </w:pPr>
      <w:r w:rsidRPr="7DEF5169">
        <w:rPr>
          <w:b/>
          <w:bCs/>
        </w:rPr>
        <w:t>Solución:</w:t>
      </w:r>
    </w:p>
    <w:p w14:paraId="5CEA9DE3" w14:textId="77777777" w:rsidR="009D250E" w:rsidRDefault="009D250E" w:rsidP="00922534">
      <w:pPr>
        <w:pStyle w:val="ListParagraph"/>
        <w:ind w:left="432"/>
        <w:jc w:val="both"/>
        <w:rPr>
          <w:b/>
          <w:bCs/>
        </w:rPr>
      </w:pPr>
    </w:p>
    <w:p w14:paraId="29B6629A" w14:textId="595AB0D4" w:rsidR="005E0D27" w:rsidRDefault="2E666796" w:rsidP="00922534">
      <w:pPr>
        <w:pStyle w:val="ListParagraph"/>
        <w:ind w:left="432"/>
        <w:jc w:val="both"/>
      </w:pPr>
      <w:r>
        <w:t>Las instrucciones de este punto no requieren argumentación ni interpretación de resultados, ni tampoco responder a una pregunta en forma de texto. Por lo tanto, la solución se limita únicamente al script de R asociado al taller.</w:t>
      </w:r>
    </w:p>
    <w:p w14:paraId="16BD9B0E" w14:textId="60E81AA5" w:rsidR="005E0D27" w:rsidRDefault="005E0D27" w:rsidP="00922534">
      <w:pPr>
        <w:ind w:left="432"/>
        <w:jc w:val="both"/>
        <w:rPr>
          <w:sz w:val="24"/>
          <w:szCs w:val="24"/>
        </w:rPr>
      </w:pPr>
      <w:r>
        <w:rPr>
          <w:sz w:val="24"/>
          <w:szCs w:val="24"/>
        </w:rPr>
        <w:t xml:space="preserve">Sin embargo, nos parece relevante mencionar que se utilizo una referencia de internet para </w:t>
      </w:r>
      <w:r w:rsidR="00883363">
        <w:rPr>
          <w:sz w:val="24"/>
          <w:szCs w:val="24"/>
        </w:rPr>
        <w:t xml:space="preserve">unir varios conjuntos de datos con el operador </w:t>
      </w:r>
      <w:r w:rsidR="00653833">
        <w:rPr>
          <w:sz w:val="24"/>
          <w:szCs w:val="24"/>
        </w:rPr>
        <w:t>“</w:t>
      </w:r>
      <w:r w:rsidR="00883363">
        <w:rPr>
          <w:sz w:val="24"/>
          <w:szCs w:val="24"/>
        </w:rPr>
        <w:t>pipe</w:t>
      </w:r>
      <w:r w:rsidR="00653833">
        <w:rPr>
          <w:sz w:val="24"/>
          <w:szCs w:val="24"/>
        </w:rPr>
        <w:t>” (%&gt;%).</w:t>
      </w:r>
    </w:p>
    <w:p w14:paraId="0F3E277E" w14:textId="46943912" w:rsidR="00B70F22" w:rsidRDefault="00B70F22" w:rsidP="00922534">
      <w:pPr>
        <w:ind w:left="432"/>
        <w:jc w:val="both"/>
        <w:rPr>
          <w:sz w:val="24"/>
          <w:szCs w:val="24"/>
          <w:lang w:val="en-US"/>
        </w:rPr>
      </w:pPr>
      <w:r w:rsidRPr="00883363">
        <w:rPr>
          <w:sz w:val="24"/>
          <w:szCs w:val="24"/>
          <w:lang w:val="en-US"/>
        </w:rPr>
        <w:t>Enlace:</w:t>
      </w:r>
      <w:r w:rsidR="00883363" w:rsidRPr="00883363">
        <w:rPr>
          <w:lang w:val="en-US"/>
        </w:rPr>
        <w:t xml:space="preserve"> </w:t>
      </w:r>
      <w:hyperlink r:id="rId10" w:history="1">
        <w:r w:rsidR="000B78AB" w:rsidRPr="00C41826">
          <w:rPr>
            <w:rStyle w:val="Hyperlink"/>
            <w:sz w:val="24"/>
            <w:szCs w:val="24"/>
            <w:lang w:val="en-US"/>
          </w:rPr>
          <w:t>https://stackoverflow.com/questions/32066402/how-to-perform-multiple-left-joins-using-dplyr-in-r</w:t>
        </w:r>
      </w:hyperlink>
    </w:p>
    <w:p w14:paraId="1129656E" w14:textId="4C1D9340" w:rsidR="7DEF5169" w:rsidRPr="00883363" w:rsidRDefault="7DEF5169" w:rsidP="00922534">
      <w:pPr>
        <w:pStyle w:val="ListParagraph"/>
        <w:ind w:left="432"/>
        <w:jc w:val="both"/>
        <w:rPr>
          <w:b/>
          <w:bCs/>
          <w:lang w:val="en-US"/>
        </w:rPr>
      </w:pPr>
    </w:p>
    <w:p w14:paraId="6F783254" w14:textId="77777777" w:rsidR="005D19BE" w:rsidRPr="00883363" w:rsidRDefault="005D19BE" w:rsidP="00922534">
      <w:pPr>
        <w:pStyle w:val="ListParagraph"/>
        <w:ind w:left="573"/>
        <w:jc w:val="both"/>
        <w:rPr>
          <w:b/>
          <w:bCs/>
          <w:lang w:val="en-US"/>
        </w:rPr>
      </w:pPr>
    </w:p>
    <w:p w14:paraId="21E155B6" w14:textId="6FF54D62" w:rsidR="00F10D43" w:rsidRPr="00C866FE" w:rsidRDefault="00F10D43" w:rsidP="00922534">
      <w:pPr>
        <w:pStyle w:val="ListParagraph"/>
        <w:numPr>
          <w:ilvl w:val="1"/>
          <w:numId w:val="2"/>
        </w:numPr>
        <w:jc w:val="both"/>
        <w:rPr>
          <w:b/>
          <w:bCs/>
        </w:rPr>
      </w:pPr>
      <w:r w:rsidRPr="00C866FE">
        <w:rPr>
          <w:b/>
          <w:bCs/>
        </w:rPr>
        <w:t xml:space="preserve">Utilizando </w:t>
      </w:r>
      <w:r w:rsidR="004F0E35" w:rsidRPr="00C866FE">
        <w:rPr>
          <w:b/>
          <w:bCs/>
        </w:rPr>
        <w:t xml:space="preserve">las funciones de la librería </w:t>
      </w:r>
      <w:r w:rsidR="004F0E35" w:rsidRPr="00C866FE">
        <w:rPr>
          <w:b/>
          <w:bCs/>
          <w:i/>
          <w:iCs/>
        </w:rPr>
        <w:t>lubridate</w:t>
      </w:r>
      <w:r w:rsidRPr="00C866FE">
        <w:rPr>
          <w:b/>
          <w:bCs/>
        </w:rPr>
        <w:t>, creen respectivamente columnas que correspondan al mes y año de las observaciones</w:t>
      </w:r>
      <w:r w:rsidR="00C3555E" w:rsidRPr="00C866FE">
        <w:rPr>
          <w:b/>
          <w:bCs/>
        </w:rPr>
        <w:t xml:space="preserve"> (revisen la documentación de: </w:t>
      </w:r>
      <w:hyperlink r:id="rId11" w:history="1">
        <w:r w:rsidR="00C3555E" w:rsidRPr="00C866FE">
          <w:rPr>
            <w:rStyle w:val="Hyperlink"/>
            <w:b/>
            <w:bCs/>
          </w:rPr>
          <w:t>Make Dealing with Dates a Little Easier • lubridate (tidyverse.org)</w:t>
        </w:r>
      </w:hyperlink>
      <w:r w:rsidR="00C3555E" w:rsidRPr="00C866FE">
        <w:rPr>
          <w:b/>
          <w:bCs/>
        </w:rPr>
        <w:t xml:space="preserve"> y </w:t>
      </w:r>
      <w:hyperlink r:id="rId12" w:history="1">
        <w:r w:rsidR="00F06692">
          <w:rPr>
            <w:rStyle w:val="Hyperlink"/>
            <w:b/>
            <w:bCs/>
          </w:rPr>
          <w:t>t</w:t>
        </w:r>
      </w:hyperlink>
      <w:r w:rsidR="00C3555E" w:rsidRPr="00C866FE">
        <w:rPr>
          <w:b/>
          <w:bCs/>
        </w:rPr>
        <w:t>)</w:t>
      </w:r>
      <w:r w:rsidRPr="00C866FE">
        <w:rPr>
          <w:b/>
          <w:bCs/>
        </w:rPr>
        <w:t xml:space="preserve">. </w:t>
      </w:r>
    </w:p>
    <w:p w14:paraId="5CA1F1E5" w14:textId="77777777" w:rsidR="00F10D43" w:rsidRPr="00C866FE" w:rsidRDefault="00F10D43" w:rsidP="00922534">
      <w:pPr>
        <w:pStyle w:val="ListParagraph"/>
        <w:jc w:val="both"/>
        <w:rPr>
          <w:b/>
          <w:bCs/>
        </w:rPr>
      </w:pPr>
    </w:p>
    <w:p w14:paraId="4F74D9D2" w14:textId="35FBDCBF" w:rsidR="6C158C45" w:rsidRDefault="6C158C45" w:rsidP="00922534">
      <w:pPr>
        <w:ind w:firstLine="432"/>
        <w:jc w:val="both"/>
        <w:rPr>
          <w:b/>
          <w:bCs/>
        </w:rPr>
      </w:pPr>
      <w:r w:rsidRPr="28D05869">
        <w:rPr>
          <w:b/>
        </w:rPr>
        <w:t>Solución:</w:t>
      </w:r>
    </w:p>
    <w:p w14:paraId="3B921D92" w14:textId="63686E25" w:rsidR="6C158C45" w:rsidRDefault="6C158C45" w:rsidP="00922534">
      <w:pPr>
        <w:ind w:left="432"/>
        <w:jc w:val="both"/>
      </w:pPr>
      <w:r>
        <w:t>Las instrucciones de este punto no requieren argumentación ni interpretación de resultados, ni tampoco responder a una pregunta en forma de texto. Por lo tanto, la solución se limita únicamente al script de R asociado al taller.</w:t>
      </w:r>
    </w:p>
    <w:p w14:paraId="5EF54BD4" w14:textId="41A5EE06" w:rsidR="7F7A784E" w:rsidRDefault="7F7A784E" w:rsidP="00922534">
      <w:pPr>
        <w:jc w:val="both"/>
      </w:pPr>
    </w:p>
    <w:p w14:paraId="4BC9CE2C" w14:textId="7A063CC8" w:rsidR="00F10D43" w:rsidRPr="00C866FE" w:rsidRDefault="00F10D43" w:rsidP="00922534">
      <w:pPr>
        <w:pStyle w:val="ListParagraph"/>
        <w:numPr>
          <w:ilvl w:val="1"/>
          <w:numId w:val="2"/>
        </w:numPr>
        <w:jc w:val="both"/>
        <w:rPr>
          <w:b/>
          <w:bCs/>
        </w:rPr>
      </w:pPr>
      <w:r w:rsidRPr="00C866FE">
        <w:rPr>
          <w:b/>
          <w:bCs/>
        </w:rPr>
        <w:t xml:space="preserve">Revisen </w:t>
      </w:r>
      <w:r w:rsidR="00FE3FDC" w:rsidRPr="00C866FE">
        <w:rPr>
          <w:b/>
          <w:bCs/>
        </w:rPr>
        <w:t>y presenten sus resultados en una tabla</w:t>
      </w:r>
      <w:r w:rsidR="009D560F" w:rsidRPr="00C866FE">
        <w:rPr>
          <w:b/>
          <w:bCs/>
        </w:rPr>
        <w:t xml:space="preserve">: </w:t>
      </w:r>
      <w:r w:rsidRPr="00C866FE">
        <w:rPr>
          <w:b/>
          <w:bCs/>
        </w:rPr>
        <w:t xml:space="preserve">¿Qué </w:t>
      </w:r>
      <w:r w:rsidR="009D560F" w:rsidRPr="00C866FE">
        <w:rPr>
          <w:b/>
          <w:bCs/>
        </w:rPr>
        <w:t>columnas y en qué porcentajes</w:t>
      </w:r>
      <w:r w:rsidRPr="00C866FE">
        <w:rPr>
          <w:b/>
          <w:bCs/>
        </w:rPr>
        <w:t xml:space="preserve"> de la base de datos cuenta con valores faltantes en el precio de algún bien? Sustituyan estos valores faltantes con el precio promedio de ese bien. </w:t>
      </w:r>
    </w:p>
    <w:p w14:paraId="6537225B" w14:textId="17D4362C" w:rsidR="7C053CE8" w:rsidRDefault="7C053CE8" w:rsidP="00922534">
      <w:pPr>
        <w:pStyle w:val="ListParagraph"/>
        <w:ind w:left="432"/>
        <w:jc w:val="both"/>
        <w:rPr>
          <w:b/>
          <w:bCs/>
        </w:rPr>
      </w:pPr>
    </w:p>
    <w:p w14:paraId="1AB7C57C" w14:textId="77777777" w:rsidR="00922534" w:rsidRDefault="00922534" w:rsidP="00922534">
      <w:pPr>
        <w:pStyle w:val="ListParagraph"/>
        <w:ind w:left="432"/>
        <w:jc w:val="both"/>
        <w:rPr>
          <w:b/>
          <w:bCs/>
        </w:rPr>
      </w:pPr>
    </w:p>
    <w:p w14:paraId="3F7AD23A" w14:textId="77777777" w:rsidR="00922534" w:rsidRDefault="00922534" w:rsidP="00922534">
      <w:pPr>
        <w:pStyle w:val="ListParagraph"/>
        <w:ind w:left="432"/>
        <w:jc w:val="both"/>
        <w:rPr>
          <w:b/>
          <w:bCs/>
        </w:rPr>
      </w:pPr>
    </w:p>
    <w:p w14:paraId="55FACBB2" w14:textId="77777777" w:rsidR="00922534" w:rsidRDefault="00922534" w:rsidP="00922534">
      <w:pPr>
        <w:pStyle w:val="ListParagraph"/>
        <w:ind w:left="432"/>
        <w:jc w:val="both"/>
        <w:rPr>
          <w:b/>
          <w:bCs/>
        </w:rPr>
      </w:pPr>
    </w:p>
    <w:p w14:paraId="77B1DA4E" w14:textId="77777777" w:rsidR="00922534" w:rsidRDefault="00922534" w:rsidP="00922534">
      <w:pPr>
        <w:pStyle w:val="ListParagraph"/>
        <w:ind w:left="432"/>
        <w:jc w:val="both"/>
        <w:rPr>
          <w:b/>
          <w:bCs/>
        </w:rPr>
      </w:pPr>
    </w:p>
    <w:p w14:paraId="54CFA24C" w14:textId="777B22BC" w:rsidR="308B9D0D" w:rsidRDefault="70F96C97" w:rsidP="00922534">
      <w:pPr>
        <w:ind w:firstLine="432"/>
        <w:jc w:val="both"/>
        <w:rPr>
          <w:b/>
          <w:bCs/>
        </w:rPr>
      </w:pPr>
      <w:r w:rsidRPr="42C3430E">
        <w:rPr>
          <w:b/>
          <w:bCs/>
        </w:rPr>
        <w:t>Solución:</w:t>
      </w:r>
    </w:p>
    <w:p w14:paraId="4B6EDE53" w14:textId="1CD9CC20" w:rsidR="008F42B3" w:rsidRDefault="00C074B3" w:rsidP="00922534">
      <w:pPr>
        <w:ind w:firstLine="432"/>
        <w:jc w:val="center"/>
        <w:rPr>
          <w:b/>
          <w:bCs/>
        </w:rPr>
      </w:pPr>
      <w:r>
        <w:rPr>
          <w:b/>
          <w:bCs/>
        </w:rPr>
        <w:t xml:space="preserve">Tabla </w:t>
      </w:r>
      <w:r w:rsidR="00922534">
        <w:rPr>
          <w:b/>
          <w:bCs/>
        </w:rPr>
        <w:t>2</w:t>
      </w:r>
      <w:r w:rsidR="005D595E">
        <w:rPr>
          <w:b/>
          <w:bCs/>
        </w:rPr>
        <w:t>: Valores</w:t>
      </w:r>
      <w:r w:rsidR="008F42B3">
        <w:rPr>
          <w:b/>
          <w:bCs/>
        </w:rPr>
        <w:t xml:space="preserve"> faltantes en las bases de datos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4"/>
        <w:gridCol w:w="1985"/>
        <w:gridCol w:w="1560"/>
      </w:tblGrid>
      <w:tr w:rsidR="009B3828" w14:paraId="459E5FAF" w14:textId="77777777" w:rsidTr="008F42B3">
        <w:trPr>
          <w:divId w:val="723870113"/>
          <w:tblCellSpacing w:w="15" w:type="dxa"/>
          <w:jc w:val="center"/>
        </w:trPr>
        <w:tc>
          <w:tcPr>
            <w:tcW w:w="5469" w:type="dxa"/>
            <w:gridSpan w:val="3"/>
            <w:tcBorders>
              <w:bottom w:val="single" w:sz="6" w:space="0" w:color="000000"/>
            </w:tcBorders>
            <w:vAlign w:val="center"/>
            <w:hideMark/>
          </w:tcPr>
          <w:p w14:paraId="62B14484" w14:textId="77777777" w:rsidR="009B3828" w:rsidRDefault="009B3828" w:rsidP="00922534">
            <w:pPr>
              <w:jc w:val="center"/>
              <w:rPr>
                <w:kern w:val="0"/>
                <w:sz w:val="20"/>
                <w:szCs w:val="20"/>
                <w14:ligatures w14:val="none"/>
              </w:rPr>
            </w:pPr>
          </w:p>
        </w:tc>
      </w:tr>
      <w:tr w:rsidR="009B3828" w14:paraId="3CEC1323" w14:textId="77777777" w:rsidTr="008F42B3">
        <w:trPr>
          <w:divId w:val="723870113"/>
          <w:tblCellSpacing w:w="15" w:type="dxa"/>
          <w:jc w:val="center"/>
        </w:trPr>
        <w:tc>
          <w:tcPr>
            <w:tcW w:w="0" w:type="auto"/>
            <w:vAlign w:val="center"/>
            <w:hideMark/>
          </w:tcPr>
          <w:p w14:paraId="67C98D58" w14:textId="77777777" w:rsidR="009B3828" w:rsidRDefault="009B3828" w:rsidP="00922534">
            <w:pPr>
              <w:jc w:val="center"/>
              <w:rPr>
                <w:rFonts w:eastAsia="Times New Roman"/>
                <w:sz w:val="20"/>
                <w:szCs w:val="20"/>
              </w:rPr>
            </w:pPr>
          </w:p>
        </w:tc>
        <w:tc>
          <w:tcPr>
            <w:tcW w:w="1955" w:type="dxa"/>
            <w:vAlign w:val="center"/>
            <w:hideMark/>
          </w:tcPr>
          <w:p w14:paraId="3A4061D4" w14:textId="6B004373" w:rsidR="009B3828" w:rsidRPr="008F42B3" w:rsidRDefault="009B3828" w:rsidP="00922534">
            <w:pPr>
              <w:jc w:val="center"/>
              <w:rPr>
                <w:rFonts w:eastAsia="Times New Roman"/>
                <w:b/>
                <w:bCs/>
                <w:sz w:val="24"/>
                <w:szCs w:val="24"/>
              </w:rPr>
            </w:pPr>
            <w:r w:rsidRPr="008F42B3">
              <w:rPr>
                <w:rFonts w:eastAsia="Times New Roman"/>
                <w:b/>
                <w:bCs/>
              </w:rPr>
              <w:t>Porcentaje</w:t>
            </w:r>
            <w:r w:rsidR="008F42B3">
              <w:rPr>
                <w:rFonts w:eastAsia="Times New Roman"/>
                <w:b/>
                <w:bCs/>
              </w:rPr>
              <w:t xml:space="preserve"> de la muestra</w:t>
            </w:r>
          </w:p>
        </w:tc>
        <w:tc>
          <w:tcPr>
            <w:tcW w:w="1515" w:type="dxa"/>
            <w:vAlign w:val="center"/>
            <w:hideMark/>
          </w:tcPr>
          <w:p w14:paraId="52F5DB54" w14:textId="245E156D" w:rsidR="009B3828" w:rsidRPr="008F42B3" w:rsidRDefault="008F42B3" w:rsidP="00922534">
            <w:pPr>
              <w:jc w:val="center"/>
              <w:rPr>
                <w:rFonts w:eastAsia="Times New Roman"/>
                <w:b/>
                <w:bCs/>
              </w:rPr>
            </w:pPr>
            <w:r>
              <w:rPr>
                <w:rFonts w:eastAsia="Times New Roman"/>
                <w:b/>
                <w:bCs/>
              </w:rPr>
              <w:t>O</w:t>
            </w:r>
            <w:r w:rsidR="00D45E15" w:rsidRPr="008F42B3">
              <w:rPr>
                <w:rFonts w:eastAsia="Times New Roman"/>
                <w:b/>
                <w:bCs/>
              </w:rPr>
              <w:t>bservaciones</w:t>
            </w:r>
          </w:p>
        </w:tc>
      </w:tr>
      <w:tr w:rsidR="009B3828" w14:paraId="6B286D75" w14:textId="77777777" w:rsidTr="008F42B3">
        <w:trPr>
          <w:divId w:val="723870113"/>
          <w:trHeight w:val="23"/>
          <w:tblCellSpacing w:w="15" w:type="dxa"/>
          <w:jc w:val="center"/>
        </w:trPr>
        <w:tc>
          <w:tcPr>
            <w:tcW w:w="5469" w:type="dxa"/>
            <w:gridSpan w:val="3"/>
            <w:tcBorders>
              <w:bottom w:val="single" w:sz="6" w:space="0" w:color="000000"/>
            </w:tcBorders>
            <w:vAlign w:val="center"/>
            <w:hideMark/>
          </w:tcPr>
          <w:p w14:paraId="47A6F597" w14:textId="77777777" w:rsidR="009B3828" w:rsidRDefault="009B3828" w:rsidP="00922534">
            <w:pPr>
              <w:jc w:val="center"/>
              <w:rPr>
                <w:rFonts w:eastAsia="Times New Roman"/>
              </w:rPr>
            </w:pPr>
          </w:p>
        </w:tc>
      </w:tr>
      <w:tr w:rsidR="009B3828" w14:paraId="7A0610E8" w14:textId="77777777" w:rsidTr="008F42B3">
        <w:trPr>
          <w:divId w:val="723870113"/>
          <w:tblCellSpacing w:w="15" w:type="dxa"/>
          <w:jc w:val="center"/>
        </w:trPr>
        <w:tc>
          <w:tcPr>
            <w:tcW w:w="0" w:type="auto"/>
            <w:vAlign w:val="center"/>
            <w:hideMark/>
          </w:tcPr>
          <w:p w14:paraId="08FC05E9" w14:textId="26B54C7F" w:rsidR="009B3828" w:rsidRDefault="006C51F6" w:rsidP="00922534">
            <w:pPr>
              <w:jc w:val="center"/>
              <w:rPr>
                <w:rFonts w:eastAsia="Times New Roman"/>
                <w:sz w:val="24"/>
                <w:szCs w:val="24"/>
              </w:rPr>
            </w:pPr>
            <w:r>
              <w:rPr>
                <w:rFonts w:eastAsia="Times New Roman"/>
              </w:rPr>
              <w:t>Precio del petróleo</w:t>
            </w:r>
          </w:p>
        </w:tc>
        <w:tc>
          <w:tcPr>
            <w:tcW w:w="1955" w:type="dxa"/>
            <w:vAlign w:val="center"/>
            <w:hideMark/>
          </w:tcPr>
          <w:p w14:paraId="477B7E68" w14:textId="3EB1AFCA" w:rsidR="009B3828" w:rsidRDefault="009B3828" w:rsidP="00922534">
            <w:pPr>
              <w:jc w:val="center"/>
              <w:rPr>
                <w:rFonts w:eastAsia="Times New Roman"/>
              </w:rPr>
            </w:pPr>
            <w:r>
              <w:rPr>
                <w:rFonts w:eastAsia="Times New Roman"/>
              </w:rPr>
              <w:t>2.14</w:t>
            </w:r>
            <w:r w:rsidR="008F42B3">
              <w:rPr>
                <w:rFonts w:eastAsia="Times New Roman"/>
              </w:rPr>
              <w:t>%</w:t>
            </w:r>
          </w:p>
        </w:tc>
        <w:tc>
          <w:tcPr>
            <w:tcW w:w="1515" w:type="dxa"/>
            <w:vAlign w:val="center"/>
            <w:hideMark/>
          </w:tcPr>
          <w:p w14:paraId="67AD2F8D" w14:textId="77777777" w:rsidR="009B3828" w:rsidRDefault="009B3828" w:rsidP="00922534">
            <w:pPr>
              <w:jc w:val="center"/>
              <w:rPr>
                <w:rFonts w:eastAsia="Times New Roman"/>
              </w:rPr>
            </w:pPr>
            <w:r>
              <w:rPr>
                <w:rFonts w:eastAsia="Times New Roman"/>
              </w:rPr>
              <w:t>188</w:t>
            </w:r>
          </w:p>
        </w:tc>
      </w:tr>
      <w:tr w:rsidR="009B3828" w14:paraId="74CE31C7" w14:textId="77777777" w:rsidTr="008F42B3">
        <w:trPr>
          <w:divId w:val="723870113"/>
          <w:tblCellSpacing w:w="15" w:type="dxa"/>
          <w:jc w:val="center"/>
        </w:trPr>
        <w:tc>
          <w:tcPr>
            <w:tcW w:w="0" w:type="auto"/>
            <w:vAlign w:val="center"/>
            <w:hideMark/>
          </w:tcPr>
          <w:p w14:paraId="55C38892" w14:textId="0FC54456" w:rsidR="009B3828" w:rsidRDefault="008F42B3" w:rsidP="00922534">
            <w:pPr>
              <w:jc w:val="center"/>
              <w:rPr>
                <w:rFonts w:eastAsia="Times New Roman"/>
              </w:rPr>
            </w:pPr>
            <w:r>
              <w:rPr>
                <w:rFonts w:eastAsia="Times New Roman"/>
              </w:rPr>
              <w:t>Precio del carbón</w:t>
            </w:r>
          </w:p>
        </w:tc>
        <w:tc>
          <w:tcPr>
            <w:tcW w:w="1955" w:type="dxa"/>
            <w:vAlign w:val="center"/>
            <w:hideMark/>
          </w:tcPr>
          <w:p w14:paraId="495B1F48" w14:textId="565D256B" w:rsidR="009B3828" w:rsidRDefault="009B3828" w:rsidP="00922534">
            <w:pPr>
              <w:jc w:val="center"/>
              <w:rPr>
                <w:rFonts w:eastAsia="Times New Roman"/>
              </w:rPr>
            </w:pPr>
            <w:r>
              <w:rPr>
                <w:rFonts w:eastAsia="Times New Roman"/>
              </w:rPr>
              <w:t>2.14</w:t>
            </w:r>
            <w:r w:rsidR="008F42B3">
              <w:rPr>
                <w:rFonts w:eastAsia="Times New Roman"/>
              </w:rPr>
              <w:t>%</w:t>
            </w:r>
          </w:p>
        </w:tc>
        <w:tc>
          <w:tcPr>
            <w:tcW w:w="1515" w:type="dxa"/>
            <w:vAlign w:val="center"/>
            <w:hideMark/>
          </w:tcPr>
          <w:p w14:paraId="47CBE99E" w14:textId="77777777" w:rsidR="009B3828" w:rsidRDefault="009B3828" w:rsidP="00922534">
            <w:pPr>
              <w:jc w:val="center"/>
              <w:rPr>
                <w:rFonts w:eastAsia="Times New Roman"/>
              </w:rPr>
            </w:pPr>
            <w:r>
              <w:rPr>
                <w:rFonts w:eastAsia="Times New Roman"/>
              </w:rPr>
              <w:t>188</w:t>
            </w:r>
          </w:p>
        </w:tc>
      </w:tr>
      <w:tr w:rsidR="009B3828" w14:paraId="391138CE" w14:textId="77777777" w:rsidTr="008F42B3">
        <w:trPr>
          <w:divId w:val="723870113"/>
          <w:tblCellSpacing w:w="15" w:type="dxa"/>
          <w:jc w:val="center"/>
        </w:trPr>
        <w:tc>
          <w:tcPr>
            <w:tcW w:w="0" w:type="auto"/>
            <w:vAlign w:val="center"/>
            <w:hideMark/>
          </w:tcPr>
          <w:p w14:paraId="2558A844" w14:textId="4FF6F906" w:rsidR="009B3828" w:rsidRDefault="008F42B3" w:rsidP="00922534">
            <w:pPr>
              <w:jc w:val="center"/>
              <w:rPr>
                <w:rFonts w:eastAsia="Times New Roman"/>
              </w:rPr>
            </w:pPr>
            <w:r>
              <w:rPr>
                <w:rFonts w:eastAsia="Times New Roman"/>
              </w:rPr>
              <w:t>Precio del gas natural</w:t>
            </w:r>
          </w:p>
        </w:tc>
        <w:tc>
          <w:tcPr>
            <w:tcW w:w="1955" w:type="dxa"/>
            <w:vAlign w:val="center"/>
            <w:hideMark/>
          </w:tcPr>
          <w:p w14:paraId="553BEDAD" w14:textId="6B520E0C" w:rsidR="009B3828" w:rsidRDefault="009B3828" w:rsidP="00922534">
            <w:pPr>
              <w:jc w:val="center"/>
              <w:rPr>
                <w:rFonts w:eastAsia="Times New Roman"/>
              </w:rPr>
            </w:pPr>
            <w:r>
              <w:rPr>
                <w:rFonts w:eastAsia="Times New Roman"/>
              </w:rPr>
              <w:t>2.14</w:t>
            </w:r>
            <w:r w:rsidR="008F42B3">
              <w:rPr>
                <w:rFonts w:eastAsia="Times New Roman"/>
              </w:rPr>
              <w:t>%</w:t>
            </w:r>
          </w:p>
        </w:tc>
        <w:tc>
          <w:tcPr>
            <w:tcW w:w="1515" w:type="dxa"/>
            <w:vAlign w:val="center"/>
            <w:hideMark/>
          </w:tcPr>
          <w:p w14:paraId="7719EFCB" w14:textId="77777777" w:rsidR="009B3828" w:rsidRDefault="009B3828" w:rsidP="00922534">
            <w:pPr>
              <w:jc w:val="center"/>
              <w:rPr>
                <w:rFonts w:eastAsia="Times New Roman"/>
              </w:rPr>
            </w:pPr>
            <w:r>
              <w:rPr>
                <w:rFonts w:eastAsia="Times New Roman"/>
              </w:rPr>
              <w:t>188</w:t>
            </w:r>
          </w:p>
        </w:tc>
      </w:tr>
      <w:tr w:rsidR="009B3828" w14:paraId="2B63CC08" w14:textId="77777777" w:rsidTr="008F42B3">
        <w:trPr>
          <w:divId w:val="723870113"/>
          <w:tblCellSpacing w:w="15" w:type="dxa"/>
          <w:jc w:val="center"/>
        </w:trPr>
        <w:tc>
          <w:tcPr>
            <w:tcW w:w="0" w:type="auto"/>
            <w:vAlign w:val="center"/>
            <w:hideMark/>
          </w:tcPr>
          <w:p w14:paraId="64BD0CA0" w14:textId="012499C2" w:rsidR="009B3828" w:rsidRDefault="008F42B3" w:rsidP="00922534">
            <w:pPr>
              <w:jc w:val="center"/>
              <w:rPr>
                <w:rFonts w:eastAsia="Times New Roman"/>
              </w:rPr>
            </w:pPr>
            <w:r>
              <w:rPr>
                <w:rFonts w:eastAsia="Times New Roman"/>
              </w:rPr>
              <w:t>Precio de la gasolina</w:t>
            </w:r>
          </w:p>
        </w:tc>
        <w:tc>
          <w:tcPr>
            <w:tcW w:w="1955" w:type="dxa"/>
            <w:vAlign w:val="center"/>
            <w:hideMark/>
          </w:tcPr>
          <w:p w14:paraId="439A5581" w14:textId="699F164D" w:rsidR="009B3828" w:rsidRDefault="009B3828" w:rsidP="00922534">
            <w:pPr>
              <w:jc w:val="center"/>
              <w:rPr>
                <w:rFonts w:eastAsia="Times New Roman"/>
              </w:rPr>
            </w:pPr>
            <w:r>
              <w:rPr>
                <w:rFonts w:eastAsia="Times New Roman"/>
              </w:rPr>
              <w:t>2.14</w:t>
            </w:r>
            <w:r w:rsidR="008F42B3">
              <w:rPr>
                <w:rFonts w:eastAsia="Times New Roman"/>
              </w:rPr>
              <w:t>%</w:t>
            </w:r>
          </w:p>
        </w:tc>
        <w:tc>
          <w:tcPr>
            <w:tcW w:w="1515" w:type="dxa"/>
            <w:vAlign w:val="center"/>
            <w:hideMark/>
          </w:tcPr>
          <w:p w14:paraId="12CF079D" w14:textId="77777777" w:rsidR="009B3828" w:rsidRDefault="009B3828" w:rsidP="00922534">
            <w:pPr>
              <w:jc w:val="center"/>
              <w:rPr>
                <w:rFonts w:eastAsia="Times New Roman"/>
              </w:rPr>
            </w:pPr>
            <w:r>
              <w:rPr>
                <w:rFonts w:eastAsia="Times New Roman"/>
              </w:rPr>
              <w:t>188</w:t>
            </w:r>
          </w:p>
        </w:tc>
      </w:tr>
      <w:tr w:rsidR="009B3828" w14:paraId="75A75437" w14:textId="77777777" w:rsidTr="008F42B3">
        <w:trPr>
          <w:divId w:val="723870113"/>
          <w:tblCellSpacing w:w="15" w:type="dxa"/>
          <w:jc w:val="center"/>
        </w:trPr>
        <w:tc>
          <w:tcPr>
            <w:tcW w:w="5469" w:type="dxa"/>
            <w:gridSpan w:val="3"/>
            <w:tcBorders>
              <w:bottom w:val="single" w:sz="6" w:space="0" w:color="000000"/>
            </w:tcBorders>
            <w:vAlign w:val="center"/>
            <w:hideMark/>
          </w:tcPr>
          <w:p w14:paraId="2E971903" w14:textId="77777777" w:rsidR="009B3828" w:rsidRDefault="009B3828" w:rsidP="00922534">
            <w:pPr>
              <w:jc w:val="center"/>
              <w:rPr>
                <w:rFonts w:eastAsia="Times New Roman"/>
              </w:rPr>
            </w:pPr>
          </w:p>
        </w:tc>
      </w:tr>
    </w:tbl>
    <w:p w14:paraId="2ED9F93B" w14:textId="00F3B836" w:rsidR="3E1FD6CF" w:rsidRDefault="00C074B3" w:rsidP="00922534">
      <w:pPr>
        <w:jc w:val="center"/>
      </w:pPr>
      <w:r>
        <w:t xml:space="preserve">Fuente: </w:t>
      </w:r>
      <w:r w:rsidR="005D595E">
        <w:t>Elaboración</w:t>
      </w:r>
      <w:r>
        <w:t xml:space="preserve"> propia con </w:t>
      </w:r>
      <w:r w:rsidR="00413D0D">
        <w:t>Datos_taller</w:t>
      </w:r>
      <w:r w:rsidR="005D595E">
        <w:t>.zip, 2024.</w:t>
      </w:r>
    </w:p>
    <w:p w14:paraId="0CCF085D" w14:textId="506BC56D" w:rsidR="00775C7A" w:rsidRPr="00C866FE" w:rsidRDefault="05CFFB1D" w:rsidP="00922534">
      <w:pPr>
        <w:ind w:left="573"/>
        <w:jc w:val="both"/>
      </w:pPr>
      <w:r>
        <w:t xml:space="preserve">La tabla anterior muestra que cada una de las bases de datos de precios de hidrocarburos tiene valores faltantes en el </w:t>
      </w:r>
      <w:r w:rsidR="423766D3">
        <w:t>2.1% de las observaciones</w:t>
      </w:r>
      <w:r w:rsidR="009D5F09">
        <w:t>. Esto corresponde a 188 días entre</w:t>
      </w:r>
      <w:r w:rsidR="423766D3">
        <w:t xml:space="preserve"> el </w:t>
      </w:r>
      <w:r w:rsidR="009D5F09">
        <w:t>primero de enero del 2001 y el primero de enero del 2024 para los que</w:t>
      </w:r>
      <w:r w:rsidR="00B87862">
        <w:t xml:space="preserve"> hay valores faltantes en los precios de los hidrocarburos. </w:t>
      </w:r>
      <w:r w:rsidR="003E4B26">
        <w:t xml:space="preserve">Vale la pena mencionar que las fechas de los días que tienen valores faltantes no son las mismas en todas las bases de datos. </w:t>
      </w:r>
      <w:r w:rsidR="009D5F09">
        <w:t xml:space="preserve"> </w:t>
      </w:r>
    </w:p>
    <w:p w14:paraId="4D969263" w14:textId="6C196E9B" w:rsidR="00942B97" w:rsidRPr="00C866FE" w:rsidRDefault="00775C7A" w:rsidP="00922534">
      <w:pPr>
        <w:pStyle w:val="Heading2"/>
        <w:jc w:val="both"/>
        <w:rPr>
          <w:b/>
          <w:bCs/>
        </w:rPr>
      </w:pPr>
      <w:r w:rsidRPr="00C866FE">
        <w:rPr>
          <w:b/>
          <w:bCs/>
        </w:rPr>
        <w:t xml:space="preserve">Agrupen la información de los precios </w:t>
      </w:r>
      <w:r w:rsidR="009D560F" w:rsidRPr="00C866FE">
        <w:rPr>
          <w:b/>
          <w:bCs/>
        </w:rPr>
        <w:t xml:space="preserve">diarios </w:t>
      </w:r>
      <w:r w:rsidRPr="00C866FE">
        <w:rPr>
          <w:b/>
          <w:bCs/>
        </w:rPr>
        <w:t xml:space="preserve">a los valores promedios por mes y año. </w:t>
      </w:r>
    </w:p>
    <w:p w14:paraId="6F03F729" w14:textId="77777777" w:rsidR="003E4B26" w:rsidRDefault="003E4B26" w:rsidP="00922534">
      <w:pPr>
        <w:ind w:firstLine="432"/>
        <w:jc w:val="both"/>
        <w:rPr>
          <w:b/>
          <w:bCs/>
        </w:rPr>
      </w:pPr>
      <w:r w:rsidRPr="28D05869">
        <w:rPr>
          <w:b/>
        </w:rPr>
        <w:t>Solución:</w:t>
      </w:r>
    </w:p>
    <w:p w14:paraId="062DDFCD" w14:textId="77777777" w:rsidR="003E4B26" w:rsidRDefault="003E4B26" w:rsidP="00922534">
      <w:pPr>
        <w:ind w:left="432"/>
        <w:jc w:val="both"/>
      </w:pPr>
      <w:r>
        <w:t>Las instrucciones de este punto no requieren argumentación ni interpretación de resultados, ni tampoco responder a una pregunta en forma de texto. Por lo tanto, la solución se limita únicamente al script de R asociado al taller.</w:t>
      </w:r>
    </w:p>
    <w:p w14:paraId="47D26F01" w14:textId="77777777" w:rsidR="00942B97" w:rsidRPr="00C866FE" w:rsidRDefault="00942B97" w:rsidP="00922534">
      <w:pPr>
        <w:jc w:val="both"/>
        <w:rPr>
          <w:b/>
          <w:bCs/>
        </w:rPr>
      </w:pPr>
    </w:p>
    <w:p w14:paraId="04549DC9" w14:textId="77777777" w:rsidR="00F10D43" w:rsidRPr="00C866FE" w:rsidRDefault="00F10D43" w:rsidP="00922534">
      <w:pPr>
        <w:jc w:val="both"/>
        <w:rPr>
          <w:b/>
          <w:bCs/>
        </w:rPr>
      </w:pPr>
      <w:r w:rsidRPr="00C866FE">
        <w:rPr>
          <w:b/>
          <w:bCs/>
        </w:rPr>
        <w:t xml:space="preserve">Por otra parte, para poder realizar comparaciones correctas entre precios es importante convertir los precios nominales en precios reales (constantes de un año base), pues permite controlar por el efecto inflacionario. Para transformarlo, se normaliza por la diferencia entre los Índices de Precios al Consumidor de la forma: </w:t>
      </w:r>
    </w:p>
    <w:p w14:paraId="3D35DC9F" w14:textId="25ACAFE9" w:rsidR="00F10D43" w:rsidRPr="00C866FE" w:rsidRDefault="00F80598" w:rsidP="00922534">
      <w:pPr>
        <w:jc w:val="both"/>
        <w:rPr>
          <w:rFonts w:eastAsiaTheme="minorEastAsia"/>
          <w:b/>
          <w:bCs/>
        </w:rPr>
      </w:pPr>
      <m:oMathPara>
        <m:oMath>
          <m:d>
            <m:dPr>
              <m:ctrlPr>
                <w:rPr>
                  <w:rFonts w:ascii="Cambria Math" w:hAnsi="Cambria Math"/>
                  <w:b/>
                  <w:bCs/>
                  <w:i/>
                </w:rPr>
              </m:ctrlPr>
            </m:dPr>
            <m:e>
              <m:r>
                <m:rPr>
                  <m:sty m:val="bi"/>
                </m:rPr>
                <w:rPr>
                  <w:rFonts w:ascii="Cambria Math" w:hAnsi="Cambria Math"/>
                </w:rPr>
                <m:t>1</m:t>
              </m:r>
            </m:e>
          </m:d>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real,t</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nominal,t</m:t>
                  </m:r>
                </m:sub>
              </m:sSub>
              <m:r>
                <m:rPr>
                  <m:sty m:val="bi"/>
                </m:rPr>
                <w:rPr>
                  <w:rFonts w:ascii="Cambria Math" w:eastAsiaTheme="minorEastAsia" w:hAnsi="Cambria Math"/>
                </w:rPr>
                <m:t>*IP</m:t>
              </m:r>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base</m:t>
                  </m:r>
                </m:sub>
              </m:sSub>
            </m:num>
            <m:den>
              <m:r>
                <m:rPr>
                  <m:sty m:val="bi"/>
                </m:rPr>
                <w:rPr>
                  <w:rFonts w:ascii="Cambria Math" w:eastAsiaTheme="minorEastAsia" w:hAnsi="Cambria Math"/>
                </w:rPr>
                <m:t>IP</m:t>
              </m:r>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t</m:t>
                  </m:r>
                </m:sub>
              </m:sSub>
            </m:den>
          </m:f>
        </m:oMath>
      </m:oMathPara>
    </w:p>
    <w:p w14:paraId="2ADB7020" w14:textId="0047D35C" w:rsidR="00F10D43" w:rsidRPr="00C866FE" w:rsidRDefault="00F10D43" w:rsidP="00922534">
      <w:pPr>
        <w:jc w:val="both"/>
        <w:rPr>
          <w:rFonts w:eastAsiaTheme="minorEastAsia"/>
          <w:b/>
          <w:bCs/>
        </w:rPr>
      </w:pPr>
      <w:r w:rsidRPr="00C866FE">
        <w:rPr>
          <w:rFonts w:eastAsiaTheme="minorEastAsia"/>
          <w:b/>
          <w:bCs/>
        </w:rPr>
        <w:t xml:space="preserve">Donde </w:t>
      </w:r>
      <m:oMath>
        <m:r>
          <m:rPr>
            <m:sty m:val="bi"/>
          </m:rPr>
          <w:rPr>
            <w:rFonts w:ascii="Cambria Math" w:eastAsiaTheme="minorEastAsia" w:hAnsi="Cambria Math"/>
          </w:rPr>
          <m:t>IP</m:t>
        </m:r>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base</m:t>
            </m:r>
          </m:sub>
        </m:sSub>
      </m:oMath>
      <w:r w:rsidRPr="00C866FE">
        <w:rPr>
          <w:rFonts w:eastAsiaTheme="minorEastAsia"/>
          <w:b/>
          <w:bCs/>
        </w:rPr>
        <w:t xml:space="preserve"> hace referencia al IPC de un año-mes específico. </w:t>
      </w:r>
      <m:oMath>
        <m:r>
          <m:rPr>
            <m:sty m:val="bi"/>
          </m:rPr>
          <w:rPr>
            <w:rFonts w:ascii="Cambria Math" w:eastAsiaTheme="minorEastAsia" w:hAnsi="Cambria Math"/>
          </w:rPr>
          <m:t>IP</m:t>
        </m:r>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t</m:t>
            </m:r>
          </m:sub>
        </m:sSub>
      </m:oMath>
      <w:r w:rsidRPr="00C866FE">
        <w:rPr>
          <w:rFonts w:eastAsiaTheme="minorEastAsia"/>
          <w:b/>
          <w:bCs/>
        </w:rPr>
        <w:t xml:space="preserve"> al IPC del año-mes t sobre el cual se quiere convertir el precio nominal del año-mes t (</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nominal,t</m:t>
            </m:r>
          </m:sub>
        </m:sSub>
      </m:oMath>
      <w:r w:rsidRPr="00C866FE">
        <w:rPr>
          <w:rFonts w:eastAsiaTheme="minorEastAsia"/>
          <w:b/>
          <w:bCs/>
        </w:rPr>
        <w:t>).</w:t>
      </w:r>
    </w:p>
    <w:p w14:paraId="0BEDDD92" w14:textId="77777777" w:rsidR="009F6BB2" w:rsidRPr="00C866FE" w:rsidRDefault="009F6BB2" w:rsidP="00922534">
      <w:pPr>
        <w:jc w:val="both"/>
        <w:rPr>
          <w:rFonts w:eastAsiaTheme="minorEastAsia"/>
          <w:b/>
          <w:bCs/>
        </w:rPr>
      </w:pPr>
    </w:p>
    <w:p w14:paraId="4F898BEA" w14:textId="60CEF92A" w:rsidR="008A6854" w:rsidRPr="008A6854" w:rsidRDefault="00F10D43" w:rsidP="00922534">
      <w:pPr>
        <w:pStyle w:val="ListParagraph"/>
        <w:numPr>
          <w:ilvl w:val="1"/>
          <w:numId w:val="2"/>
        </w:numPr>
        <w:jc w:val="both"/>
        <w:rPr>
          <w:b/>
          <w:bCs/>
        </w:rPr>
      </w:pPr>
      <w:r w:rsidRPr="00C866FE">
        <w:rPr>
          <w:b/>
          <w:bCs/>
        </w:rPr>
        <w:t>Creen una función que tenga como parámetros: una columna de una serie de un precio de la base de datos, un año</w:t>
      </w:r>
      <w:r w:rsidR="00C45D12" w:rsidRPr="00C866FE">
        <w:rPr>
          <w:b/>
          <w:bCs/>
        </w:rPr>
        <w:t>, un</w:t>
      </w:r>
      <w:r w:rsidRPr="00C866FE">
        <w:rPr>
          <w:b/>
          <w:bCs/>
        </w:rPr>
        <w:t xml:space="preserve"> mes y la columna del IPC de Colombia. Posteriormente, la función debe crear una nueva columna cuyo nombre sea: el </w:t>
      </w:r>
      <w:r w:rsidR="008703CC" w:rsidRPr="00C866FE">
        <w:rPr>
          <w:b/>
          <w:bCs/>
        </w:rPr>
        <w:t>“</w:t>
      </w:r>
      <w:r w:rsidRPr="00C866FE">
        <w:rPr>
          <w:b/>
          <w:bCs/>
          <w:i/>
          <w:iCs/>
        </w:rPr>
        <w:t>nombre</w:t>
      </w:r>
      <w:r w:rsidR="00377091" w:rsidRPr="00C866FE">
        <w:rPr>
          <w:b/>
          <w:bCs/>
          <w:i/>
          <w:iCs/>
        </w:rPr>
        <w:t>_</w:t>
      </w:r>
      <w:r w:rsidRPr="00C866FE">
        <w:rPr>
          <w:b/>
          <w:bCs/>
          <w:i/>
          <w:iCs/>
        </w:rPr>
        <w:t>del</w:t>
      </w:r>
      <w:r w:rsidR="00377091" w:rsidRPr="00C866FE">
        <w:rPr>
          <w:b/>
          <w:bCs/>
          <w:i/>
          <w:iCs/>
        </w:rPr>
        <w:t>_</w:t>
      </w:r>
      <w:r w:rsidR="008703CC" w:rsidRPr="00C866FE">
        <w:rPr>
          <w:b/>
          <w:bCs/>
          <w:i/>
          <w:iCs/>
        </w:rPr>
        <w:t>bien”</w:t>
      </w:r>
      <w:r w:rsidR="008703CC" w:rsidRPr="00C866FE">
        <w:rPr>
          <w:b/>
          <w:bCs/>
        </w:rPr>
        <w:t xml:space="preserve"> + “</w:t>
      </w:r>
      <w:r w:rsidR="008703CC" w:rsidRPr="00C866FE">
        <w:rPr>
          <w:b/>
          <w:bCs/>
          <w:i/>
          <w:iCs/>
        </w:rPr>
        <w:t>a</w:t>
      </w:r>
      <w:r w:rsidR="00377091" w:rsidRPr="00C866FE">
        <w:rPr>
          <w:b/>
          <w:bCs/>
          <w:i/>
          <w:iCs/>
        </w:rPr>
        <w:t>no_</w:t>
      </w:r>
      <w:r w:rsidR="008703CC" w:rsidRPr="00C866FE">
        <w:rPr>
          <w:b/>
          <w:bCs/>
          <w:i/>
          <w:iCs/>
        </w:rPr>
        <w:t>base”</w:t>
      </w:r>
      <w:r w:rsidRPr="00C866FE">
        <w:rPr>
          <w:b/>
          <w:bCs/>
        </w:rPr>
        <w:t xml:space="preserve"> </w:t>
      </w:r>
      <w:r w:rsidR="00E41176" w:rsidRPr="00C866FE">
        <w:rPr>
          <w:b/>
          <w:bCs/>
        </w:rPr>
        <w:t>+ “mes</w:t>
      </w:r>
      <w:r w:rsidR="00377091" w:rsidRPr="00C866FE">
        <w:rPr>
          <w:b/>
          <w:bCs/>
          <w:i/>
          <w:iCs/>
        </w:rPr>
        <w:t>_</w:t>
      </w:r>
      <w:r w:rsidR="00E41176" w:rsidRPr="00C866FE">
        <w:rPr>
          <w:b/>
          <w:bCs/>
          <w:i/>
          <w:iCs/>
        </w:rPr>
        <w:t>base”</w:t>
      </w:r>
      <w:r w:rsidR="00E41176" w:rsidRPr="00C866FE">
        <w:rPr>
          <w:b/>
          <w:bCs/>
        </w:rPr>
        <w:t xml:space="preserve"> </w:t>
      </w:r>
      <w:r w:rsidRPr="00C866FE">
        <w:rPr>
          <w:b/>
          <w:bCs/>
        </w:rPr>
        <w:t>+ el sufijo “_transformada”. Esta columna debe ser la transformación de valores nominales de la serie</w:t>
      </w:r>
      <w:r w:rsidR="00D81736" w:rsidRPr="00C866FE">
        <w:rPr>
          <w:b/>
          <w:bCs/>
        </w:rPr>
        <w:t xml:space="preserve">, </w:t>
      </w:r>
      <w:r w:rsidRPr="00C866FE">
        <w:rPr>
          <w:b/>
          <w:bCs/>
        </w:rPr>
        <w:t>a valores reales con base en el año</w:t>
      </w:r>
      <w:r w:rsidR="00D81736" w:rsidRPr="00C866FE">
        <w:rPr>
          <w:b/>
          <w:bCs/>
        </w:rPr>
        <w:t>-mes</w:t>
      </w:r>
      <w:r w:rsidRPr="00C866FE">
        <w:rPr>
          <w:b/>
          <w:bCs/>
        </w:rPr>
        <w:t xml:space="preserve"> que toma como parámetro la función. Es decir, utilizando la ecuación (1) tendrán que consolidar una función que transforme los valores nominales en precios constantes con base en cualquier </w:t>
      </w:r>
      <w:r w:rsidR="008703CC" w:rsidRPr="00C866FE">
        <w:rPr>
          <w:b/>
          <w:bCs/>
        </w:rPr>
        <w:t>mes-</w:t>
      </w:r>
      <w:r w:rsidRPr="00C866FE">
        <w:rPr>
          <w:b/>
          <w:bCs/>
        </w:rPr>
        <w:t xml:space="preserve">año. </w:t>
      </w:r>
    </w:p>
    <w:p w14:paraId="4BE01C26" w14:textId="77777777" w:rsidR="008A6854" w:rsidRDefault="008A6854" w:rsidP="00922534">
      <w:pPr>
        <w:pStyle w:val="ListParagraph"/>
        <w:jc w:val="both"/>
        <w:rPr>
          <w:b/>
          <w:bCs/>
        </w:rPr>
      </w:pPr>
    </w:p>
    <w:p w14:paraId="7F39AFE6" w14:textId="410DD0F7" w:rsidR="008A6854" w:rsidRDefault="008A6854" w:rsidP="00922534">
      <w:pPr>
        <w:pStyle w:val="ListParagraph"/>
        <w:ind w:left="432"/>
        <w:jc w:val="both"/>
      </w:pPr>
      <w:r>
        <w:rPr>
          <w:b/>
          <w:bCs/>
        </w:rPr>
        <w:t>Solución:</w:t>
      </w:r>
      <w:r w:rsidRPr="008A6854">
        <w:t xml:space="preserve"> </w:t>
      </w:r>
      <w:r>
        <w:t>Las instrucciones de este punto no requieren argumentación ni interpretación de resultados, ni tampoco responder a una pregunta en forma de texto. Por lo tanto, la solución se limita únicamente al script de R asociado al taller.</w:t>
      </w:r>
    </w:p>
    <w:p w14:paraId="649ACB63" w14:textId="77777777" w:rsidR="00696E07" w:rsidRDefault="00696E07" w:rsidP="00922534">
      <w:pPr>
        <w:pStyle w:val="ListParagraph"/>
        <w:ind w:left="432"/>
        <w:jc w:val="both"/>
      </w:pPr>
    </w:p>
    <w:p w14:paraId="3AAD830B" w14:textId="5FF7B1F8" w:rsidR="00696E07" w:rsidRDefault="00696E07" w:rsidP="00922534">
      <w:pPr>
        <w:ind w:left="432"/>
        <w:jc w:val="both"/>
        <w:rPr>
          <w:sz w:val="24"/>
          <w:szCs w:val="24"/>
        </w:rPr>
      </w:pPr>
      <w:r>
        <w:rPr>
          <w:sz w:val="24"/>
          <w:szCs w:val="24"/>
        </w:rPr>
        <w:t xml:space="preserve">Sin embargo, nos parece relevante mencionar que se </w:t>
      </w:r>
      <w:r w:rsidR="006263E0">
        <w:rPr>
          <w:sz w:val="24"/>
          <w:szCs w:val="24"/>
        </w:rPr>
        <w:t>utilizó</w:t>
      </w:r>
      <w:r>
        <w:rPr>
          <w:sz w:val="24"/>
          <w:szCs w:val="24"/>
        </w:rPr>
        <w:t xml:space="preserve"> una referencia de internet para </w:t>
      </w:r>
      <w:r w:rsidR="006263E0">
        <w:rPr>
          <w:sz w:val="24"/>
          <w:szCs w:val="24"/>
        </w:rPr>
        <w:t xml:space="preserve">invertir </w:t>
      </w:r>
      <w:r w:rsidR="005402CD">
        <w:rPr>
          <w:sz w:val="24"/>
          <w:szCs w:val="24"/>
        </w:rPr>
        <w:t>el orden de un</w:t>
      </w:r>
      <w:r w:rsidR="00B35735">
        <w:rPr>
          <w:sz w:val="24"/>
          <w:szCs w:val="24"/>
        </w:rPr>
        <w:t xml:space="preserve"> vector con la función rev().</w:t>
      </w:r>
    </w:p>
    <w:p w14:paraId="56A41C2B" w14:textId="2B253547" w:rsidR="008A6854" w:rsidRPr="0031411F" w:rsidRDefault="00B35735" w:rsidP="00922534">
      <w:pPr>
        <w:ind w:left="432"/>
        <w:jc w:val="both"/>
        <w:rPr>
          <w:sz w:val="24"/>
          <w:szCs w:val="24"/>
          <w:lang w:val="en-US"/>
        </w:rPr>
      </w:pPr>
      <w:r w:rsidRPr="00C074B3">
        <w:rPr>
          <w:sz w:val="24"/>
          <w:szCs w:val="24"/>
          <w:lang w:val="en-US"/>
        </w:rPr>
        <w:t xml:space="preserve">Enlace: </w:t>
      </w:r>
      <w:hyperlink r:id="rId13" w:history="1">
        <w:r w:rsidR="00C074B3" w:rsidRPr="00C41826">
          <w:rPr>
            <w:rStyle w:val="Hyperlink"/>
            <w:sz w:val="24"/>
            <w:szCs w:val="24"/>
            <w:lang w:val="en-US"/>
          </w:rPr>
          <w:t>https://www.geeksforgeeks.org/how-to-reverse-the-order-of-a-dataframe-in-r/</w:t>
        </w:r>
      </w:hyperlink>
    </w:p>
    <w:p w14:paraId="618A6BED" w14:textId="701396DF" w:rsidR="00566847" w:rsidRPr="00C866FE" w:rsidRDefault="00F10D43" w:rsidP="00922534">
      <w:pPr>
        <w:pStyle w:val="ListParagraph"/>
        <w:numPr>
          <w:ilvl w:val="1"/>
          <w:numId w:val="2"/>
        </w:numPr>
        <w:jc w:val="both"/>
        <w:rPr>
          <w:b/>
          <w:bCs/>
        </w:rPr>
      </w:pPr>
      <w:r w:rsidRPr="00C866FE">
        <w:rPr>
          <w:b/>
          <w:bCs/>
        </w:rPr>
        <w:t>Aplique</w:t>
      </w:r>
      <w:r w:rsidR="002E17E6" w:rsidRPr="00C866FE">
        <w:rPr>
          <w:b/>
          <w:bCs/>
        </w:rPr>
        <w:t xml:space="preserve">n </w:t>
      </w:r>
      <w:r w:rsidRPr="00C866FE">
        <w:rPr>
          <w:b/>
          <w:bCs/>
        </w:rPr>
        <w:t xml:space="preserve">la función que desarrolló en el literal anterior para todos los bienes que definió en la base de datos, pueden usar cualquier año-mes base, lo importante es que sean explícitos. </w:t>
      </w:r>
    </w:p>
    <w:p w14:paraId="740B5053" w14:textId="25FE8390" w:rsidR="0098090E" w:rsidRDefault="0098090E" w:rsidP="00922534">
      <w:pPr>
        <w:ind w:left="432"/>
        <w:jc w:val="both"/>
        <w:rPr>
          <w:b/>
          <w:bCs/>
        </w:rPr>
      </w:pPr>
      <w:r>
        <w:rPr>
          <w:b/>
          <w:bCs/>
        </w:rPr>
        <w:t>Solución</w:t>
      </w:r>
      <w:r w:rsidR="00D01BF5">
        <w:rPr>
          <w:b/>
          <w:bCs/>
        </w:rPr>
        <w:t xml:space="preserve">: </w:t>
      </w:r>
    </w:p>
    <w:p w14:paraId="627FFEF4" w14:textId="781C347B" w:rsidR="00D01BF5" w:rsidRPr="00D01BF5" w:rsidRDefault="00D01BF5" w:rsidP="00922534">
      <w:pPr>
        <w:ind w:left="432"/>
        <w:jc w:val="both"/>
      </w:pPr>
      <w:r>
        <w:t xml:space="preserve">Utilizamos el mes de enero del año 2000 como año base para calcular </w:t>
      </w:r>
      <w:r w:rsidR="00E7300A">
        <w:t xml:space="preserve">los precios reales de los </w:t>
      </w:r>
      <w:r w:rsidR="00EB0A65">
        <w:t>combustibles</w:t>
      </w:r>
      <w:r w:rsidR="00E7300A">
        <w:t>.</w:t>
      </w:r>
    </w:p>
    <w:p w14:paraId="3B71B17E" w14:textId="77777777" w:rsidR="00D81736" w:rsidRPr="00C866FE" w:rsidRDefault="00D81736" w:rsidP="00922534">
      <w:pPr>
        <w:pStyle w:val="ListParagraph"/>
        <w:ind w:left="573"/>
        <w:jc w:val="both"/>
        <w:rPr>
          <w:b/>
          <w:bCs/>
        </w:rPr>
      </w:pPr>
    </w:p>
    <w:p w14:paraId="72208BEA" w14:textId="32A83CE5" w:rsidR="008F2BA0" w:rsidRPr="00C866FE" w:rsidRDefault="00F10D43" w:rsidP="00922534">
      <w:pPr>
        <w:pStyle w:val="ListParagraph"/>
        <w:numPr>
          <w:ilvl w:val="1"/>
          <w:numId w:val="2"/>
        </w:numPr>
        <w:jc w:val="both"/>
        <w:rPr>
          <w:b/>
          <w:bCs/>
        </w:rPr>
      </w:pPr>
      <w:r w:rsidRPr="00C866FE">
        <w:rPr>
          <w:b/>
          <w:bCs/>
        </w:rPr>
        <w:t xml:space="preserve">Exporte la base de datos consolidada en un archivo .csv </w:t>
      </w:r>
    </w:p>
    <w:p w14:paraId="7851758E" w14:textId="77777777" w:rsidR="00DA3BAA" w:rsidRDefault="00DA3BAA" w:rsidP="00922534">
      <w:pPr>
        <w:pStyle w:val="ListParagraph"/>
        <w:ind w:left="432"/>
        <w:jc w:val="both"/>
        <w:rPr>
          <w:b/>
          <w:bCs/>
        </w:rPr>
      </w:pPr>
    </w:p>
    <w:p w14:paraId="466E4A86" w14:textId="77777777" w:rsidR="00DA3BAA" w:rsidRDefault="00DA3BAA" w:rsidP="00922534">
      <w:pPr>
        <w:ind w:left="432"/>
        <w:jc w:val="both"/>
      </w:pPr>
      <w:r>
        <w:t>Las instrucciones de este punto no requieren argumentación ni interpretación de resultados, ni tampoco responder a una pregunta en forma de texto. Por lo tanto, la solución se limita únicamente al script de R asociado al taller.</w:t>
      </w:r>
    </w:p>
    <w:p w14:paraId="3EF13440" w14:textId="77777777" w:rsidR="00DA3BAA" w:rsidRPr="00C866FE" w:rsidRDefault="00DA3BAA" w:rsidP="00922534">
      <w:pPr>
        <w:pStyle w:val="ListParagraph"/>
        <w:ind w:left="708"/>
        <w:jc w:val="both"/>
        <w:rPr>
          <w:b/>
          <w:bCs/>
        </w:rPr>
      </w:pPr>
    </w:p>
    <w:p w14:paraId="7A53E4F7" w14:textId="77777777" w:rsidR="00F10D43" w:rsidRPr="00C866FE" w:rsidRDefault="00F10D43" w:rsidP="00922534">
      <w:pPr>
        <w:pStyle w:val="Heading1"/>
        <w:jc w:val="both"/>
      </w:pPr>
      <w:r w:rsidRPr="00C866FE">
        <w:t>Segundo punto</w:t>
      </w:r>
    </w:p>
    <w:p w14:paraId="7F83D5D5" w14:textId="77777777" w:rsidR="00F10D43" w:rsidRPr="00C866FE" w:rsidRDefault="00F10D43" w:rsidP="00922534">
      <w:pPr>
        <w:pStyle w:val="Heading2"/>
        <w:numPr>
          <w:ilvl w:val="0"/>
          <w:numId w:val="2"/>
        </w:numPr>
        <w:tabs>
          <w:tab w:val="num" w:pos="360"/>
        </w:tabs>
        <w:jc w:val="both"/>
        <w:rPr>
          <w:rFonts w:ascii="Calibri" w:eastAsia="Calibri" w:hAnsi="Calibri" w:cs="Calibri"/>
          <w:b/>
          <w:bCs/>
          <w:color w:val="000000" w:themeColor="text1"/>
        </w:rPr>
      </w:pPr>
      <w:r w:rsidRPr="00C866FE">
        <w:rPr>
          <w:rFonts w:ascii="Calibri" w:eastAsia="Calibri" w:hAnsi="Calibri" w:cs="Calibri"/>
          <w:b/>
          <w:bCs/>
          <w:color w:val="000000" w:themeColor="text1"/>
        </w:rPr>
        <w:t xml:space="preserve">A partir de la base de datos consolidada en el punto anterior, este punto busca explorar y analizar los datos consolidados. Para esto, realicen lo siguiente: </w:t>
      </w:r>
    </w:p>
    <w:p w14:paraId="7FAF4130" w14:textId="77777777" w:rsidR="00F10D43" w:rsidRPr="00C866FE" w:rsidRDefault="00F10D43" w:rsidP="00922534">
      <w:pPr>
        <w:jc w:val="both"/>
        <w:rPr>
          <w:b/>
          <w:bCs/>
        </w:rPr>
      </w:pPr>
    </w:p>
    <w:p w14:paraId="1460AF6E" w14:textId="7DD2D1CA" w:rsidR="00F10D43" w:rsidRDefault="00F10D43" w:rsidP="00922534">
      <w:pPr>
        <w:pStyle w:val="Heading2"/>
        <w:jc w:val="both"/>
        <w:rPr>
          <w:b/>
          <w:bCs/>
        </w:rPr>
      </w:pPr>
      <w:r w:rsidRPr="00C866FE">
        <w:rPr>
          <w:b/>
          <w:bCs/>
        </w:rPr>
        <w:t xml:space="preserve">Presenten una tabla de estadísticas descriptivas donde </w:t>
      </w:r>
      <w:r w:rsidR="00AE6849" w:rsidRPr="00C866FE">
        <w:rPr>
          <w:b/>
          <w:bCs/>
        </w:rPr>
        <w:t>evidencien</w:t>
      </w:r>
      <w:r w:rsidRPr="00C866FE">
        <w:rPr>
          <w:b/>
          <w:bCs/>
        </w:rPr>
        <w:t xml:space="preserve"> el número de observaciones, promedio, min, max, desviación estándar de los precios nominales y reales de los combustibles. Expliquen e interpreten en el documento los valores más importantes de la tabla.</w:t>
      </w:r>
    </w:p>
    <w:p w14:paraId="47EA4B78" w14:textId="77777777" w:rsidR="007D06A6" w:rsidRDefault="007D06A6" w:rsidP="007D06A6"/>
    <w:p w14:paraId="6E5C96D4" w14:textId="77777777" w:rsidR="007D06A6" w:rsidRDefault="007D06A6" w:rsidP="007D06A6"/>
    <w:p w14:paraId="0B2642AD" w14:textId="77777777" w:rsidR="007D06A6" w:rsidRPr="007D06A6" w:rsidRDefault="007D06A6" w:rsidP="007D06A6"/>
    <w:p w14:paraId="51B008BD" w14:textId="26D1574E" w:rsidR="0031411F" w:rsidRPr="00B97301" w:rsidRDefault="00B97301" w:rsidP="00922534">
      <w:pPr>
        <w:ind w:firstLine="573"/>
        <w:jc w:val="both"/>
        <w:rPr>
          <w:b/>
          <w:bCs/>
        </w:rPr>
      </w:pPr>
      <w:r w:rsidRPr="00B97301">
        <w:rPr>
          <w:b/>
          <w:bCs/>
        </w:rPr>
        <w:t>Solución: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893"/>
        <w:gridCol w:w="1426"/>
        <w:gridCol w:w="972"/>
        <w:gridCol w:w="1715"/>
        <w:gridCol w:w="867"/>
        <w:gridCol w:w="845"/>
      </w:tblGrid>
      <w:tr w:rsidR="008A60B3" w:rsidRPr="00CD1023" w14:paraId="23099224" w14:textId="77777777" w:rsidTr="008A60B3">
        <w:trPr>
          <w:divId w:val="970746230"/>
          <w:tblCellSpacing w:w="15" w:type="dxa"/>
          <w:jc w:val="center"/>
        </w:trPr>
        <w:tc>
          <w:tcPr>
            <w:tcW w:w="0" w:type="auto"/>
            <w:gridSpan w:val="6"/>
            <w:tcBorders>
              <w:bottom w:val="single" w:sz="6" w:space="0" w:color="000000"/>
            </w:tcBorders>
            <w:vAlign w:val="center"/>
            <w:hideMark/>
          </w:tcPr>
          <w:p w14:paraId="3642281C" w14:textId="1B31D597" w:rsidR="008A60B3" w:rsidRPr="00CD1023" w:rsidRDefault="00CD1023" w:rsidP="00922534">
            <w:pPr>
              <w:jc w:val="both"/>
              <w:rPr>
                <w:b/>
                <w:bCs/>
                <w:kern w:val="0"/>
                <w14:ligatures w14:val="none"/>
              </w:rPr>
            </w:pPr>
            <w:r w:rsidRPr="00CD1023">
              <w:rPr>
                <w:b/>
                <w:bCs/>
                <w:kern w:val="0"/>
                <w14:ligatures w14:val="none"/>
              </w:rPr>
              <w:t>Tabla</w:t>
            </w:r>
            <w:r w:rsidR="007D06A6">
              <w:rPr>
                <w:b/>
                <w:bCs/>
                <w:kern w:val="0"/>
                <w14:ligatures w14:val="none"/>
              </w:rPr>
              <w:t xml:space="preserve"> 3: E</w:t>
            </w:r>
            <w:r w:rsidRPr="00CD1023">
              <w:rPr>
                <w:b/>
                <w:bCs/>
                <w:kern w:val="0"/>
                <w14:ligatures w14:val="none"/>
              </w:rPr>
              <w:t xml:space="preserve">stadísticas </w:t>
            </w:r>
            <w:r w:rsidR="007D06A6">
              <w:rPr>
                <w:b/>
                <w:bCs/>
                <w:kern w:val="0"/>
                <w14:ligatures w14:val="none"/>
              </w:rPr>
              <w:t xml:space="preserve">descriptivas </w:t>
            </w:r>
            <w:r w:rsidRPr="00CD1023">
              <w:rPr>
                <w:b/>
                <w:bCs/>
                <w:kern w:val="0"/>
                <w14:ligatures w14:val="none"/>
              </w:rPr>
              <w:t>de los precios de los combustibles</w:t>
            </w:r>
          </w:p>
        </w:tc>
      </w:tr>
      <w:tr w:rsidR="008A60B3" w14:paraId="565E5B93" w14:textId="77777777" w:rsidTr="00CD1023">
        <w:trPr>
          <w:divId w:val="970746230"/>
          <w:trHeight w:val="150"/>
          <w:tblCellSpacing w:w="15" w:type="dxa"/>
          <w:jc w:val="center"/>
        </w:trPr>
        <w:tc>
          <w:tcPr>
            <w:tcW w:w="0" w:type="auto"/>
            <w:vAlign w:val="center"/>
            <w:hideMark/>
          </w:tcPr>
          <w:p w14:paraId="41382BFF" w14:textId="6EC177D0" w:rsidR="008A60B3" w:rsidRDefault="008A60B3" w:rsidP="007D06A6">
            <w:pPr>
              <w:jc w:val="center"/>
              <w:rPr>
                <w:rFonts w:eastAsia="Times New Roman"/>
                <w:sz w:val="24"/>
                <w:szCs w:val="24"/>
              </w:rPr>
            </w:pPr>
          </w:p>
        </w:tc>
        <w:tc>
          <w:tcPr>
            <w:tcW w:w="0" w:type="auto"/>
            <w:vAlign w:val="center"/>
            <w:hideMark/>
          </w:tcPr>
          <w:p w14:paraId="22FCA2F7" w14:textId="2DD0E805" w:rsidR="008A60B3" w:rsidRPr="00CD1023" w:rsidRDefault="00CD1023" w:rsidP="007D06A6">
            <w:pPr>
              <w:jc w:val="center"/>
              <w:rPr>
                <w:rFonts w:eastAsia="Times New Roman"/>
                <w:b/>
                <w:bCs/>
              </w:rPr>
            </w:pPr>
            <w:r w:rsidRPr="00CD1023">
              <w:rPr>
                <w:rFonts w:eastAsia="Times New Roman"/>
                <w:b/>
                <w:bCs/>
              </w:rPr>
              <w:t>Observaciones</w:t>
            </w:r>
          </w:p>
        </w:tc>
        <w:tc>
          <w:tcPr>
            <w:tcW w:w="0" w:type="auto"/>
            <w:vAlign w:val="center"/>
            <w:hideMark/>
          </w:tcPr>
          <w:p w14:paraId="5104A297" w14:textId="728FD339" w:rsidR="008A60B3" w:rsidRPr="00CD1023" w:rsidRDefault="00CD1023" w:rsidP="007D06A6">
            <w:pPr>
              <w:jc w:val="center"/>
              <w:rPr>
                <w:rFonts w:eastAsia="Times New Roman"/>
                <w:b/>
                <w:bCs/>
              </w:rPr>
            </w:pPr>
            <w:r w:rsidRPr="00CD1023">
              <w:rPr>
                <w:rFonts w:eastAsia="Times New Roman"/>
                <w:b/>
                <w:bCs/>
              </w:rPr>
              <w:t>Promedio</w:t>
            </w:r>
          </w:p>
        </w:tc>
        <w:tc>
          <w:tcPr>
            <w:tcW w:w="1647" w:type="dxa"/>
            <w:vAlign w:val="center"/>
            <w:hideMark/>
          </w:tcPr>
          <w:p w14:paraId="39DE51EC" w14:textId="03A85751" w:rsidR="008A60B3" w:rsidRPr="00CD1023" w:rsidRDefault="00CD1023" w:rsidP="007D06A6">
            <w:pPr>
              <w:jc w:val="center"/>
              <w:rPr>
                <w:rFonts w:eastAsia="Times New Roman"/>
                <w:b/>
                <w:bCs/>
              </w:rPr>
            </w:pPr>
            <w:r w:rsidRPr="00CD1023">
              <w:rPr>
                <w:rFonts w:eastAsia="Times New Roman"/>
                <w:b/>
                <w:bCs/>
              </w:rPr>
              <w:t>Desviación estándar</w:t>
            </w:r>
          </w:p>
        </w:tc>
        <w:tc>
          <w:tcPr>
            <w:tcW w:w="818" w:type="dxa"/>
            <w:vAlign w:val="center"/>
            <w:hideMark/>
          </w:tcPr>
          <w:p w14:paraId="20F9A720" w14:textId="632A4629" w:rsidR="008A60B3" w:rsidRPr="00CD1023" w:rsidRDefault="008A60B3" w:rsidP="007D06A6">
            <w:pPr>
              <w:jc w:val="center"/>
              <w:rPr>
                <w:rFonts w:eastAsia="Times New Roman"/>
                <w:b/>
                <w:bCs/>
              </w:rPr>
            </w:pPr>
            <w:r w:rsidRPr="00CD1023">
              <w:rPr>
                <w:rFonts w:eastAsia="Times New Roman"/>
                <w:b/>
                <w:bCs/>
              </w:rPr>
              <w:t>M</w:t>
            </w:r>
            <w:r w:rsidR="00CD1023" w:rsidRPr="00CD1023">
              <w:rPr>
                <w:rFonts w:eastAsia="Times New Roman"/>
                <w:b/>
                <w:bCs/>
              </w:rPr>
              <w:t>ínimo</w:t>
            </w:r>
          </w:p>
        </w:tc>
        <w:tc>
          <w:tcPr>
            <w:tcW w:w="0" w:type="auto"/>
            <w:vAlign w:val="center"/>
            <w:hideMark/>
          </w:tcPr>
          <w:p w14:paraId="248D28AE" w14:textId="7DDF4F9C" w:rsidR="008A60B3" w:rsidRPr="00CD1023" w:rsidRDefault="008A60B3" w:rsidP="007D06A6">
            <w:pPr>
              <w:jc w:val="center"/>
              <w:rPr>
                <w:rFonts w:eastAsia="Times New Roman"/>
                <w:b/>
                <w:bCs/>
              </w:rPr>
            </w:pPr>
            <w:r w:rsidRPr="00CD1023">
              <w:rPr>
                <w:rFonts w:eastAsia="Times New Roman"/>
                <w:b/>
                <w:bCs/>
              </w:rPr>
              <w:t>M</w:t>
            </w:r>
            <w:r w:rsidR="00CD1023" w:rsidRPr="00CD1023">
              <w:rPr>
                <w:rFonts w:eastAsia="Times New Roman"/>
                <w:b/>
                <w:bCs/>
              </w:rPr>
              <w:t>áximo</w:t>
            </w:r>
          </w:p>
        </w:tc>
      </w:tr>
      <w:tr w:rsidR="008A60B3" w14:paraId="02976A42" w14:textId="77777777" w:rsidTr="008A60B3">
        <w:trPr>
          <w:divId w:val="970746230"/>
          <w:tblCellSpacing w:w="15" w:type="dxa"/>
          <w:jc w:val="center"/>
        </w:trPr>
        <w:tc>
          <w:tcPr>
            <w:tcW w:w="0" w:type="auto"/>
            <w:gridSpan w:val="6"/>
            <w:tcBorders>
              <w:bottom w:val="single" w:sz="6" w:space="0" w:color="000000"/>
            </w:tcBorders>
            <w:vAlign w:val="center"/>
            <w:hideMark/>
          </w:tcPr>
          <w:p w14:paraId="7CEBF15D" w14:textId="77777777" w:rsidR="008A60B3" w:rsidRDefault="008A60B3" w:rsidP="007D06A6">
            <w:pPr>
              <w:jc w:val="center"/>
              <w:rPr>
                <w:rFonts w:eastAsia="Times New Roman"/>
              </w:rPr>
            </w:pPr>
          </w:p>
        </w:tc>
      </w:tr>
      <w:tr w:rsidR="00CD1023" w14:paraId="1ADCD827" w14:textId="77777777" w:rsidTr="00CD1023">
        <w:trPr>
          <w:divId w:val="970746230"/>
          <w:trHeight w:val="275"/>
          <w:tblCellSpacing w:w="15" w:type="dxa"/>
          <w:jc w:val="center"/>
        </w:trPr>
        <w:tc>
          <w:tcPr>
            <w:tcW w:w="0" w:type="auto"/>
            <w:gridSpan w:val="6"/>
            <w:tcBorders>
              <w:bottom w:val="single" w:sz="6" w:space="0" w:color="000000"/>
            </w:tcBorders>
            <w:vAlign w:val="center"/>
          </w:tcPr>
          <w:p w14:paraId="755D6446" w14:textId="03998D01" w:rsidR="00CD1023" w:rsidRPr="00CD1023" w:rsidRDefault="00CD1023" w:rsidP="007D06A6">
            <w:pPr>
              <w:rPr>
                <w:rFonts w:eastAsia="Times New Roman"/>
                <w:b/>
                <w:bCs/>
              </w:rPr>
            </w:pPr>
            <w:r w:rsidRPr="00CD1023">
              <w:rPr>
                <w:rFonts w:eastAsia="Times New Roman"/>
                <w:b/>
                <w:bCs/>
              </w:rPr>
              <w:t>Precios nominales</w:t>
            </w:r>
          </w:p>
        </w:tc>
      </w:tr>
      <w:tr w:rsidR="008A60B3" w14:paraId="506F0BED" w14:textId="77777777" w:rsidTr="00CD1023">
        <w:trPr>
          <w:divId w:val="970746230"/>
          <w:tblCellSpacing w:w="15" w:type="dxa"/>
          <w:jc w:val="center"/>
        </w:trPr>
        <w:tc>
          <w:tcPr>
            <w:tcW w:w="0" w:type="auto"/>
            <w:vAlign w:val="center"/>
            <w:hideMark/>
          </w:tcPr>
          <w:p w14:paraId="7F2B3E27" w14:textId="49643BE7" w:rsidR="008A60B3" w:rsidRDefault="00CD1023" w:rsidP="007D06A6">
            <w:pPr>
              <w:rPr>
                <w:rFonts w:eastAsia="Times New Roman"/>
              </w:rPr>
            </w:pPr>
            <w:r>
              <w:rPr>
                <w:rFonts w:eastAsia="Times New Roman"/>
              </w:rPr>
              <w:t>Precio nominal del Carbón</w:t>
            </w:r>
          </w:p>
        </w:tc>
        <w:tc>
          <w:tcPr>
            <w:tcW w:w="0" w:type="auto"/>
            <w:vAlign w:val="center"/>
            <w:hideMark/>
          </w:tcPr>
          <w:p w14:paraId="38FC4977" w14:textId="77777777" w:rsidR="008A60B3" w:rsidRDefault="008A60B3" w:rsidP="007D06A6">
            <w:pPr>
              <w:jc w:val="center"/>
              <w:rPr>
                <w:rFonts w:eastAsia="Times New Roman"/>
              </w:rPr>
            </w:pPr>
            <w:r>
              <w:rPr>
                <w:rFonts w:eastAsia="Times New Roman"/>
              </w:rPr>
              <w:t>289</w:t>
            </w:r>
          </w:p>
        </w:tc>
        <w:tc>
          <w:tcPr>
            <w:tcW w:w="0" w:type="auto"/>
            <w:vAlign w:val="center"/>
            <w:hideMark/>
          </w:tcPr>
          <w:p w14:paraId="419B3844" w14:textId="77777777" w:rsidR="008A60B3" w:rsidRDefault="008A60B3" w:rsidP="007D06A6">
            <w:pPr>
              <w:jc w:val="center"/>
              <w:rPr>
                <w:rFonts w:eastAsia="Times New Roman"/>
              </w:rPr>
            </w:pPr>
            <w:r>
              <w:rPr>
                <w:rFonts w:eastAsia="Times New Roman"/>
              </w:rPr>
              <w:t>96.980</w:t>
            </w:r>
          </w:p>
        </w:tc>
        <w:tc>
          <w:tcPr>
            <w:tcW w:w="1647" w:type="dxa"/>
            <w:vAlign w:val="center"/>
            <w:hideMark/>
          </w:tcPr>
          <w:p w14:paraId="7ACA60F7" w14:textId="77777777" w:rsidR="008A60B3" w:rsidRDefault="008A60B3" w:rsidP="007D06A6">
            <w:pPr>
              <w:jc w:val="center"/>
              <w:rPr>
                <w:rFonts w:eastAsia="Times New Roman"/>
              </w:rPr>
            </w:pPr>
            <w:r>
              <w:rPr>
                <w:rFonts w:eastAsia="Times New Roman"/>
              </w:rPr>
              <w:t>12.437</w:t>
            </w:r>
          </w:p>
        </w:tc>
        <w:tc>
          <w:tcPr>
            <w:tcW w:w="818" w:type="dxa"/>
            <w:vAlign w:val="center"/>
            <w:hideMark/>
          </w:tcPr>
          <w:p w14:paraId="40F6E2E2" w14:textId="77777777" w:rsidR="008A60B3" w:rsidRDefault="008A60B3" w:rsidP="007D06A6">
            <w:pPr>
              <w:jc w:val="center"/>
              <w:rPr>
                <w:rFonts w:eastAsia="Times New Roman"/>
              </w:rPr>
            </w:pPr>
            <w:r>
              <w:rPr>
                <w:rFonts w:eastAsia="Times New Roman"/>
              </w:rPr>
              <w:t>74.211</w:t>
            </w:r>
          </w:p>
        </w:tc>
        <w:tc>
          <w:tcPr>
            <w:tcW w:w="0" w:type="auto"/>
            <w:vAlign w:val="center"/>
            <w:hideMark/>
          </w:tcPr>
          <w:p w14:paraId="5A6ADB61" w14:textId="77777777" w:rsidR="008A60B3" w:rsidRDefault="008A60B3" w:rsidP="007D06A6">
            <w:pPr>
              <w:jc w:val="center"/>
              <w:rPr>
                <w:rFonts w:eastAsia="Times New Roman"/>
              </w:rPr>
            </w:pPr>
            <w:r>
              <w:rPr>
                <w:rFonts w:eastAsia="Times New Roman"/>
              </w:rPr>
              <w:t>123.163</w:t>
            </w:r>
          </w:p>
        </w:tc>
      </w:tr>
      <w:tr w:rsidR="008A60B3" w14:paraId="15DE3FAB" w14:textId="77777777" w:rsidTr="00CD1023">
        <w:trPr>
          <w:divId w:val="970746230"/>
          <w:tblCellSpacing w:w="15" w:type="dxa"/>
          <w:jc w:val="center"/>
        </w:trPr>
        <w:tc>
          <w:tcPr>
            <w:tcW w:w="0" w:type="auto"/>
            <w:vAlign w:val="center"/>
            <w:hideMark/>
          </w:tcPr>
          <w:p w14:paraId="4F296E52" w14:textId="4C3FF3A6" w:rsidR="008A60B3" w:rsidRDefault="00CD1023" w:rsidP="007D06A6">
            <w:pPr>
              <w:rPr>
                <w:rFonts w:eastAsia="Times New Roman"/>
              </w:rPr>
            </w:pPr>
            <w:r>
              <w:rPr>
                <w:rFonts w:eastAsia="Times New Roman"/>
              </w:rPr>
              <w:t>Precio nominal del Gas Natural</w:t>
            </w:r>
          </w:p>
        </w:tc>
        <w:tc>
          <w:tcPr>
            <w:tcW w:w="0" w:type="auto"/>
            <w:vAlign w:val="center"/>
            <w:hideMark/>
          </w:tcPr>
          <w:p w14:paraId="037A16DC" w14:textId="77777777" w:rsidR="008A60B3" w:rsidRDefault="008A60B3" w:rsidP="007D06A6">
            <w:pPr>
              <w:jc w:val="center"/>
              <w:rPr>
                <w:rFonts w:eastAsia="Times New Roman"/>
              </w:rPr>
            </w:pPr>
            <w:r>
              <w:rPr>
                <w:rFonts w:eastAsia="Times New Roman"/>
              </w:rPr>
              <w:t>289</w:t>
            </w:r>
          </w:p>
        </w:tc>
        <w:tc>
          <w:tcPr>
            <w:tcW w:w="0" w:type="auto"/>
            <w:vAlign w:val="center"/>
            <w:hideMark/>
          </w:tcPr>
          <w:p w14:paraId="7DCBABF1" w14:textId="77777777" w:rsidR="008A60B3" w:rsidRDefault="008A60B3" w:rsidP="007D06A6">
            <w:pPr>
              <w:jc w:val="center"/>
              <w:rPr>
                <w:rFonts w:eastAsia="Times New Roman"/>
              </w:rPr>
            </w:pPr>
            <w:r>
              <w:rPr>
                <w:rFonts w:eastAsia="Times New Roman"/>
              </w:rPr>
              <w:t>118.245</w:t>
            </w:r>
          </w:p>
        </w:tc>
        <w:tc>
          <w:tcPr>
            <w:tcW w:w="1647" w:type="dxa"/>
            <w:vAlign w:val="center"/>
            <w:hideMark/>
          </w:tcPr>
          <w:p w14:paraId="09903B55" w14:textId="77777777" w:rsidR="008A60B3" w:rsidRDefault="008A60B3" w:rsidP="007D06A6">
            <w:pPr>
              <w:jc w:val="center"/>
              <w:rPr>
                <w:rFonts w:eastAsia="Times New Roman"/>
              </w:rPr>
            </w:pPr>
            <w:r>
              <w:rPr>
                <w:rFonts w:eastAsia="Times New Roman"/>
              </w:rPr>
              <w:t>8.164</w:t>
            </w:r>
          </w:p>
        </w:tc>
        <w:tc>
          <w:tcPr>
            <w:tcW w:w="818" w:type="dxa"/>
            <w:vAlign w:val="center"/>
            <w:hideMark/>
          </w:tcPr>
          <w:p w14:paraId="7D40EC3D" w14:textId="77777777" w:rsidR="008A60B3" w:rsidRDefault="008A60B3" w:rsidP="007D06A6">
            <w:pPr>
              <w:jc w:val="center"/>
              <w:rPr>
                <w:rFonts w:eastAsia="Times New Roman"/>
              </w:rPr>
            </w:pPr>
            <w:r>
              <w:rPr>
                <w:rFonts w:eastAsia="Times New Roman"/>
              </w:rPr>
              <w:t>98.711</w:t>
            </w:r>
          </w:p>
        </w:tc>
        <w:tc>
          <w:tcPr>
            <w:tcW w:w="0" w:type="auto"/>
            <w:vAlign w:val="center"/>
            <w:hideMark/>
          </w:tcPr>
          <w:p w14:paraId="3EB3E17D" w14:textId="77777777" w:rsidR="008A60B3" w:rsidRDefault="008A60B3" w:rsidP="007D06A6">
            <w:pPr>
              <w:jc w:val="center"/>
              <w:rPr>
                <w:rFonts w:eastAsia="Times New Roman"/>
              </w:rPr>
            </w:pPr>
            <w:r>
              <w:rPr>
                <w:rFonts w:eastAsia="Times New Roman"/>
              </w:rPr>
              <w:t>137.059</w:t>
            </w:r>
          </w:p>
        </w:tc>
      </w:tr>
      <w:tr w:rsidR="008A60B3" w14:paraId="695F27B9" w14:textId="77777777" w:rsidTr="00CD1023">
        <w:trPr>
          <w:divId w:val="970746230"/>
          <w:tblCellSpacing w:w="15" w:type="dxa"/>
          <w:jc w:val="center"/>
        </w:trPr>
        <w:tc>
          <w:tcPr>
            <w:tcW w:w="0" w:type="auto"/>
            <w:vAlign w:val="center"/>
            <w:hideMark/>
          </w:tcPr>
          <w:p w14:paraId="0A3D5300" w14:textId="61F7AA70" w:rsidR="008A60B3" w:rsidRDefault="00CD1023" w:rsidP="007D06A6">
            <w:pPr>
              <w:rPr>
                <w:rFonts w:eastAsia="Times New Roman"/>
              </w:rPr>
            </w:pPr>
            <w:r>
              <w:rPr>
                <w:rFonts w:eastAsia="Times New Roman"/>
              </w:rPr>
              <w:t>Precio nominal del Petróleo</w:t>
            </w:r>
          </w:p>
        </w:tc>
        <w:tc>
          <w:tcPr>
            <w:tcW w:w="0" w:type="auto"/>
            <w:vAlign w:val="center"/>
            <w:hideMark/>
          </w:tcPr>
          <w:p w14:paraId="6DA5CC3D" w14:textId="77777777" w:rsidR="008A60B3" w:rsidRDefault="008A60B3" w:rsidP="007D06A6">
            <w:pPr>
              <w:jc w:val="center"/>
              <w:rPr>
                <w:rFonts w:eastAsia="Times New Roman"/>
              </w:rPr>
            </w:pPr>
            <w:r>
              <w:rPr>
                <w:rFonts w:eastAsia="Times New Roman"/>
              </w:rPr>
              <w:t>289</w:t>
            </w:r>
          </w:p>
        </w:tc>
        <w:tc>
          <w:tcPr>
            <w:tcW w:w="0" w:type="auto"/>
            <w:vAlign w:val="center"/>
            <w:hideMark/>
          </w:tcPr>
          <w:p w14:paraId="0C992491" w14:textId="77777777" w:rsidR="008A60B3" w:rsidRDefault="008A60B3" w:rsidP="007D06A6">
            <w:pPr>
              <w:jc w:val="center"/>
              <w:rPr>
                <w:rFonts w:eastAsia="Times New Roman"/>
              </w:rPr>
            </w:pPr>
            <w:r>
              <w:rPr>
                <w:rFonts w:eastAsia="Times New Roman"/>
              </w:rPr>
              <w:t>108.079</w:t>
            </w:r>
          </w:p>
        </w:tc>
        <w:tc>
          <w:tcPr>
            <w:tcW w:w="1647" w:type="dxa"/>
            <w:vAlign w:val="center"/>
            <w:hideMark/>
          </w:tcPr>
          <w:p w14:paraId="6A1C916F" w14:textId="77777777" w:rsidR="008A60B3" w:rsidRDefault="008A60B3" w:rsidP="007D06A6">
            <w:pPr>
              <w:jc w:val="center"/>
              <w:rPr>
                <w:rFonts w:eastAsia="Times New Roman"/>
              </w:rPr>
            </w:pPr>
            <w:r>
              <w:rPr>
                <w:rFonts w:eastAsia="Times New Roman"/>
              </w:rPr>
              <w:t>7.801</w:t>
            </w:r>
          </w:p>
        </w:tc>
        <w:tc>
          <w:tcPr>
            <w:tcW w:w="818" w:type="dxa"/>
            <w:vAlign w:val="center"/>
            <w:hideMark/>
          </w:tcPr>
          <w:p w14:paraId="65044975" w14:textId="77777777" w:rsidR="008A60B3" w:rsidRDefault="008A60B3" w:rsidP="007D06A6">
            <w:pPr>
              <w:jc w:val="center"/>
              <w:rPr>
                <w:rFonts w:eastAsia="Times New Roman"/>
              </w:rPr>
            </w:pPr>
            <w:r>
              <w:rPr>
                <w:rFonts w:eastAsia="Times New Roman"/>
              </w:rPr>
              <w:t>91.248</w:t>
            </w:r>
          </w:p>
        </w:tc>
        <w:tc>
          <w:tcPr>
            <w:tcW w:w="0" w:type="auto"/>
            <w:vAlign w:val="center"/>
            <w:hideMark/>
          </w:tcPr>
          <w:p w14:paraId="7082EA30" w14:textId="77777777" w:rsidR="008A60B3" w:rsidRDefault="008A60B3" w:rsidP="007D06A6">
            <w:pPr>
              <w:jc w:val="center"/>
              <w:rPr>
                <w:rFonts w:eastAsia="Times New Roman"/>
              </w:rPr>
            </w:pPr>
            <w:r>
              <w:rPr>
                <w:rFonts w:eastAsia="Times New Roman"/>
              </w:rPr>
              <w:t>128.404</w:t>
            </w:r>
          </w:p>
        </w:tc>
      </w:tr>
      <w:tr w:rsidR="008A60B3" w14:paraId="39C01719" w14:textId="77777777" w:rsidTr="00CD1023">
        <w:trPr>
          <w:divId w:val="970746230"/>
          <w:tblCellSpacing w:w="15" w:type="dxa"/>
          <w:jc w:val="center"/>
        </w:trPr>
        <w:tc>
          <w:tcPr>
            <w:tcW w:w="0" w:type="auto"/>
            <w:tcBorders>
              <w:bottom w:val="single" w:sz="4" w:space="0" w:color="auto"/>
            </w:tcBorders>
            <w:vAlign w:val="center"/>
            <w:hideMark/>
          </w:tcPr>
          <w:p w14:paraId="0283E0D1" w14:textId="7743058E" w:rsidR="008A60B3" w:rsidRDefault="00CD1023" w:rsidP="007D06A6">
            <w:pPr>
              <w:rPr>
                <w:rFonts w:eastAsia="Times New Roman"/>
              </w:rPr>
            </w:pPr>
            <w:r>
              <w:rPr>
                <w:rFonts w:eastAsia="Times New Roman"/>
              </w:rPr>
              <w:t>Precio nominal de la Gasolina</w:t>
            </w:r>
          </w:p>
        </w:tc>
        <w:tc>
          <w:tcPr>
            <w:tcW w:w="0" w:type="auto"/>
            <w:tcBorders>
              <w:bottom w:val="single" w:sz="4" w:space="0" w:color="auto"/>
            </w:tcBorders>
            <w:vAlign w:val="center"/>
            <w:hideMark/>
          </w:tcPr>
          <w:p w14:paraId="18546807" w14:textId="77777777" w:rsidR="008A60B3" w:rsidRDefault="008A60B3" w:rsidP="007D06A6">
            <w:pPr>
              <w:jc w:val="center"/>
              <w:rPr>
                <w:rFonts w:eastAsia="Times New Roman"/>
              </w:rPr>
            </w:pPr>
            <w:r>
              <w:rPr>
                <w:rFonts w:eastAsia="Times New Roman"/>
              </w:rPr>
              <w:t>289</w:t>
            </w:r>
          </w:p>
        </w:tc>
        <w:tc>
          <w:tcPr>
            <w:tcW w:w="0" w:type="auto"/>
            <w:tcBorders>
              <w:bottom w:val="single" w:sz="4" w:space="0" w:color="auto"/>
            </w:tcBorders>
            <w:vAlign w:val="center"/>
            <w:hideMark/>
          </w:tcPr>
          <w:p w14:paraId="79278D90" w14:textId="77777777" w:rsidR="008A60B3" w:rsidRDefault="008A60B3" w:rsidP="007D06A6">
            <w:pPr>
              <w:jc w:val="center"/>
              <w:rPr>
                <w:rFonts w:eastAsia="Times New Roman"/>
              </w:rPr>
            </w:pPr>
            <w:r>
              <w:rPr>
                <w:rFonts w:eastAsia="Times New Roman"/>
              </w:rPr>
              <w:t>109.136</w:t>
            </w:r>
          </w:p>
        </w:tc>
        <w:tc>
          <w:tcPr>
            <w:tcW w:w="1647" w:type="dxa"/>
            <w:tcBorders>
              <w:bottom w:val="single" w:sz="4" w:space="0" w:color="auto"/>
            </w:tcBorders>
            <w:vAlign w:val="center"/>
            <w:hideMark/>
          </w:tcPr>
          <w:p w14:paraId="7D6EC6EB" w14:textId="77777777" w:rsidR="008A60B3" w:rsidRDefault="008A60B3" w:rsidP="007D06A6">
            <w:pPr>
              <w:jc w:val="center"/>
              <w:rPr>
                <w:rFonts w:eastAsia="Times New Roman"/>
              </w:rPr>
            </w:pPr>
            <w:r>
              <w:rPr>
                <w:rFonts w:eastAsia="Times New Roman"/>
              </w:rPr>
              <w:t>25.226</w:t>
            </w:r>
          </w:p>
        </w:tc>
        <w:tc>
          <w:tcPr>
            <w:tcW w:w="818" w:type="dxa"/>
            <w:tcBorders>
              <w:bottom w:val="single" w:sz="4" w:space="0" w:color="auto"/>
            </w:tcBorders>
            <w:vAlign w:val="center"/>
            <w:hideMark/>
          </w:tcPr>
          <w:p w14:paraId="1DD21E15" w14:textId="77777777" w:rsidR="008A60B3" w:rsidRDefault="008A60B3" w:rsidP="007D06A6">
            <w:pPr>
              <w:jc w:val="center"/>
              <w:rPr>
                <w:rFonts w:eastAsia="Times New Roman"/>
              </w:rPr>
            </w:pPr>
            <w:r>
              <w:rPr>
                <w:rFonts w:eastAsia="Times New Roman"/>
              </w:rPr>
              <w:t>61.648</w:t>
            </w:r>
          </w:p>
        </w:tc>
        <w:tc>
          <w:tcPr>
            <w:tcW w:w="0" w:type="auto"/>
            <w:tcBorders>
              <w:bottom w:val="single" w:sz="4" w:space="0" w:color="auto"/>
            </w:tcBorders>
            <w:vAlign w:val="center"/>
            <w:hideMark/>
          </w:tcPr>
          <w:p w14:paraId="20D8D715" w14:textId="77777777" w:rsidR="008A60B3" w:rsidRDefault="008A60B3" w:rsidP="007D06A6">
            <w:pPr>
              <w:jc w:val="center"/>
              <w:rPr>
                <w:rFonts w:eastAsia="Times New Roman"/>
              </w:rPr>
            </w:pPr>
            <w:r>
              <w:rPr>
                <w:rFonts w:eastAsia="Times New Roman"/>
              </w:rPr>
              <w:t>166.097</w:t>
            </w:r>
          </w:p>
        </w:tc>
      </w:tr>
      <w:tr w:rsidR="00CD1023" w14:paraId="18EB54D1" w14:textId="77777777" w:rsidTr="00CD1023">
        <w:trPr>
          <w:divId w:val="970746230"/>
          <w:tblCellSpacing w:w="15" w:type="dxa"/>
          <w:jc w:val="center"/>
        </w:trPr>
        <w:tc>
          <w:tcPr>
            <w:tcW w:w="8658" w:type="dxa"/>
            <w:gridSpan w:val="6"/>
            <w:tcBorders>
              <w:bottom w:val="single" w:sz="4" w:space="0" w:color="auto"/>
            </w:tcBorders>
            <w:vAlign w:val="center"/>
          </w:tcPr>
          <w:p w14:paraId="4EF7F127" w14:textId="4A8BC2CC" w:rsidR="00CD1023" w:rsidRPr="00CD1023" w:rsidRDefault="00CD1023" w:rsidP="007D06A6">
            <w:pPr>
              <w:rPr>
                <w:rFonts w:eastAsia="Times New Roman"/>
                <w:b/>
                <w:bCs/>
              </w:rPr>
            </w:pPr>
            <w:r w:rsidRPr="00CD1023">
              <w:rPr>
                <w:rFonts w:eastAsia="Times New Roman"/>
                <w:b/>
                <w:bCs/>
              </w:rPr>
              <w:t>Precios reales (base: enero de 2001)</w:t>
            </w:r>
          </w:p>
        </w:tc>
      </w:tr>
      <w:tr w:rsidR="008A60B3" w14:paraId="211BFBB6" w14:textId="77777777" w:rsidTr="00CD1023">
        <w:trPr>
          <w:divId w:val="970746230"/>
          <w:tblCellSpacing w:w="15" w:type="dxa"/>
          <w:jc w:val="center"/>
        </w:trPr>
        <w:tc>
          <w:tcPr>
            <w:tcW w:w="0" w:type="auto"/>
            <w:vAlign w:val="center"/>
            <w:hideMark/>
          </w:tcPr>
          <w:p w14:paraId="1942E517" w14:textId="633174E4" w:rsidR="008A60B3" w:rsidRDefault="00CD1023" w:rsidP="007D06A6">
            <w:pPr>
              <w:rPr>
                <w:rFonts w:eastAsia="Times New Roman"/>
              </w:rPr>
            </w:pPr>
            <w:r>
              <w:rPr>
                <w:rFonts w:eastAsia="Times New Roman"/>
              </w:rPr>
              <w:t>Precio real del Petróleo</w:t>
            </w:r>
          </w:p>
        </w:tc>
        <w:tc>
          <w:tcPr>
            <w:tcW w:w="0" w:type="auto"/>
            <w:vAlign w:val="center"/>
            <w:hideMark/>
          </w:tcPr>
          <w:p w14:paraId="365B5003" w14:textId="77777777" w:rsidR="008A60B3" w:rsidRDefault="008A60B3" w:rsidP="007D06A6">
            <w:pPr>
              <w:jc w:val="center"/>
              <w:rPr>
                <w:rFonts w:eastAsia="Times New Roman"/>
              </w:rPr>
            </w:pPr>
            <w:r>
              <w:rPr>
                <w:rFonts w:eastAsia="Times New Roman"/>
              </w:rPr>
              <w:t>289</w:t>
            </w:r>
          </w:p>
        </w:tc>
        <w:tc>
          <w:tcPr>
            <w:tcW w:w="0" w:type="auto"/>
            <w:vAlign w:val="center"/>
            <w:hideMark/>
          </w:tcPr>
          <w:p w14:paraId="681966D1" w14:textId="77777777" w:rsidR="008A60B3" w:rsidRDefault="008A60B3" w:rsidP="007D06A6">
            <w:pPr>
              <w:jc w:val="center"/>
              <w:rPr>
                <w:rFonts w:eastAsia="Times New Roman"/>
              </w:rPr>
            </w:pPr>
            <w:r>
              <w:rPr>
                <w:rFonts w:eastAsia="Times New Roman"/>
              </w:rPr>
              <w:t>59.221</w:t>
            </w:r>
          </w:p>
        </w:tc>
        <w:tc>
          <w:tcPr>
            <w:tcW w:w="1647" w:type="dxa"/>
            <w:vAlign w:val="center"/>
            <w:hideMark/>
          </w:tcPr>
          <w:p w14:paraId="318A5710" w14:textId="77777777" w:rsidR="008A60B3" w:rsidRDefault="008A60B3" w:rsidP="007D06A6">
            <w:pPr>
              <w:jc w:val="center"/>
              <w:rPr>
                <w:rFonts w:eastAsia="Times New Roman"/>
              </w:rPr>
            </w:pPr>
            <w:r>
              <w:rPr>
                <w:rFonts w:eastAsia="Times New Roman"/>
              </w:rPr>
              <w:t>14.529</w:t>
            </w:r>
          </w:p>
        </w:tc>
        <w:tc>
          <w:tcPr>
            <w:tcW w:w="818" w:type="dxa"/>
            <w:vAlign w:val="center"/>
            <w:hideMark/>
          </w:tcPr>
          <w:p w14:paraId="233AD350" w14:textId="1A2005AC" w:rsidR="008A60B3" w:rsidRDefault="008A60B3" w:rsidP="007D06A6">
            <w:pPr>
              <w:jc w:val="center"/>
              <w:rPr>
                <w:rFonts w:eastAsia="Times New Roman"/>
              </w:rPr>
            </w:pPr>
            <w:r>
              <w:rPr>
                <w:rFonts w:eastAsia="Times New Roman"/>
              </w:rPr>
              <w:t>30.65</w:t>
            </w:r>
          </w:p>
        </w:tc>
        <w:tc>
          <w:tcPr>
            <w:tcW w:w="0" w:type="auto"/>
            <w:vAlign w:val="center"/>
            <w:hideMark/>
          </w:tcPr>
          <w:p w14:paraId="22C95704" w14:textId="77777777" w:rsidR="008A60B3" w:rsidRDefault="008A60B3" w:rsidP="007D06A6">
            <w:pPr>
              <w:jc w:val="center"/>
              <w:rPr>
                <w:rFonts w:eastAsia="Times New Roman"/>
              </w:rPr>
            </w:pPr>
            <w:r>
              <w:rPr>
                <w:rFonts w:eastAsia="Times New Roman"/>
              </w:rPr>
              <w:t>95.936</w:t>
            </w:r>
          </w:p>
        </w:tc>
      </w:tr>
      <w:tr w:rsidR="008A60B3" w14:paraId="2CB1A5B7" w14:textId="77777777" w:rsidTr="00CD1023">
        <w:trPr>
          <w:divId w:val="970746230"/>
          <w:tblCellSpacing w:w="15" w:type="dxa"/>
          <w:jc w:val="center"/>
        </w:trPr>
        <w:tc>
          <w:tcPr>
            <w:tcW w:w="0" w:type="auto"/>
            <w:vAlign w:val="center"/>
            <w:hideMark/>
          </w:tcPr>
          <w:p w14:paraId="499444FE" w14:textId="6961763A" w:rsidR="008A60B3" w:rsidRDefault="00CD1023" w:rsidP="007D06A6">
            <w:pPr>
              <w:rPr>
                <w:rFonts w:eastAsia="Times New Roman"/>
              </w:rPr>
            </w:pPr>
            <w:r>
              <w:rPr>
                <w:rFonts w:eastAsia="Times New Roman"/>
              </w:rPr>
              <w:t>Precio real del Carbón</w:t>
            </w:r>
          </w:p>
        </w:tc>
        <w:tc>
          <w:tcPr>
            <w:tcW w:w="0" w:type="auto"/>
            <w:vAlign w:val="center"/>
            <w:hideMark/>
          </w:tcPr>
          <w:p w14:paraId="58278FE0" w14:textId="77777777" w:rsidR="008A60B3" w:rsidRDefault="008A60B3" w:rsidP="007D06A6">
            <w:pPr>
              <w:jc w:val="center"/>
              <w:rPr>
                <w:rFonts w:eastAsia="Times New Roman"/>
              </w:rPr>
            </w:pPr>
            <w:r>
              <w:rPr>
                <w:rFonts w:eastAsia="Times New Roman"/>
              </w:rPr>
              <w:t>289</w:t>
            </w:r>
          </w:p>
        </w:tc>
        <w:tc>
          <w:tcPr>
            <w:tcW w:w="0" w:type="auto"/>
            <w:vAlign w:val="center"/>
            <w:hideMark/>
          </w:tcPr>
          <w:p w14:paraId="00C768C8" w14:textId="77777777" w:rsidR="008A60B3" w:rsidRDefault="008A60B3" w:rsidP="007D06A6">
            <w:pPr>
              <w:jc w:val="center"/>
              <w:rPr>
                <w:rFonts w:eastAsia="Times New Roman"/>
              </w:rPr>
            </w:pPr>
            <w:r>
              <w:rPr>
                <w:rFonts w:eastAsia="Times New Roman"/>
              </w:rPr>
              <w:t>52.196</w:t>
            </w:r>
          </w:p>
        </w:tc>
        <w:tc>
          <w:tcPr>
            <w:tcW w:w="1647" w:type="dxa"/>
            <w:vAlign w:val="center"/>
            <w:hideMark/>
          </w:tcPr>
          <w:p w14:paraId="7D0B836A" w14:textId="77777777" w:rsidR="008A60B3" w:rsidRDefault="008A60B3" w:rsidP="007D06A6">
            <w:pPr>
              <w:jc w:val="center"/>
              <w:rPr>
                <w:rFonts w:eastAsia="Times New Roman"/>
              </w:rPr>
            </w:pPr>
            <w:r>
              <w:rPr>
                <w:rFonts w:eastAsia="Times New Roman"/>
              </w:rPr>
              <w:t>9.753</w:t>
            </w:r>
          </w:p>
        </w:tc>
        <w:tc>
          <w:tcPr>
            <w:tcW w:w="818" w:type="dxa"/>
            <w:vAlign w:val="center"/>
            <w:hideMark/>
          </w:tcPr>
          <w:p w14:paraId="3DBD73A4" w14:textId="77777777" w:rsidR="008A60B3" w:rsidRDefault="008A60B3" w:rsidP="007D06A6">
            <w:pPr>
              <w:jc w:val="center"/>
              <w:rPr>
                <w:rFonts w:eastAsia="Times New Roman"/>
              </w:rPr>
            </w:pPr>
            <w:r>
              <w:rPr>
                <w:rFonts w:eastAsia="Times New Roman"/>
              </w:rPr>
              <w:t>29.544</w:t>
            </w:r>
          </w:p>
        </w:tc>
        <w:tc>
          <w:tcPr>
            <w:tcW w:w="0" w:type="auto"/>
            <w:vAlign w:val="center"/>
            <w:hideMark/>
          </w:tcPr>
          <w:p w14:paraId="280A42CE" w14:textId="77777777" w:rsidR="008A60B3" w:rsidRDefault="008A60B3" w:rsidP="007D06A6">
            <w:pPr>
              <w:jc w:val="center"/>
              <w:rPr>
                <w:rFonts w:eastAsia="Times New Roman"/>
              </w:rPr>
            </w:pPr>
            <w:r>
              <w:rPr>
                <w:rFonts w:eastAsia="Times New Roman"/>
              </w:rPr>
              <w:t>79.565</w:t>
            </w:r>
          </w:p>
        </w:tc>
      </w:tr>
      <w:tr w:rsidR="008A60B3" w14:paraId="2C8F5CE7" w14:textId="77777777" w:rsidTr="00CD1023">
        <w:trPr>
          <w:divId w:val="970746230"/>
          <w:tblCellSpacing w:w="15" w:type="dxa"/>
          <w:jc w:val="center"/>
        </w:trPr>
        <w:tc>
          <w:tcPr>
            <w:tcW w:w="0" w:type="auto"/>
            <w:vAlign w:val="center"/>
            <w:hideMark/>
          </w:tcPr>
          <w:p w14:paraId="362F1EE5" w14:textId="4B700488" w:rsidR="008A60B3" w:rsidRDefault="00CD1023" w:rsidP="007D06A6">
            <w:pPr>
              <w:rPr>
                <w:rFonts w:eastAsia="Times New Roman"/>
              </w:rPr>
            </w:pPr>
            <w:r>
              <w:rPr>
                <w:rFonts w:eastAsia="Times New Roman"/>
              </w:rPr>
              <w:t>Precio real de la Gasolina</w:t>
            </w:r>
          </w:p>
        </w:tc>
        <w:tc>
          <w:tcPr>
            <w:tcW w:w="0" w:type="auto"/>
            <w:vAlign w:val="center"/>
            <w:hideMark/>
          </w:tcPr>
          <w:p w14:paraId="48C1009F" w14:textId="77777777" w:rsidR="008A60B3" w:rsidRDefault="008A60B3" w:rsidP="007D06A6">
            <w:pPr>
              <w:jc w:val="center"/>
              <w:rPr>
                <w:rFonts w:eastAsia="Times New Roman"/>
              </w:rPr>
            </w:pPr>
            <w:r>
              <w:rPr>
                <w:rFonts w:eastAsia="Times New Roman"/>
              </w:rPr>
              <w:t>289</w:t>
            </w:r>
          </w:p>
        </w:tc>
        <w:tc>
          <w:tcPr>
            <w:tcW w:w="0" w:type="auto"/>
            <w:vAlign w:val="center"/>
            <w:hideMark/>
          </w:tcPr>
          <w:p w14:paraId="2F41ADE7" w14:textId="77777777" w:rsidR="008A60B3" w:rsidRDefault="008A60B3" w:rsidP="007D06A6">
            <w:pPr>
              <w:jc w:val="center"/>
              <w:rPr>
                <w:rFonts w:eastAsia="Times New Roman"/>
              </w:rPr>
            </w:pPr>
            <w:r>
              <w:rPr>
                <w:rFonts w:eastAsia="Times New Roman"/>
              </w:rPr>
              <w:t>56.791</w:t>
            </w:r>
          </w:p>
        </w:tc>
        <w:tc>
          <w:tcPr>
            <w:tcW w:w="1647" w:type="dxa"/>
            <w:vAlign w:val="center"/>
            <w:hideMark/>
          </w:tcPr>
          <w:p w14:paraId="05B93E1B" w14:textId="77777777" w:rsidR="008A60B3" w:rsidRDefault="008A60B3" w:rsidP="007D06A6">
            <w:pPr>
              <w:jc w:val="center"/>
              <w:rPr>
                <w:rFonts w:eastAsia="Times New Roman"/>
              </w:rPr>
            </w:pPr>
            <w:r>
              <w:rPr>
                <w:rFonts w:eastAsia="Times New Roman"/>
              </w:rPr>
              <w:t>4.440</w:t>
            </w:r>
          </w:p>
        </w:tc>
        <w:tc>
          <w:tcPr>
            <w:tcW w:w="818" w:type="dxa"/>
            <w:vAlign w:val="center"/>
            <w:hideMark/>
          </w:tcPr>
          <w:p w14:paraId="2E90345A" w14:textId="77777777" w:rsidR="008A60B3" w:rsidRDefault="008A60B3" w:rsidP="007D06A6">
            <w:pPr>
              <w:jc w:val="center"/>
              <w:rPr>
                <w:rFonts w:eastAsia="Times New Roman"/>
              </w:rPr>
            </w:pPr>
            <w:r>
              <w:rPr>
                <w:rFonts w:eastAsia="Times New Roman"/>
              </w:rPr>
              <w:t>43.948</w:t>
            </w:r>
          </w:p>
        </w:tc>
        <w:tc>
          <w:tcPr>
            <w:tcW w:w="0" w:type="auto"/>
            <w:vAlign w:val="center"/>
            <w:hideMark/>
          </w:tcPr>
          <w:p w14:paraId="6D35306B" w14:textId="77777777" w:rsidR="008A60B3" w:rsidRDefault="008A60B3" w:rsidP="007D06A6">
            <w:pPr>
              <w:jc w:val="center"/>
              <w:rPr>
                <w:rFonts w:eastAsia="Times New Roman"/>
              </w:rPr>
            </w:pPr>
            <w:r>
              <w:rPr>
                <w:rFonts w:eastAsia="Times New Roman"/>
              </w:rPr>
              <w:t>71.006</w:t>
            </w:r>
          </w:p>
        </w:tc>
      </w:tr>
      <w:tr w:rsidR="008A60B3" w14:paraId="1BED0E3D" w14:textId="77777777" w:rsidTr="00CD1023">
        <w:trPr>
          <w:divId w:val="970746230"/>
          <w:tblCellSpacing w:w="15" w:type="dxa"/>
          <w:jc w:val="center"/>
        </w:trPr>
        <w:tc>
          <w:tcPr>
            <w:tcW w:w="0" w:type="auto"/>
            <w:vAlign w:val="center"/>
            <w:hideMark/>
          </w:tcPr>
          <w:p w14:paraId="12EBD047" w14:textId="635EFA30" w:rsidR="008A60B3" w:rsidRDefault="00CD1023" w:rsidP="007D06A6">
            <w:pPr>
              <w:rPr>
                <w:rFonts w:eastAsia="Times New Roman"/>
              </w:rPr>
            </w:pPr>
            <w:r>
              <w:rPr>
                <w:rFonts w:eastAsia="Times New Roman"/>
              </w:rPr>
              <w:t>Precio real del Gas Natural</w:t>
            </w:r>
          </w:p>
        </w:tc>
        <w:tc>
          <w:tcPr>
            <w:tcW w:w="0" w:type="auto"/>
            <w:vAlign w:val="center"/>
            <w:hideMark/>
          </w:tcPr>
          <w:p w14:paraId="7BA1FCC5" w14:textId="77777777" w:rsidR="008A60B3" w:rsidRDefault="008A60B3" w:rsidP="007D06A6">
            <w:pPr>
              <w:jc w:val="center"/>
              <w:rPr>
                <w:rFonts w:eastAsia="Times New Roman"/>
              </w:rPr>
            </w:pPr>
            <w:r>
              <w:rPr>
                <w:rFonts w:eastAsia="Times New Roman"/>
              </w:rPr>
              <w:t>289</w:t>
            </w:r>
          </w:p>
        </w:tc>
        <w:tc>
          <w:tcPr>
            <w:tcW w:w="0" w:type="auto"/>
            <w:vAlign w:val="center"/>
            <w:hideMark/>
          </w:tcPr>
          <w:p w14:paraId="106B0EA0" w14:textId="77777777" w:rsidR="008A60B3" w:rsidRDefault="008A60B3" w:rsidP="007D06A6">
            <w:pPr>
              <w:jc w:val="center"/>
              <w:rPr>
                <w:rFonts w:eastAsia="Times New Roman"/>
              </w:rPr>
            </w:pPr>
            <w:r>
              <w:rPr>
                <w:rFonts w:eastAsia="Times New Roman"/>
              </w:rPr>
              <w:t>64.943</w:t>
            </w:r>
          </w:p>
        </w:tc>
        <w:tc>
          <w:tcPr>
            <w:tcW w:w="1647" w:type="dxa"/>
            <w:vAlign w:val="center"/>
            <w:hideMark/>
          </w:tcPr>
          <w:p w14:paraId="761CC9BE" w14:textId="77777777" w:rsidR="008A60B3" w:rsidRDefault="008A60B3" w:rsidP="007D06A6">
            <w:pPr>
              <w:jc w:val="center"/>
              <w:rPr>
                <w:rFonts w:eastAsia="Times New Roman"/>
              </w:rPr>
            </w:pPr>
            <w:r>
              <w:rPr>
                <w:rFonts w:eastAsia="Times New Roman"/>
              </w:rPr>
              <w:t>16.420</w:t>
            </w:r>
          </w:p>
        </w:tc>
        <w:tc>
          <w:tcPr>
            <w:tcW w:w="818" w:type="dxa"/>
            <w:vAlign w:val="center"/>
            <w:hideMark/>
          </w:tcPr>
          <w:p w14:paraId="49747203" w14:textId="77777777" w:rsidR="008A60B3" w:rsidRDefault="008A60B3" w:rsidP="007D06A6">
            <w:pPr>
              <w:jc w:val="center"/>
              <w:rPr>
                <w:rFonts w:eastAsia="Times New Roman"/>
              </w:rPr>
            </w:pPr>
            <w:r>
              <w:rPr>
                <w:rFonts w:eastAsia="Times New Roman"/>
              </w:rPr>
              <w:t>28.623</w:t>
            </w:r>
          </w:p>
        </w:tc>
        <w:tc>
          <w:tcPr>
            <w:tcW w:w="0" w:type="auto"/>
            <w:vAlign w:val="center"/>
            <w:hideMark/>
          </w:tcPr>
          <w:p w14:paraId="1346BDD3" w14:textId="77777777" w:rsidR="008A60B3" w:rsidRDefault="008A60B3" w:rsidP="007D06A6">
            <w:pPr>
              <w:jc w:val="center"/>
              <w:rPr>
                <w:rFonts w:eastAsia="Times New Roman"/>
              </w:rPr>
            </w:pPr>
            <w:r>
              <w:rPr>
                <w:rFonts w:eastAsia="Times New Roman"/>
              </w:rPr>
              <w:t>107.789</w:t>
            </w:r>
          </w:p>
        </w:tc>
      </w:tr>
      <w:tr w:rsidR="008A60B3" w14:paraId="2B9EF31D" w14:textId="77777777" w:rsidTr="008A60B3">
        <w:trPr>
          <w:divId w:val="970746230"/>
          <w:tblCellSpacing w:w="15" w:type="dxa"/>
          <w:jc w:val="center"/>
        </w:trPr>
        <w:tc>
          <w:tcPr>
            <w:tcW w:w="0" w:type="auto"/>
            <w:gridSpan w:val="6"/>
            <w:tcBorders>
              <w:bottom w:val="single" w:sz="6" w:space="0" w:color="000000"/>
            </w:tcBorders>
            <w:vAlign w:val="center"/>
            <w:hideMark/>
          </w:tcPr>
          <w:p w14:paraId="7243BC62" w14:textId="77777777" w:rsidR="008A60B3" w:rsidRDefault="008A60B3" w:rsidP="00922534">
            <w:pPr>
              <w:jc w:val="both"/>
              <w:rPr>
                <w:rFonts w:eastAsia="Times New Roman"/>
              </w:rPr>
            </w:pPr>
          </w:p>
        </w:tc>
      </w:tr>
    </w:tbl>
    <w:p w14:paraId="42274A8F" w14:textId="77777777" w:rsidR="008A60B3" w:rsidRPr="008A60B3" w:rsidRDefault="008A60B3" w:rsidP="00922534">
      <w:pPr>
        <w:jc w:val="both"/>
      </w:pPr>
    </w:p>
    <w:p w14:paraId="5F4C24D0" w14:textId="26E00729" w:rsidR="00E06F35" w:rsidRDefault="00C86590" w:rsidP="00922534">
      <w:pPr>
        <w:pStyle w:val="Heading2"/>
        <w:numPr>
          <w:ilvl w:val="0"/>
          <w:numId w:val="0"/>
        </w:numPr>
        <w:ind w:left="708"/>
        <w:jc w:val="both"/>
      </w:pPr>
      <w:r>
        <w:t xml:space="preserve">Todos los precios cuentan con 289 observaciones, que corresponden a los meses entre enero del año 2000 y enero del año 2024. </w:t>
      </w:r>
    </w:p>
    <w:p w14:paraId="4E8D5470" w14:textId="07BFD224" w:rsidR="008353B5" w:rsidRPr="008353B5" w:rsidRDefault="008353B5" w:rsidP="00922534">
      <w:pPr>
        <w:spacing w:before="100" w:beforeAutospacing="1" w:after="100" w:afterAutospacing="1" w:line="240" w:lineRule="auto"/>
        <w:ind w:left="708"/>
        <w:jc w:val="both"/>
        <w:rPr>
          <w:rFonts w:eastAsia="Times New Roman" w:cstheme="minorHAnsi"/>
          <w:kern w:val="0"/>
          <w:sz w:val="24"/>
          <w:szCs w:val="24"/>
          <w:lang w:eastAsia="es-CO"/>
          <w14:ligatures w14:val="none"/>
        </w:rPr>
      </w:pPr>
      <w:r w:rsidRPr="008353B5">
        <w:rPr>
          <w:rFonts w:ascii="Times New Roman" w:eastAsia="Times New Roman" w:hAnsi="Times New Roman" w:cs="Times New Roman"/>
          <w:kern w:val="0"/>
          <w:sz w:val="24"/>
          <w:szCs w:val="24"/>
          <w:lang w:eastAsia="es-CO"/>
          <w14:ligatures w14:val="none"/>
        </w:rPr>
        <w:t xml:space="preserve"> </w:t>
      </w:r>
      <w:r w:rsidRPr="008353B5">
        <w:rPr>
          <w:rFonts w:eastAsia="Times New Roman" w:cstheme="minorHAnsi"/>
          <w:b/>
          <w:bCs/>
          <w:kern w:val="0"/>
          <w:sz w:val="24"/>
          <w:szCs w:val="24"/>
          <w:lang w:eastAsia="es-CO"/>
          <w14:ligatures w14:val="none"/>
        </w:rPr>
        <w:t>Promedio</w:t>
      </w:r>
      <w:r w:rsidRPr="008353B5">
        <w:rPr>
          <w:rFonts w:eastAsia="Times New Roman" w:cstheme="minorHAnsi"/>
          <w:kern w:val="0"/>
          <w:sz w:val="24"/>
          <w:szCs w:val="24"/>
          <w:lang w:eastAsia="es-CO"/>
          <w14:ligatures w14:val="none"/>
        </w:rPr>
        <w:t>: Representa el valor promedio de los precios en entre enero del 2000 y enero del 2024.</w:t>
      </w:r>
    </w:p>
    <w:p w14:paraId="1EED1DD6" w14:textId="77777777" w:rsidR="008353B5" w:rsidRPr="008353B5" w:rsidRDefault="008353B5" w:rsidP="00922534">
      <w:pPr>
        <w:numPr>
          <w:ilvl w:val="0"/>
          <w:numId w:val="6"/>
        </w:numPr>
        <w:tabs>
          <w:tab w:val="clear" w:pos="720"/>
          <w:tab w:val="num" w:pos="1428"/>
        </w:tabs>
        <w:spacing w:before="100" w:beforeAutospacing="1" w:after="100" w:afterAutospacing="1" w:line="240" w:lineRule="auto"/>
        <w:ind w:left="1428"/>
        <w:jc w:val="both"/>
        <w:rPr>
          <w:rFonts w:eastAsia="Times New Roman" w:cstheme="minorHAnsi"/>
          <w:kern w:val="0"/>
          <w:sz w:val="24"/>
          <w:szCs w:val="24"/>
          <w:lang w:eastAsia="es-CO"/>
          <w14:ligatures w14:val="none"/>
        </w:rPr>
      </w:pPr>
      <w:r w:rsidRPr="008353B5">
        <w:rPr>
          <w:rFonts w:eastAsia="Times New Roman" w:cstheme="minorHAnsi"/>
          <w:kern w:val="0"/>
          <w:sz w:val="24"/>
          <w:szCs w:val="24"/>
          <w:lang w:eastAsia="es-CO"/>
          <w14:ligatures w14:val="none"/>
        </w:rPr>
        <w:t>El precio promedio nominal (sin ajustar por inflación) del carbón es 96.980, mientras que el del gas natural es 118.245, el del petróleo es 108.079 y el de la gasolina es 109.136.</w:t>
      </w:r>
    </w:p>
    <w:p w14:paraId="099E69B8" w14:textId="77777777" w:rsidR="008353B5" w:rsidRPr="008353B5" w:rsidRDefault="008353B5" w:rsidP="00922534">
      <w:pPr>
        <w:numPr>
          <w:ilvl w:val="0"/>
          <w:numId w:val="6"/>
        </w:numPr>
        <w:tabs>
          <w:tab w:val="clear" w:pos="720"/>
          <w:tab w:val="num" w:pos="1428"/>
        </w:tabs>
        <w:spacing w:before="100" w:beforeAutospacing="1" w:after="100" w:afterAutospacing="1" w:line="240" w:lineRule="auto"/>
        <w:ind w:left="1428"/>
        <w:jc w:val="both"/>
        <w:rPr>
          <w:rFonts w:eastAsia="Times New Roman" w:cstheme="minorHAnsi"/>
          <w:kern w:val="0"/>
          <w:sz w:val="24"/>
          <w:szCs w:val="24"/>
          <w:lang w:eastAsia="es-CO"/>
          <w14:ligatures w14:val="none"/>
        </w:rPr>
      </w:pPr>
      <w:r w:rsidRPr="008353B5">
        <w:rPr>
          <w:rFonts w:eastAsia="Times New Roman" w:cstheme="minorHAnsi"/>
          <w:kern w:val="0"/>
          <w:sz w:val="24"/>
          <w:szCs w:val="24"/>
          <w:lang w:eastAsia="es-CO"/>
          <w14:ligatures w14:val="none"/>
        </w:rPr>
        <w:t>En términos reales (ajustados por inflación con base en enero de 2001), el promedio del precio del petróleo es 59.221, el del carbón es 52.196, el de la gasolina es 56.791 y el del gas natural es 64.943.</w:t>
      </w:r>
    </w:p>
    <w:p w14:paraId="1D4A7C8E" w14:textId="7BB392A4" w:rsidR="008353B5" w:rsidRPr="008353B5" w:rsidRDefault="008353B5" w:rsidP="00922534">
      <w:pPr>
        <w:spacing w:before="100" w:beforeAutospacing="1" w:after="100" w:afterAutospacing="1" w:line="240" w:lineRule="auto"/>
        <w:ind w:left="708"/>
        <w:jc w:val="both"/>
        <w:rPr>
          <w:rFonts w:eastAsia="Times New Roman" w:cstheme="minorHAnsi"/>
          <w:kern w:val="0"/>
          <w:sz w:val="24"/>
          <w:szCs w:val="24"/>
          <w:lang w:eastAsia="es-CO"/>
          <w14:ligatures w14:val="none"/>
        </w:rPr>
      </w:pPr>
      <w:r w:rsidRPr="008353B5">
        <w:rPr>
          <w:rFonts w:eastAsia="Times New Roman" w:cstheme="minorHAnsi"/>
          <w:b/>
          <w:bCs/>
          <w:kern w:val="0"/>
          <w:sz w:val="24"/>
          <w:szCs w:val="24"/>
          <w:lang w:eastAsia="es-CO"/>
          <w14:ligatures w14:val="none"/>
        </w:rPr>
        <w:t>Desviación estándar</w:t>
      </w:r>
      <w:r w:rsidRPr="008353B5">
        <w:rPr>
          <w:rFonts w:eastAsia="Times New Roman" w:cstheme="minorHAnsi"/>
          <w:kern w:val="0"/>
          <w:sz w:val="24"/>
          <w:szCs w:val="24"/>
          <w:lang w:eastAsia="es-CO"/>
          <w14:ligatures w14:val="none"/>
        </w:rPr>
        <w:t>: Mide la variabilidad o dispersión de los precios respecto al promedio. Un valor mayor indica mayor fluctuación.</w:t>
      </w:r>
    </w:p>
    <w:p w14:paraId="0CA82A9B" w14:textId="256638C0" w:rsidR="00C86590" w:rsidRPr="008353B5" w:rsidRDefault="008353B5" w:rsidP="00922534">
      <w:pPr>
        <w:numPr>
          <w:ilvl w:val="0"/>
          <w:numId w:val="7"/>
        </w:numPr>
        <w:tabs>
          <w:tab w:val="clear" w:pos="720"/>
          <w:tab w:val="num" w:pos="1428"/>
        </w:tabs>
        <w:spacing w:before="100" w:beforeAutospacing="1" w:after="100" w:afterAutospacing="1" w:line="240" w:lineRule="auto"/>
        <w:ind w:left="1428"/>
        <w:jc w:val="both"/>
        <w:rPr>
          <w:rFonts w:eastAsia="Times New Roman" w:cstheme="minorHAnsi"/>
          <w:kern w:val="0"/>
          <w:sz w:val="24"/>
          <w:szCs w:val="24"/>
          <w:lang w:eastAsia="es-CO"/>
          <w14:ligatures w14:val="none"/>
        </w:rPr>
      </w:pPr>
      <w:r w:rsidRPr="008353B5">
        <w:rPr>
          <w:rFonts w:eastAsia="Times New Roman" w:cstheme="minorHAnsi"/>
          <w:kern w:val="0"/>
          <w:sz w:val="24"/>
          <w:szCs w:val="24"/>
          <w:lang w:eastAsia="es-CO"/>
          <w14:ligatures w14:val="none"/>
        </w:rPr>
        <w:t>Por ejemplo, la gasolina tiene una desviación estándar de 25.226, lo que indica que sus precios nominales han tenido una mayor variabilidad que los del petróleo (7.801). En términos reales, el gas natural tiene una alta variabilidad (16.420), mientras que la gasolina tiene menos variabilidad (4.440).</w:t>
      </w:r>
    </w:p>
    <w:p w14:paraId="1877284E" w14:textId="643A1374" w:rsidR="00F87287" w:rsidRPr="007D06A6" w:rsidRDefault="00F10D43" w:rsidP="007D06A6">
      <w:pPr>
        <w:pStyle w:val="Heading2"/>
        <w:jc w:val="both"/>
        <w:rPr>
          <w:b/>
          <w:bCs/>
        </w:rPr>
      </w:pPr>
      <w:r w:rsidRPr="00C866FE">
        <w:rPr>
          <w:b/>
          <w:bCs/>
        </w:rPr>
        <w:t>Presenten una gráfica de dispersión de puntos (scatter) donde en el eje X esté el precio del carbón y en el eje Y el precio de la gasolina, ambos reales</w:t>
      </w:r>
      <w:r w:rsidR="00FC458F" w:rsidRPr="00C866FE">
        <w:rPr>
          <w:b/>
          <w:bCs/>
        </w:rPr>
        <w:t xml:space="preserve">, para </w:t>
      </w:r>
      <w:r w:rsidR="00C538F9" w:rsidRPr="00C866FE">
        <w:rPr>
          <w:b/>
          <w:bCs/>
        </w:rPr>
        <w:t>un año determinado</w:t>
      </w:r>
      <w:r w:rsidR="00FC458F" w:rsidRPr="00C866FE">
        <w:rPr>
          <w:b/>
          <w:bCs/>
        </w:rPr>
        <w:t>. A</w:t>
      </w:r>
      <w:r w:rsidRPr="00C866FE">
        <w:rPr>
          <w:b/>
          <w:bCs/>
        </w:rPr>
        <w:t>ñadan una línea de ajuste lineal, título, labels y demás elementos que permitan una gráfica autocontenida. Expliquen e interpreten en el documento los elementos más importantes de la base de datos.</w:t>
      </w:r>
    </w:p>
    <w:p w14:paraId="370770A5" w14:textId="6645DC2A" w:rsidR="00485EEB" w:rsidRDefault="00485EEB" w:rsidP="00922534">
      <w:pPr>
        <w:pStyle w:val="Heading2"/>
        <w:numPr>
          <w:ilvl w:val="0"/>
          <w:numId w:val="0"/>
        </w:numPr>
        <w:ind w:left="573"/>
        <w:jc w:val="both"/>
        <w:rPr>
          <w:b/>
          <w:bCs/>
        </w:rPr>
      </w:pPr>
      <w:r>
        <w:rPr>
          <w:b/>
          <w:bCs/>
        </w:rPr>
        <w:t>Solución:</w:t>
      </w:r>
    </w:p>
    <w:p w14:paraId="74CC8125" w14:textId="5213C1B8" w:rsidR="0026582A" w:rsidRDefault="00A841FE" w:rsidP="00922534">
      <w:pPr>
        <w:ind w:right="-1169" w:firstLine="573"/>
        <w:jc w:val="both"/>
      </w:pPr>
      <w:r>
        <w:rPr>
          <w:noProof/>
        </w:rPr>
        <w:drawing>
          <wp:inline distT="0" distB="0" distL="0" distR="0" wp14:anchorId="5AFB9512" wp14:editId="431D3316">
            <wp:extent cx="4713078" cy="3142052"/>
            <wp:effectExtent l="0" t="0" r="0" b="1270"/>
            <wp:docPr id="273835893"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35893" name="Imagen 2" descr="Gráfico, Gráfico de dispersi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14324" cy="3142883"/>
                    </a:xfrm>
                    <a:prstGeom prst="rect">
                      <a:avLst/>
                    </a:prstGeom>
                  </pic:spPr>
                </pic:pic>
              </a:graphicData>
            </a:graphic>
          </wp:inline>
        </w:drawing>
      </w:r>
    </w:p>
    <w:p w14:paraId="2E309F74" w14:textId="42CCE703" w:rsidR="00F87287" w:rsidRDefault="00F87287" w:rsidP="00922534">
      <w:pPr>
        <w:ind w:left="709"/>
        <w:jc w:val="both"/>
      </w:pPr>
      <w:r>
        <w:t>L</w:t>
      </w:r>
      <w:r w:rsidRPr="006E189A">
        <w:t xml:space="preserve">a gráfica muestra la relación entre los </w:t>
      </w:r>
      <w:r w:rsidRPr="00DC4E8C">
        <w:t>precios reales del carbón</w:t>
      </w:r>
      <w:r w:rsidRPr="006E189A">
        <w:t xml:space="preserve"> y los </w:t>
      </w:r>
      <w:r w:rsidRPr="00DC4E8C">
        <w:t>precios reales de la gasolina</w:t>
      </w:r>
      <w:r w:rsidRPr="006E189A">
        <w:t>, ambos con base en enero del 2000. Los puntos azules representan pares de observaciones de precios en diferentes momentos del tiempo, mientras que la línea roja muestra una regresión lineal ajustada a los datos.</w:t>
      </w:r>
    </w:p>
    <w:p w14:paraId="04513F12" w14:textId="056A2413" w:rsidR="000F1F0B" w:rsidRDefault="00F87287" w:rsidP="00922534">
      <w:pPr>
        <w:ind w:left="709"/>
        <w:jc w:val="both"/>
      </w:pPr>
      <w:r>
        <w:t>En primer lugar, la gráfica muestra una correlación positiva entre el precio real del carbón y el precio real de la gasolina.</w:t>
      </w:r>
      <w:r w:rsidR="00847EA2">
        <w:t xml:space="preserve"> Esto indica</w:t>
      </w:r>
      <w:r w:rsidR="007B1161">
        <w:t xml:space="preserve"> </w:t>
      </w:r>
      <w:r w:rsidR="00847EA2" w:rsidRPr="00847EA2">
        <w:t>a medida que el precio real del carbón aumenta, el precio real de la gasolina también tiende a aumentar</w:t>
      </w:r>
      <w:r w:rsidR="007B1161">
        <w:t>.</w:t>
      </w:r>
      <w:r>
        <w:t xml:space="preserve"> </w:t>
      </w:r>
      <w:r w:rsidR="000F1F0B">
        <w:t xml:space="preserve">Esta tendencia muestra </w:t>
      </w:r>
      <w:r w:rsidR="00B10DF4">
        <w:t xml:space="preserve">cómo </w:t>
      </w:r>
      <w:r w:rsidR="000F1F0B" w:rsidRPr="000F1F0B">
        <w:t>los mercados de energía están interrelacionados. El carbón y la gasolina, ambos combustibles fósiles, p</w:t>
      </w:r>
      <w:r w:rsidR="00B10DF4">
        <w:t>ueden</w:t>
      </w:r>
      <w:r w:rsidR="000F1F0B" w:rsidRPr="000F1F0B">
        <w:t xml:space="preserve"> experimentar variaciones en sus precios debido a factores comunes como los costos de extracción, las políticas energéticas, o cambios en la demanda de energía.</w:t>
      </w:r>
    </w:p>
    <w:p w14:paraId="28DA918D" w14:textId="4F9DA446" w:rsidR="005D17BA" w:rsidRDefault="00F87287" w:rsidP="00922534">
      <w:pPr>
        <w:ind w:left="709"/>
        <w:jc w:val="both"/>
      </w:pPr>
      <w:r>
        <w:t>Adicionalmente, se puede observar que la línea de tendencia no se ajusta perfectamente a los a datos (antes de que el carbón tome precio de 40) lo que indica que la relación entre estas variables no es lineal.</w:t>
      </w:r>
      <w:r w:rsidR="005D17BA">
        <w:t xml:space="preserve"> Finalment</w:t>
      </w:r>
      <w:r w:rsidR="006502D0">
        <w:t xml:space="preserve">e, se observa que la dispersión de los puntos </w:t>
      </w:r>
      <w:r w:rsidR="00662079">
        <w:t xml:space="preserve">aumenta </w:t>
      </w:r>
      <w:r w:rsidR="006502D0">
        <w:t xml:space="preserve">a medida </w:t>
      </w:r>
      <w:r w:rsidR="005365DA">
        <w:t>que</w:t>
      </w:r>
      <w:r w:rsidR="006502D0">
        <w:t xml:space="preserve"> aumenta </w:t>
      </w:r>
      <w:r w:rsidR="005365DA">
        <w:t>el precio</w:t>
      </w:r>
      <w:r w:rsidR="00E32644">
        <w:t xml:space="preserve"> de ambos bienes</w:t>
      </w:r>
      <w:r w:rsidR="00A36749">
        <w:t>.</w:t>
      </w:r>
    </w:p>
    <w:p w14:paraId="50DF0EAE" w14:textId="726E2B88" w:rsidR="00485EEB" w:rsidRPr="00485EEB" w:rsidRDefault="00485EEB" w:rsidP="00922534">
      <w:pPr>
        <w:ind w:right="-1169"/>
        <w:jc w:val="both"/>
      </w:pPr>
    </w:p>
    <w:p w14:paraId="3A2BD021" w14:textId="5E06FD69" w:rsidR="00F66D06" w:rsidRDefault="00F10D43" w:rsidP="00922534">
      <w:pPr>
        <w:pStyle w:val="Heading2"/>
        <w:jc w:val="both"/>
        <w:rPr>
          <w:b/>
          <w:bCs/>
        </w:rPr>
      </w:pPr>
      <w:r w:rsidRPr="00C866FE">
        <w:rPr>
          <w:b/>
          <w:bCs/>
        </w:rPr>
        <w:t xml:space="preserve">Presenten una gráfica de serie de tiempo con el precio real del </w:t>
      </w:r>
      <w:r w:rsidR="00D2258E" w:rsidRPr="00C866FE">
        <w:rPr>
          <w:b/>
          <w:bCs/>
        </w:rPr>
        <w:t>C</w:t>
      </w:r>
      <w:r w:rsidRPr="00C866FE">
        <w:rPr>
          <w:b/>
          <w:bCs/>
        </w:rPr>
        <w:t>arbón</w:t>
      </w:r>
      <w:r w:rsidR="00D2258E" w:rsidRPr="00C866FE">
        <w:rPr>
          <w:b/>
          <w:bCs/>
        </w:rPr>
        <w:t>, Gas Natural</w:t>
      </w:r>
      <w:r w:rsidR="0014640F" w:rsidRPr="00C866FE">
        <w:rPr>
          <w:b/>
          <w:bCs/>
        </w:rPr>
        <w:t>, Petróleo y</w:t>
      </w:r>
      <w:r w:rsidRPr="00C866FE">
        <w:rPr>
          <w:b/>
          <w:bCs/>
        </w:rPr>
        <w:t xml:space="preserve"> </w:t>
      </w:r>
      <w:r w:rsidR="00D2258E" w:rsidRPr="00C866FE">
        <w:rPr>
          <w:b/>
          <w:bCs/>
        </w:rPr>
        <w:t>G</w:t>
      </w:r>
      <w:r w:rsidRPr="00C866FE">
        <w:rPr>
          <w:b/>
          <w:bCs/>
        </w:rPr>
        <w:t xml:space="preserve">asolina </w:t>
      </w:r>
      <w:r w:rsidR="00D2258E" w:rsidRPr="00C866FE">
        <w:rPr>
          <w:b/>
          <w:bCs/>
        </w:rPr>
        <w:t>C</w:t>
      </w:r>
      <w:r w:rsidRPr="00C866FE">
        <w:rPr>
          <w:b/>
          <w:bCs/>
        </w:rPr>
        <w:t>orriente para un mismo año, asegúrense de que tenga el título, labels, colores y demás elementos que permitan una gráfica autocontenida. Expliquen e interpreten en el documento los elementos más importantes de la base de datos.</w:t>
      </w:r>
    </w:p>
    <w:p w14:paraId="157F3099" w14:textId="55D890E2" w:rsidR="00F058F9" w:rsidRPr="00F058F9" w:rsidRDefault="00F058F9" w:rsidP="00922534">
      <w:pPr>
        <w:ind w:left="573"/>
        <w:jc w:val="both"/>
        <w:rPr>
          <w:b/>
          <w:bCs/>
        </w:rPr>
      </w:pPr>
      <w:r w:rsidRPr="00F058F9">
        <w:rPr>
          <w:b/>
          <w:bCs/>
        </w:rPr>
        <w:t>Solución</w:t>
      </w:r>
      <w:r w:rsidR="007D06A6">
        <w:rPr>
          <w:b/>
          <w:bCs/>
        </w:rPr>
        <w:t>:</w:t>
      </w:r>
    </w:p>
    <w:p w14:paraId="164EFE5D" w14:textId="74155529" w:rsidR="00E30C5B" w:rsidRDefault="00D056DC" w:rsidP="00D0263A">
      <w:pPr>
        <w:ind w:firstLine="573"/>
        <w:jc w:val="both"/>
      </w:pPr>
      <w:r>
        <w:rPr>
          <w:noProof/>
        </w:rPr>
        <w:drawing>
          <wp:inline distT="0" distB="0" distL="0" distR="0" wp14:anchorId="1DA77D85" wp14:editId="52109F87">
            <wp:extent cx="5266944" cy="3950506"/>
            <wp:effectExtent l="0" t="0" r="0" b="0"/>
            <wp:docPr id="537767982"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67982" name="Imagen 4" descr="Gráfico, Gráfico de dispers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1778" cy="3954132"/>
                    </a:xfrm>
                    <a:prstGeom prst="rect">
                      <a:avLst/>
                    </a:prstGeom>
                  </pic:spPr>
                </pic:pic>
              </a:graphicData>
            </a:graphic>
          </wp:inline>
        </w:drawing>
      </w:r>
    </w:p>
    <w:p w14:paraId="56E9FEF5" w14:textId="61340B03" w:rsidR="00F87287" w:rsidRDefault="00C22E88" w:rsidP="00922534">
      <w:pPr>
        <w:ind w:left="573"/>
        <w:jc w:val="both"/>
      </w:pPr>
      <w:r w:rsidRPr="00C22E88">
        <w:t>La gráfica presenta los precios reales históricos de varios combustibles entre los años 2000 y 2024, ajustados a la base de enero de 2000. Los combustibles analizados son el carbón, la gasolina, el gas natural y el petróleo, cada uno representado por una línea de diferente color.</w:t>
      </w:r>
    </w:p>
    <w:p w14:paraId="7B824D6A" w14:textId="77777777" w:rsidR="00530EB0" w:rsidRDefault="001F3FF0" w:rsidP="00530EB0">
      <w:pPr>
        <w:ind w:left="573"/>
        <w:jc w:val="both"/>
      </w:pPr>
      <w:r>
        <w:t>En primer lugar, se observa que todas las series presentan una tendencia negativa, lo que indica que los precios de los combustibles han disminuido en términos reales.</w:t>
      </w:r>
      <w:r w:rsidR="008E73AB">
        <w:t xml:space="preserve"> Esta tendencia puede</w:t>
      </w:r>
      <w:r w:rsidR="00385321">
        <w:t xml:space="preserve"> deberse a una variedad de factores como mejoras en las tecnologías </w:t>
      </w:r>
      <w:r w:rsidR="00530EB0">
        <w:t xml:space="preserve">de producción </w:t>
      </w:r>
      <w:r w:rsidR="000628D6">
        <w:t>de combustibles fósiles</w:t>
      </w:r>
      <w:r w:rsidR="00530EB0">
        <w:t xml:space="preserve"> y</w:t>
      </w:r>
      <w:r w:rsidR="000628D6">
        <w:t xml:space="preserve"> el</w:t>
      </w:r>
      <w:r w:rsidR="009C22B8">
        <w:t xml:space="preserve"> crecimiento de la </w:t>
      </w:r>
      <w:r w:rsidR="000628D6">
        <w:t>demanda</w:t>
      </w:r>
      <w:r w:rsidR="009C22B8">
        <w:t xml:space="preserve"> de fuentes de energía </w:t>
      </w:r>
      <w:r w:rsidR="007025B0">
        <w:t>renovables</w:t>
      </w:r>
      <w:r w:rsidR="000628D6">
        <w:t xml:space="preserve"> (</w:t>
      </w:r>
      <w:r w:rsidR="007025B0">
        <w:t>como la energía eólica, solar e hidráulica</w:t>
      </w:r>
      <w:r w:rsidR="000628D6">
        <w:t>)</w:t>
      </w:r>
      <w:r w:rsidR="009C22B8">
        <w:t>.</w:t>
      </w:r>
      <w:r w:rsidR="0054454B">
        <w:t xml:space="preserve"> </w:t>
      </w:r>
    </w:p>
    <w:p w14:paraId="1E01AA7D" w14:textId="5763947B" w:rsidR="00E30C5B" w:rsidRPr="00E30C5B" w:rsidRDefault="0054454B" w:rsidP="00530EB0">
      <w:pPr>
        <w:ind w:left="573"/>
        <w:jc w:val="both"/>
      </w:pPr>
      <w:r>
        <w:t>Además</w:t>
      </w:r>
      <w:r w:rsidR="001F3FF0">
        <w:t>, en el año 2000, el gas natural registraba el precio real más alto, mientras que para el año 2024, la gasolina se posiciona como el bien con el precio más elevado.</w:t>
      </w:r>
      <w:r w:rsidR="008E73AB">
        <w:t xml:space="preserve"> </w:t>
      </w:r>
      <w:r w:rsidR="00983DE8">
        <w:t>Asimismo</w:t>
      </w:r>
      <w:r w:rsidR="001F3FF0">
        <w:t>, las series muestran variaciones en la intensidad de sus tendencias. El gas natural es el combustible con la mayor tendencia a la baja, mientras que la gasolina presenta la menor disminución en su precio real. Por último, la volatilidad también difiere entre las series: el gas natural exhibe mayores fluctuaciones, mientras que el carbón y la gasolina presentan cambios más moderados y aparentemente menos pronunciados.</w:t>
      </w:r>
      <w:r w:rsidR="00C22E88">
        <w:t xml:space="preserve"> </w:t>
      </w:r>
    </w:p>
    <w:sectPr w:rsidR="00E30C5B" w:rsidRPr="00E30C5B" w:rsidSect="00C27AD2">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65A1C" w14:textId="77777777" w:rsidR="00720E0E" w:rsidRDefault="00720E0E" w:rsidP="005D19BE">
      <w:pPr>
        <w:spacing w:after="0" w:line="240" w:lineRule="auto"/>
      </w:pPr>
      <w:r>
        <w:separator/>
      </w:r>
    </w:p>
  </w:endnote>
  <w:endnote w:type="continuationSeparator" w:id="0">
    <w:p w14:paraId="5623F095" w14:textId="77777777" w:rsidR="00720E0E" w:rsidRDefault="00720E0E" w:rsidP="005D19BE">
      <w:pPr>
        <w:spacing w:after="0" w:line="240" w:lineRule="auto"/>
      </w:pPr>
      <w:r>
        <w:continuationSeparator/>
      </w:r>
    </w:p>
  </w:endnote>
  <w:endnote w:type="continuationNotice" w:id="1">
    <w:p w14:paraId="69093088" w14:textId="77777777" w:rsidR="00720E0E" w:rsidRDefault="00720E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A2A1C" w14:textId="77777777" w:rsidR="00720E0E" w:rsidRDefault="00720E0E" w:rsidP="005D19BE">
      <w:pPr>
        <w:spacing w:after="0" w:line="240" w:lineRule="auto"/>
      </w:pPr>
      <w:r>
        <w:separator/>
      </w:r>
    </w:p>
  </w:footnote>
  <w:footnote w:type="continuationSeparator" w:id="0">
    <w:p w14:paraId="4AE2504C" w14:textId="77777777" w:rsidR="00720E0E" w:rsidRDefault="00720E0E" w:rsidP="005D19BE">
      <w:pPr>
        <w:spacing w:after="0" w:line="240" w:lineRule="auto"/>
      </w:pPr>
      <w:r>
        <w:continuationSeparator/>
      </w:r>
    </w:p>
  </w:footnote>
  <w:footnote w:type="continuationNotice" w:id="1">
    <w:p w14:paraId="1DCC1A2A" w14:textId="77777777" w:rsidR="00720E0E" w:rsidRDefault="00720E0E">
      <w:pPr>
        <w:spacing w:after="0" w:line="240" w:lineRule="auto"/>
      </w:pPr>
    </w:p>
  </w:footnote>
  <w:footnote w:id="2">
    <w:p w14:paraId="66212D61" w14:textId="3FCD2509" w:rsidR="005D19BE" w:rsidRPr="005D19BE" w:rsidRDefault="005D19BE">
      <w:pPr>
        <w:pStyle w:val="FootnoteText"/>
        <w:rPr>
          <w:sz w:val="18"/>
          <w:szCs w:val="18"/>
          <w:lang w:val="es-MX"/>
        </w:rPr>
      </w:pPr>
      <w:r w:rsidRPr="005D19BE">
        <w:rPr>
          <w:rStyle w:val="FootnoteReference"/>
          <w:sz w:val="18"/>
          <w:szCs w:val="18"/>
        </w:rPr>
        <w:footnoteRef/>
      </w:r>
      <w:r w:rsidRPr="005D19BE">
        <w:rPr>
          <w:sz w:val="18"/>
          <w:szCs w:val="18"/>
        </w:rPr>
        <w:t xml:space="preserve"> </w:t>
      </w:r>
      <w:r w:rsidRPr="005D19BE">
        <w:rPr>
          <w:sz w:val="18"/>
          <w:szCs w:val="18"/>
          <w:lang w:val="es-MX"/>
        </w:rPr>
        <w:t xml:space="preserve">Este punto se apoyará y desarrollará en la tarea 3. Una forma de hacerlo es generando las fechas faltantes y posteriormente realizando un </w:t>
      </w:r>
      <w:r w:rsidRPr="005D19BE">
        <w:rPr>
          <w:i/>
          <w:iCs/>
          <w:sz w:val="18"/>
          <w:szCs w:val="18"/>
          <w:lang w:val="es-MX"/>
        </w:rPr>
        <w:t>merge</w:t>
      </w:r>
      <w:r w:rsidRPr="005D19BE">
        <w:rPr>
          <w:sz w:val="18"/>
          <w:szCs w:val="18"/>
          <w:lang w:val="es-MX"/>
        </w:rPr>
        <w:t xml:space="preserve"> de esas fechas con la base de datos original.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68F1D" w14:textId="7572D21B" w:rsidR="00E174D4" w:rsidRDefault="00E174D4">
    <w:pPr>
      <w:pStyle w:val="Header"/>
    </w:pPr>
    <w:r>
      <w:t>Hugo Andres Sabogal Perez 202013538</w:t>
    </w:r>
    <w:r>
      <w:tab/>
    </w:r>
  </w:p>
  <w:p w14:paraId="1EB98AFC" w14:textId="0FF024DE" w:rsidR="00E174D4" w:rsidRDefault="00E174D4">
    <w:pPr>
      <w:pStyle w:val="Header"/>
    </w:pPr>
    <w:r>
      <w:t xml:space="preserve">Natalia plata </w:t>
    </w:r>
    <w:r w:rsidR="0024118F">
      <w:t>Ángel</w:t>
    </w:r>
    <w:r>
      <w:t xml:space="preserve"> 2020</w:t>
    </w:r>
    <w:r w:rsidR="0024118F">
      <w:t>13152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6801"/>
    <w:multiLevelType w:val="hybridMultilevel"/>
    <w:tmpl w:val="85882FD8"/>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1" w15:restartNumberingAfterBreak="0">
    <w:nsid w:val="08541CAC"/>
    <w:multiLevelType w:val="hybridMultilevel"/>
    <w:tmpl w:val="2CA2C006"/>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2" w15:restartNumberingAfterBreak="0">
    <w:nsid w:val="31C74FEA"/>
    <w:multiLevelType w:val="hybridMultilevel"/>
    <w:tmpl w:val="392A7B4C"/>
    <w:lvl w:ilvl="0" w:tplc="240A000F">
      <w:start w:val="1"/>
      <w:numFmt w:val="decimal"/>
      <w:lvlText w:val="%1."/>
      <w:lvlJc w:val="left"/>
      <w:pPr>
        <w:ind w:left="1152" w:hanging="360"/>
      </w:p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3" w15:restartNumberingAfterBreak="0">
    <w:nsid w:val="472804E0"/>
    <w:multiLevelType w:val="multilevel"/>
    <w:tmpl w:val="4CB8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737B9"/>
    <w:multiLevelType w:val="multilevel"/>
    <w:tmpl w:val="302C5432"/>
    <w:lvl w:ilvl="0">
      <w:start w:val="1"/>
      <w:numFmt w:val="decimal"/>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CB48B6"/>
    <w:multiLevelType w:val="multilevel"/>
    <w:tmpl w:val="665A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D70B3"/>
    <w:multiLevelType w:val="multilevel"/>
    <w:tmpl w:val="9BF2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8D957"/>
    <w:multiLevelType w:val="hybridMultilevel"/>
    <w:tmpl w:val="6652C674"/>
    <w:lvl w:ilvl="0" w:tplc="D35AC6E4">
      <w:start w:val="1"/>
      <w:numFmt w:val="bullet"/>
      <w:lvlText w:val=""/>
      <w:lvlJc w:val="left"/>
      <w:pPr>
        <w:ind w:left="720" w:hanging="360"/>
      </w:pPr>
      <w:rPr>
        <w:rFonts w:ascii="Symbol" w:hAnsi="Symbol" w:hint="default"/>
      </w:rPr>
    </w:lvl>
    <w:lvl w:ilvl="1" w:tplc="98928196">
      <w:start w:val="1"/>
      <w:numFmt w:val="bullet"/>
      <w:lvlText w:val="o"/>
      <w:lvlJc w:val="left"/>
      <w:pPr>
        <w:ind w:left="1440" w:hanging="360"/>
      </w:pPr>
      <w:rPr>
        <w:rFonts w:ascii="Courier New" w:hAnsi="Courier New" w:hint="default"/>
      </w:rPr>
    </w:lvl>
    <w:lvl w:ilvl="2" w:tplc="F6C6C5E4">
      <w:start w:val="1"/>
      <w:numFmt w:val="bullet"/>
      <w:lvlText w:val=""/>
      <w:lvlJc w:val="left"/>
      <w:pPr>
        <w:ind w:left="2160" w:hanging="360"/>
      </w:pPr>
      <w:rPr>
        <w:rFonts w:ascii="Wingdings" w:hAnsi="Wingdings" w:hint="default"/>
      </w:rPr>
    </w:lvl>
    <w:lvl w:ilvl="3" w:tplc="5D74AD3A">
      <w:start w:val="1"/>
      <w:numFmt w:val="bullet"/>
      <w:lvlText w:val=""/>
      <w:lvlJc w:val="left"/>
      <w:pPr>
        <w:ind w:left="2880" w:hanging="360"/>
      </w:pPr>
      <w:rPr>
        <w:rFonts w:ascii="Symbol" w:hAnsi="Symbol" w:hint="default"/>
      </w:rPr>
    </w:lvl>
    <w:lvl w:ilvl="4" w:tplc="358A7718">
      <w:start w:val="1"/>
      <w:numFmt w:val="bullet"/>
      <w:lvlText w:val="o"/>
      <w:lvlJc w:val="left"/>
      <w:pPr>
        <w:ind w:left="3600" w:hanging="360"/>
      </w:pPr>
      <w:rPr>
        <w:rFonts w:ascii="Courier New" w:hAnsi="Courier New" w:hint="default"/>
      </w:rPr>
    </w:lvl>
    <w:lvl w:ilvl="5" w:tplc="74BCDB12">
      <w:start w:val="1"/>
      <w:numFmt w:val="bullet"/>
      <w:lvlText w:val=""/>
      <w:lvlJc w:val="left"/>
      <w:pPr>
        <w:ind w:left="4320" w:hanging="360"/>
      </w:pPr>
      <w:rPr>
        <w:rFonts w:ascii="Wingdings" w:hAnsi="Wingdings" w:hint="default"/>
      </w:rPr>
    </w:lvl>
    <w:lvl w:ilvl="6" w:tplc="E7CE699A">
      <w:start w:val="1"/>
      <w:numFmt w:val="bullet"/>
      <w:lvlText w:val=""/>
      <w:lvlJc w:val="left"/>
      <w:pPr>
        <w:ind w:left="5040" w:hanging="360"/>
      </w:pPr>
      <w:rPr>
        <w:rFonts w:ascii="Symbol" w:hAnsi="Symbol" w:hint="default"/>
      </w:rPr>
    </w:lvl>
    <w:lvl w:ilvl="7" w:tplc="B1E40F92">
      <w:start w:val="1"/>
      <w:numFmt w:val="bullet"/>
      <w:lvlText w:val="o"/>
      <w:lvlJc w:val="left"/>
      <w:pPr>
        <w:ind w:left="5760" w:hanging="360"/>
      </w:pPr>
      <w:rPr>
        <w:rFonts w:ascii="Courier New" w:hAnsi="Courier New" w:hint="default"/>
      </w:rPr>
    </w:lvl>
    <w:lvl w:ilvl="8" w:tplc="B45CDA52">
      <w:start w:val="1"/>
      <w:numFmt w:val="bullet"/>
      <w:lvlText w:val=""/>
      <w:lvlJc w:val="left"/>
      <w:pPr>
        <w:ind w:left="6480" w:hanging="360"/>
      </w:pPr>
      <w:rPr>
        <w:rFonts w:ascii="Wingdings" w:hAnsi="Wingdings" w:hint="default"/>
      </w:rPr>
    </w:lvl>
  </w:abstractNum>
  <w:abstractNum w:abstractNumId="8" w15:restartNumberingAfterBreak="0">
    <w:nsid w:val="77571D26"/>
    <w:multiLevelType w:val="multilevel"/>
    <w:tmpl w:val="DC9C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84914">
    <w:abstractNumId w:val="7"/>
  </w:num>
  <w:num w:numId="2" w16cid:durableId="414862302">
    <w:abstractNumId w:val="4"/>
  </w:num>
  <w:num w:numId="3" w16cid:durableId="259073860">
    <w:abstractNumId w:val="0"/>
  </w:num>
  <w:num w:numId="4" w16cid:durableId="1253780630">
    <w:abstractNumId w:val="2"/>
  </w:num>
  <w:num w:numId="5" w16cid:durableId="1269047097">
    <w:abstractNumId w:val="1"/>
  </w:num>
  <w:num w:numId="6" w16cid:durableId="1263683287">
    <w:abstractNumId w:val="5"/>
  </w:num>
  <w:num w:numId="7" w16cid:durableId="1393234667">
    <w:abstractNumId w:val="6"/>
  </w:num>
  <w:num w:numId="8" w16cid:durableId="175921386">
    <w:abstractNumId w:val="8"/>
  </w:num>
  <w:num w:numId="9" w16cid:durableId="2061173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43"/>
    <w:rsid w:val="00002DAE"/>
    <w:rsid w:val="000059ED"/>
    <w:rsid w:val="000224E6"/>
    <w:rsid w:val="00033F18"/>
    <w:rsid w:val="00034D1C"/>
    <w:rsid w:val="00042A31"/>
    <w:rsid w:val="0004705F"/>
    <w:rsid w:val="00047325"/>
    <w:rsid w:val="00054BBD"/>
    <w:rsid w:val="000560C1"/>
    <w:rsid w:val="000628D6"/>
    <w:rsid w:val="00064C94"/>
    <w:rsid w:val="00071908"/>
    <w:rsid w:val="00094C17"/>
    <w:rsid w:val="00095F7A"/>
    <w:rsid w:val="000A4A8F"/>
    <w:rsid w:val="000B78AB"/>
    <w:rsid w:val="000C1414"/>
    <w:rsid w:val="000D23B6"/>
    <w:rsid w:val="000E46E1"/>
    <w:rsid w:val="000F1F0B"/>
    <w:rsid w:val="00102576"/>
    <w:rsid w:val="00104136"/>
    <w:rsid w:val="0011479E"/>
    <w:rsid w:val="001200A4"/>
    <w:rsid w:val="00122254"/>
    <w:rsid w:val="001318A9"/>
    <w:rsid w:val="00131D33"/>
    <w:rsid w:val="00133C88"/>
    <w:rsid w:val="00135BAC"/>
    <w:rsid w:val="00135FD1"/>
    <w:rsid w:val="00140992"/>
    <w:rsid w:val="00141CF4"/>
    <w:rsid w:val="0014640F"/>
    <w:rsid w:val="00150F61"/>
    <w:rsid w:val="001511E6"/>
    <w:rsid w:val="001533EE"/>
    <w:rsid w:val="00155911"/>
    <w:rsid w:val="00160C2B"/>
    <w:rsid w:val="0016129B"/>
    <w:rsid w:val="00162B77"/>
    <w:rsid w:val="00165A1A"/>
    <w:rsid w:val="00171065"/>
    <w:rsid w:val="0018249B"/>
    <w:rsid w:val="00191D11"/>
    <w:rsid w:val="001B03F3"/>
    <w:rsid w:val="001B1E4C"/>
    <w:rsid w:val="001B491B"/>
    <w:rsid w:val="001B72EC"/>
    <w:rsid w:val="001D2131"/>
    <w:rsid w:val="001D6C64"/>
    <w:rsid w:val="001D70F9"/>
    <w:rsid w:val="001D7BC1"/>
    <w:rsid w:val="001F3FF0"/>
    <w:rsid w:val="00210A18"/>
    <w:rsid w:val="00216616"/>
    <w:rsid w:val="00217460"/>
    <w:rsid w:val="00223426"/>
    <w:rsid w:val="00223C31"/>
    <w:rsid w:val="00224ECE"/>
    <w:rsid w:val="00233AC0"/>
    <w:rsid w:val="00233B8B"/>
    <w:rsid w:val="00235F64"/>
    <w:rsid w:val="0024118F"/>
    <w:rsid w:val="0024368D"/>
    <w:rsid w:val="002523F6"/>
    <w:rsid w:val="0025511E"/>
    <w:rsid w:val="0026582A"/>
    <w:rsid w:val="002716D2"/>
    <w:rsid w:val="00272A80"/>
    <w:rsid w:val="00272B3D"/>
    <w:rsid w:val="00274AE0"/>
    <w:rsid w:val="00280016"/>
    <w:rsid w:val="002875C6"/>
    <w:rsid w:val="00293F5E"/>
    <w:rsid w:val="002A6C32"/>
    <w:rsid w:val="002B1D06"/>
    <w:rsid w:val="002B55FE"/>
    <w:rsid w:val="002B5F64"/>
    <w:rsid w:val="002B6939"/>
    <w:rsid w:val="002B6C40"/>
    <w:rsid w:val="002B705E"/>
    <w:rsid w:val="002D6449"/>
    <w:rsid w:val="002E1297"/>
    <w:rsid w:val="002E17E6"/>
    <w:rsid w:val="002E1A4B"/>
    <w:rsid w:val="002E1EAC"/>
    <w:rsid w:val="002E53EC"/>
    <w:rsid w:val="002F2973"/>
    <w:rsid w:val="00303B7D"/>
    <w:rsid w:val="00303F89"/>
    <w:rsid w:val="0031411F"/>
    <w:rsid w:val="00317758"/>
    <w:rsid w:val="003201B2"/>
    <w:rsid w:val="00321C30"/>
    <w:rsid w:val="00322B4C"/>
    <w:rsid w:val="0032442E"/>
    <w:rsid w:val="00326D51"/>
    <w:rsid w:val="0032762D"/>
    <w:rsid w:val="003329D0"/>
    <w:rsid w:val="003346C4"/>
    <w:rsid w:val="00351635"/>
    <w:rsid w:val="003558D9"/>
    <w:rsid w:val="00361ED4"/>
    <w:rsid w:val="00370C93"/>
    <w:rsid w:val="00377091"/>
    <w:rsid w:val="00385321"/>
    <w:rsid w:val="00385FF6"/>
    <w:rsid w:val="003900E7"/>
    <w:rsid w:val="00393C91"/>
    <w:rsid w:val="003A20B1"/>
    <w:rsid w:val="003A5F5B"/>
    <w:rsid w:val="003B5110"/>
    <w:rsid w:val="003C2884"/>
    <w:rsid w:val="003C5576"/>
    <w:rsid w:val="003D135E"/>
    <w:rsid w:val="003D53E7"/>
    <w:rsid w:val="003D62F8"/>
    <w:rsid w:val="003D738E"/>
    <w:rsid w:val="003E4B26"/>
    <w:rsid w:val="003F350D"/>
    <w:rsid w:val="00410C0B"/>
    <w:rsid w:val="00413D0D"/>
    <w:rsid w:val="0042552D"/>
    <w:rsid w:val="00425F27"/>
    <w:rsid w:val="00426852"/>
    <w:rsid w:val="00435048"/>
    <w:rsid w:val="0043608A"/>
    <w:rsid w:val="00437AC0"/>
    <w:rsid w:val="004428BD"/>
    <w:rsid w:val="004437E4"/>
    <w:rsid w:val="00451420"/>
    <w:rsid w:val="0045634F"/>
    <w:rsid w:val="00457C62"/>
    <w:rsid w:val="00460AA7"/>
    <w:rsid w:val="0046129E"/>
    <w:rsid w:val="00485EEB"/>
    <w:rsid w:val="0048752C"/>
    <w:rsid w:val="00492AE8"/>
    <w:rsid w:val="00493790"/>
    <w:rsid w:val="004A37C3"/>
    <w:rsid w:val="004B1DCA"/>
    <w:rsid w:val="004C673B"/>
    <w:rsid w:val="004D2DAA"/>
    <w:rsid w:val="004D30BE"/>
    <w:rsid w:val="004E7F77"/>
    <w:rsid w:val="004F0E35"/>
    <w:rsid w:val="004F19D0"/>
    <w:rsid w:val="005075AF"/>
    <w:rsid w:val="00517788"/>
    <w:rsid w:val="00520CD6"/>
    <w:rsid w:val="00523AF7"/>
    <w:rsid w:val="00525182"/>
    <w:rsid w:val="00530EB0"/>
    <w:rsid w:val="005365DA"/>
    <w:rsid w:val="005369DE"/>
    <w:rsid w:val="005402CD"/>
    <w:rsid w:val="00541CCB"/>
    <w:rsid w:val="00541D92"/>
    <w:rsid w:val="0054454B"/>
    <w:rsid w:val="00547C7F"/>
    <w:rsid w:val="005629DC"/>
    <w:rsid w:val="00566847"/>
    <w:rsid w:val="00567557"/>
    <w:rsid w:val="00574845"/>
    <w:rsid w:val="00576BE6"/>
    <w:rsid w:val="00580B87"/>
    <w:rsid w:val="00581918"/>
    <w:rsid w:val="005819AE"/>
    <w:rsid w:val="00586169"/>
    <w:rsid w:val="0059074F"/>
    <w:rsid w:val="00593D36"/>
    <w:rsid w:val="005A00DC"/>
    <w:rsid w:val="005A3C22"/>
    <w:rsid w:val="005A4EE7"/>
    <w:rsid w:val="005B0640"/>
    <w:rsid w:val="005B30FF"/>
    <w:rsid w:val="005B56DE"/>
    <w:rsid w:val="005B6822"/>
    <w:rsid w:val="005B68CD"/>
    <w:rsid w:val="005C5691"/>
    <w:rsid w:val="005C6DF3"/>
    <w:rsid w:val="005C6EAF"/>
    <w:rsid w:val="005D17BA"/>
    <w:rsid w:val="005D19BE"/>
    <w:rsid w:val="005D4A76"/>
    <w:rsid w:val="005D595E"/>
    <w:rsid w:val="005E0D27"/>
    <w:rsid w:val="005E234B"/>
    <w:rsid w:val="005E52E3"/>
    <w:rsid w:val="005E7575"/>
    <w:rsid w:val="005F07C7"/>
    <w:rsid w:val="005F375D"/>
    <w:rsid w:val="005F3E22"/>
    <w:rsid w:val="00602FA9"/>
    <w:rsid w:val="00621A2A"/>
    <w:rsid w:val="00622D66"/>
    <w:rsid w:val="0062566B"/>
    <w:rsid w:val="006263E0"/>
    <w:rsid w:val="00627468"/>
    <w:rsid w:val="00645F4A"/>
    <w:rsid w:val="006502D0"/>
    <w:rsid w:val="00653833"/>
    <w:rsid w:val="006540D8"/>
    <w:rsid w:val="00657068"/>
    <w:rsid w:val="00662079"/>
    <w:rsid w:val="00663F35"/>
    <w:rsid w:val="006721B0"/>
    <w:rsid w:val="00673934"/>
    <w:rsid w:val="00673C47"/>
    <w:rsid w:val="00681DA7"/>
    <w:rsid w:val="00682F8E"/>
    <w:rsid w:val="006865BC"/>
    <w:rsid w:val="00693090"/>
    <w:rsid w:val="00693FEA"/>
    <w:rsid w:val="00696341"/>
    <w:rsid w:val="00696E07"/>
    <w:rsid w:val="006A2EAA"/>
    <w:rsid w:val="006A3271"/>
    <w:rsid w:val="006A5983"/>
    <w:rsid w:val="006B073D"/>
    <w:rsid w:val="006B1156"/>
    <w:rsid w:val="006B67B9"/>
    <w:rsid w:val="006B7808"/>
    <w:rsid w:val="006C289A"/>
    <w:rsid w:val="006C51F6"/>
    <w:rsid w:val="006E189A"/>
    <w:rsid w:val="006E2D42"/>
    <w:rsid w:val="006F3875"/>
    <w:rsid w:val="00701829"/>
    <w:rsid w:val="007025B0"/>
    <w:rsid w:val="00705962"/>
    <w:rsid w:val="00705A9F"/>
    <w:rsid w:val="00705E99"/>
    <w:rsid w:val="00707B11"/>
    <w:rsid w:val="007131F6"/>
    <w:rsid w:val="0071764D"/>
    <w:rsid w:val="00720E0E"/>
    <w:rsid w:val="007266F1"/>
    <w:rsid w:val="0073310F"/>
    <w:rsid w:val="00733612"/>
    <w:rsid w:val="0073404D"/>
    <w:rsid w:val="00734C6F"/>
    <w:rsid w:val="00744818"/>
    <w:rsid w:val="00746F84"/>
    <w:rsid w:val="00750BD2"/>
    <w:rsid w:val="007544CE"/>
    <w:rsid w:val="007553D8"/>
    <w:rsid w:val="007705B0"/>
    <w:rsid w:val="0077116F"/>
    <w:rsid w:val="00772F39"/>
    <w:rsid w:val="00775C7A"/>
    <w:rsid w:val="00776393"/>
    <w:rsid w:val="00777417"/>
    <w:rsid w:val="00777A8E"/>
    <w:rsid w:val="00777B44"/>
    <w:rsid w:val="00777C60"/>
    <w:rsid w:val="00777F0B"/>
    <w:rsid w:val="0078088F"/>
    <w:rsid w:val="0079127F"/>
    <w:rsid w:val="00795804"/>
    <w:rsid w:val="00795C6C"/>
    <w:rsid w:val="007A2CF8"/>
    <w:rsid w:val="007A2CFA"/>
    <w:rsid w:val="007B1161"/>
    <w:rsid w:val="007B1FBF"/>
    <w:rsid w:val="007B4749"/>
    <w:rsid w:val="007D06A6"/>
    <w:rsid w:val="007D0971"/>
    <w:rsid w:val="007F3761"/>
    <w:rsid w:val="007F650D"/>
    <w:rsid w:val="007F6F53"/>
    <w:rsid w:val="00801860"/>
    <w:rsid w:val="00802939"/>
    <w:rsid w:val="00812377"/>
    <w:rsid w:val="00816715"/>
    <w:rsid w:val="0082177D"/>
    <w:rsid w:val="00821976"/>
    <w:rsid w:val="00821E5B"/>
    <w:rsid w:val="00822F25"/>
    <w:rsid w:val="00823F77"/>
    <w:rsid w:val="00827813"/>
    <w:rsid w:val="00835019"/>
    <w:rsid w:val="008353B5"/>
    <w:rsid w:val="008376A3"/>
    <w:rsid w:val="0084001B"/>
    <w:rsid w:val="008427D1"/>
    <w:rsid w:val="00847EA2"/>
    <w:rsid w:val="00854E92"/>
    <w:rsid w:val="00860FE9"/>
    <w:rsid w:val="00861C50"/>
    <w:rsid w:val="00863AC6"/>
    <w:rsid w:val="00864B8A"/>
    <w:rsid w:val="008703CC"/>
    <w:rsid w:val="00871728"/>
    <w:rsid w:val="0087547B"/>
    <w:rsid w:val="00881F38"/>
    <w:rsid w:val="00883363"/>
    <w:rsid w:val="0089246E"/>
    <w:rsid w:val="008940C3"/>
    <w:rsid w:val="008A4759"/>
    <w:rsid w:val="008A60B3"/>
    <w:rsid w:val="008A6854"/>
    <w:rsid w:val="008B0F32"/>
    <w:rsid w:val="008B56AD"/>
    <w:rsid w:val="008C019C"/>
    <w:rsid w:val="008C2EE2"/>
    <w:rsid w:val="008D0DFC"/>
    <w:rsid w:val="008E73AB"/>
    <w:rsid w:val="008F0C43"/>
    <w:rsid w:val="008F2BA0"/>
    <w:rsid w:val="008F42B3"/>
    <w:rsid w:val="008F42D2"/>
    <w:rsid w:val="009071FA"/>
    <w:rsid w:val="009076DB"/>
    <w:rsid w:val="0090791B"/>
    <w:rsid w:val="0091063B"/>
    <w:rsid w:val="00916521"/>
    <w:rsid w:val="00916E8E"/>
    <w:rsid w:val="00922534"/>
    <w:rsid w:val="009314B1"/>
    <w:rsid w:val="00940E20"/>
    <w:rsid w:val="00942B97"/>
    <w:rsid w:val="009473A7"/>
    <w:rsid w:val="00960300"/>
    <w:rsid w:val="00962707"/>
    <w:rsid w:val="0096740A"/>
    <w:rsid w:val="00975615"/>
    <w:rsid w:val="009805CE"/>
    <w:rsid w:val="0098090E"/>
    <w:rsid w:val="00981029"/>
    <w:rsid w:val="00983928"/>
    <w:rsid w:val="00983DE8"/>
    <w:rsid w:val="00987AD4"/>
    <w:rsid w:val="009A2156"/>
    <w:rsid w:val="009A30B3"/>
    <w:rsid w:val="009A72D0"/>
    <w:rsid w:val="009B0177"/>
    <w:rsid w:val="009B3828"/>
    <w:rsid w:val="009B7DFA"/>
    <w:rsid w:val="009C22B8"/>
    <w:rsid w:val="009C2E74"/>
    <w:rsid w:val="009C3817"/>
    <w:rsid w:val="009C4BA2"/>
    <w:rsid w:val="009C575D"/>
    <w:rsid w:val="009D250E"/>
    <w:rsid w:val="009D2B18"/>
    <w:rsid w:val="009D363F"/>
    <w:rsid w:val="009D560F"/>
    <w:rsid w:val="009D5637"/>
    <w:rsid w:val="009D5F09"/>
    <w:rsid w:val="009E65CC"/>
    <w:rsid w:val="009F21B5"/>
    <w:rsid w:val="009F479D"/>
    <w:rsid w:val="009F6BB2"/>
    <w:rsid w:val="009F73DB"/>
    <w:rsid w:val="00A0037C"/>
    <w:rsid w:val="00A06092"/>
    <w:rsid w:val="00A22159"/>
    <w:rsid w:val="00A23196"/>
    <w:rsid w:val="00A240DB"/>
    <w:rsid w:val="00A26F38"/>
    <w:rsid w:val="00A27D90"/>
    <w:rsid w:val="00A36749"/>
    <w:rsid w:val="00A41AD9"/>
    <w:rsid w:val="00A504C3"/>
    <w:rsid w:val="00A55AF7"/>
    <w:rsid w:val="00A70838"/>
    <w:rsid w:val="00A7412C"/>
    <w:rsid w:val="00A74364"/>
    <w:rsid w:val="00A76262"/>
    <w:rsid w:val="00A841FE"/>
    <w:rsid w:val="00A9041C"/>
    <w:rsid w:val="00A90D20"/>
    <w:rsid w:val="00A92F6B"/>
    <w:rsid w:val="00A93298"/>
    <w:rsid w:val="00A95317"/>
    <w:rsid w:val="00A95397"/>
    <w:rsid w:val="00A95B6E"/>
    <w:rsid w:val="00AA053E"/>
    <w:rsid w:val="00AA19E1"/>
    <w:rsid w:val="00AA60FF"/>
    <w:rsid w:val="00AB14BF"/>
    <w:rsid w:val="00AC0494"/>
    <w:rsid w:val="00AC3BCE"/>
    <w:rsid w:val="00AC4E14"/>
    <w:rsid w:val="00AC57C8"/>
    <w:rsid w:val="00AC5BBA"/>
    <w:rsid w:val="00AD0A24"/>
    <w:rsid w:val="00AD5B5B"/>
    <w:rsid w:val="00AE66CE"/>
    <w:rsid w:val="00AE6849"/>
    <w:rsid w:val="00B060EC"/>
    <w:rsid w:val="00B10DF4"/>
    <w:rsid w:val="00B135EB"/>
    <w:rsid w:val="00B32214"/>
    <w:rsid w:val="00B35735"/>
    <w:rsid w:val="00B44657"/>
    <w:rsid w:val="00B46A7C"/>
    <w:rsid w:val="00B518CD"/>
    <w:rsid w:val="00B54697"/>
    <w:rsid w:val="00B57F04"/>
    <w:rsid w:val="00B61E87"/>
    <w:rsid w:val="00B63904"/>
    <w:rsid w:val="00B66DE2"/>
    <w:rsid w:val="00B70F22"/>
    <w:rsid w:val="00B87862"/>
    <w:rsid w:val="00B94E45"/>
    <w:rsid w:val="00B97301"/>
    <w:rsid w:val="00BA11E9"/>
    <w:rsid w:val="00BA67DA"/>
    <w:rsid w:val="00BA6EDC"/>
    <w:rsid w:val="00BB18A6"/>
    <w:rsid w:val="00BB5D75"/>
    <w:rsid w:val="00BC023A"/>
    <w:rsid w:val="00BC2A5E"/>
    <w:rsid w:val="00BD4B0F"/>
    <w:rsid w:val="00BE134C"/>
    <w:rsid w:val="00BF7DEB"/>
    <w:rsid w:val="00C03273"/>
    <w:rsid w:val="00C074B3"/>
    <w:rsid w:val="00C07794"/>
    <w:rsid w:val="00C10734"/>
    <w:rsid w:val="00C13499"/>
    <w:rsid w:val="00C1611D"/>
    <w:rsid w:val="00C22E88"/>
    <w:rsid w:val="00C25F8F"/>
    <w:rsid w:val="00C27781"/>
    <w:rsid w:val="00C27AD2"/>
    <w:rsid w:val="00C3555E"/>
    <w:rsid w:val="00C35C1D"/>
    <w:rsid w:val="00C4555E"/>
    <w:rsid w:val="00C45D12"/>
    <w:rsid w:val="00C47364"/>
    <w:rsid w:val="00C538F9"/>
    <w:rsid w:val="00C579B1"/>
    <w:rsid w:val="00C57DD7"/>
    <w:rsid w:val="00C57DDE"/>
    <w:rsid w:val="00C614F8"/>
    <w:rsid w:val="00C6545E"/>
    <w:rsid w:val="00C679A7"/>
    <w:rsid w:val="00C7161C"/>
    <w:rsid w:val="00C72101"/>
    <w:rsid w:val="00C73417"/>
    <w:rsid w:val="00C75D33"/>
    <w:rsid w:val="00C83048"/>
    <w:rsid w:val="00C84462"/>
    <w:rsid w:val="00C858FA"/>
    <w:rsid w:val="00C86590"/>
    <w:rsid w:val="00C866FE"/>
    <w:rsid w:val="00CD0A4D"/>
    <w:rsid w:val="00CD1023"/>
    <w:rsid w:val="00CE3631"/>
    <w:rsid w:val="00CE471D"/>
    <w:rsid w:val="00CF617D"/>
    <w:rsid w:val="00CF660E"/>
    <w:rsid w:val="00D01BF5"/>
    <w:rsid w:val="00D0263A"/>
    <w:rsid w:val="00D041CB"/>
    <w:rsid w:val="00D056DC"/>
    <w:rsid w:val="00D064B5"/>
    <w:rsid w:val="00D07083"/>
    <w:rsid w:val="00D102A7"/>
    <w:rsid w:val="00D12A94"/>
    <w:rsid w:val="00D2258E"/>
    <w:rsid w:val="00D4020D"/>
    <w:rsid w:val="00D41CC9"/>
    <w:rsid w:val="00D45E15"/>
    <w:rsid w:val="00D54238"/>
    <w:rsid w:val="00D55C55"/>
    <w:rsid w:val="00D64E44"/>
    <w:rsid w:val="00D70FCE"/>
    <w:rsid w:val="00D81736"/>
    <w:rsid w:val="00D87E03"/>
    <w:rsid w:val="00D90130"/>
    <w:rsid w:val="00DA3BAA"/>
    <w:rsid w:val="00DA4FAD"/>
    <w:rsid w:val="00DA7834"/>
    <w:rsid w:val="00DB3C36"/>
    <w:rsid w:val="00DC3863"/>
    <w:rsid w:val="00DC4E8C"/>
    <w:rsid w:val="00E04890"/>
    <w:rsid w:val="00E06F35"/>
    <w:rsid w:val="00E132D2"/>
    <w:rsid w:val="00E1631C"/>
    <w:rsid w:val="00E174D4"/>
    <w:rsid w:val="00E201CE"/>
    <w:rsid w:val="00E248D9"/>
    <w:rsid w:val="00E24CA7"/>
    <w:rsid w:val="00E253FD"/>
    <w:rsid w:val="00E30C5B"/>
    <w:rsid w:val="00E32644"/>
    <w:rsid w:val="00E343CD"/>
    <w:rsid w:val="00E351A2"/>
    <w:rsid w:val="00E41176"/>
    <w:rsid w:val="00E420B9"/>
    <w:rsid w:val="00E43D36"/>
    <w:rsid w:val="00E519D8"/>
    <w:rsid w:val="00E63F25"/>
    <w:rsid w:val="00E7300A"/>
    <w:rsid w:val="00E740BF"/>
    <w:rsid w:val="00E7532F"/>
    <w:rsid w:val="00E80186"/>
    <w:rsid w:val="00E90C2C"/>
    <w:rsid w:val="00E948E4"/>
    <w:rsid w:val="00EA199E"/>
    <w:rsid w:val="00EA4E35"/>
    <w:rsid w:val="00EA5DA8"/>
    <w:rsid w:val="00EB07B0"/>
    <w:rsid w:val="00EB0A65"/>
    <w:rsid w:val="00EB39DF"/>
    <w:rsid w:val="00EB6F58"/>
    <w:rsid w:val="00EC3CA1"/>
    <w:rsid w:val="00ED7C97"/>
    <w:rsid w:val="00EE02FB"/>
    <w:rsid w:val="00EE2688"/>
    <w:rsid w:val="00EE3FF0"/>
    <w:rsid w:val="00EF0C1D"/>
    <w:rsid w:val="00F058F9"/>
    <w:rsid w:val="00F06692"/>
    <w:rsid w:val="00F10D43"/>
    <w:rsid w:val="00F314DE"/>
    <w:rsid w:val="00F34CEA"/>
    <w:rsid w:val="00F37C66"/>
    <w:rsid w:val="00F40784"/>
    <w:rsid w:val="00F511F7"/>
    <w:rsid w:val="00F53C0E"/>
    <w:rsid w:val="00F55B57"/>
    <w:rsid w:val="00F5745D"/>
    <w:rsid w:val="00F63064"/>
    <w:rsid w:val="00F66D06"/>
    <w:rsid w:val="00F72AD0"/>
    <w:rsid w:val="00F75126"/>
    <w:rsid w:val="00F76CB2"/>
    <w:rsid w:val="00F81A9C"/>
    <w:rsid w:val="00F83F6E"/>
    <w:rsid w:val="00F87287"/>
    <w:rsid w:val="00F87C95"/>
    <w:rsid w:val="00F87D70"/>
    <w:rsid w:val="00F92138"/>
    <w:rsid w:val="00FC458F"/>
    <w:rsid w:val="00FC5BBE"/>
    <w:rsid w:val="00FC695C"/>
    <w:rsid w:val="00FD6ED9"/>
    <w:rsid w:val="00FE11CD"/>
    <w:rsid w:val="00FE15BB"/>
    <w:rsid w:val="00FE3E6E"/>
    <w:rsid w:val="00FE3FDC"/>
    <w:rsid w:val="00FE4AF0"/>
    <w:rsid w:val="00FE4C25"/>
    <w:rsid w:val="00FE71A3"/>
    <w:rsid w:val="00FF43B6"/>
    <w:rsid w:val="0519640D"/>
    <w:rsid w:val="05CFFB1D"/>
    <w:rsid w:val="0A110B27"/>
    <w:rsid w:val="0AB31AE7"/>
    <w:rsid w:val="0FA092C0"/>
    <w:rsid w:val="0FB20604"/>
    <w:rsid w:val="100B648C"/>
    <w:rsid w:val="111BBC85"/>
    <w:rsid w:val="11EC2D2B"/>
    <w:rsid w:val="1368E592"/>
    <w:rsid w:val="1899DD9D"/>
    <w:rsid w:val="1B270634"/>
    <w:rsid w:val="1B684B64"/>
    <w:rsid w:val="1C1A3531"/>
    <w:rsid w:val="1C6B57C4"/>
    <w:rsid w:val="1DFF1259"/>
    <w:rsid w:val="1F02F9FF"/>
    <w:rsid w:val="21C19041"/>
    <w:rsid w:val="24486DDC"/>
    <w:rsid w:val="2546CFC5"/>
    <w:rsid w:val="26E9A228"/>
    <w:rsid w:val="28D05869"/>
    <w:rsid w:val="2BFADC46"/>
    <w:rsid w:val="2C00BBF8"/>
    <w:rsid w:val="2C15FFBA"/>
    <w:rsid w:val="2C7E4F90"/>
    <w:rsid w:val="2D29EEE6"/>
    <w:rsid w:val="2D3EDB6A"/>
    <w:rsid w:val="2E666796"/>
    <w:rsid w:val="3086BDF8"/>
    <w:rsid w:val="308B9D0D"/>
    <w:rsid w:val="35E480B9"/>
    <w:rsid w:val="36C18F59"/>
    <w:rsid w:val="3B1EB838"/>
    <w:rsid w:val="3BDC449D"/>
    <w:rsid w:val="3C56F6E3"/>
    <w:rsid w:val="3E1FD6CF"/>
    <w:rsid w:val="3F180257"/>
    <w:rsid w:val="3F5AD177"/>
    <w:rsid w:val="423766D3"/>
    <w:rsid w:val="42C3430E"/>
    <w:rsid w:val="43F709B9"/>
    <w:rsid w:val="44307B46"/>
    <w:rsid w:val="4705B5D4"/>
    <w:rsid w:val="47DD8979"/>
    <w:rsid w:val="4800D31A"/>
    <w:rsid w:val="515605C8"/>
    <w:rsid w:val="519FB072"/>
    <w:rsid w:val="549639F2"/>
    <w:rsid w:val="55D55C41"/>
    <w:rsid w:val="5654CF74"/>
    <w:rsid w:val="567A2D17"/>
    <w:rsid w:val="59C6F819"/>
    <w:rsid w:val="5B896F2A"/>
    <w:rsid w:val="5C184CA3"/>
    <w:rsid w:val="5D54F69F"/>
    <w:rsid w:val="61CDAD6E"/>
    <w:rsid w:val="65DC4299"/>
    <w:rsid w:val="65FF4319"/>
    <w:rsid w:val="689A9E05"/>
    <w:rsid w:val="69BDDA42"/>
    <w:rsid w:val="6BB71BE0"/>
    <w:rsid w:val="6C158C45"/>
    <w:rsid w:val="6D36E2AA"/>
    <w:rsid w:val="70F96C97"/>
    <w:rsid w:val="7230C012"/>
    <w:rsid w:val="73B55585"/>
    <w:rsid w:val="75123928"/>
    <w:rsid w:val="76489356"/>
    <w:rsid w:val="772A33D5"/>
    <w:rsid w:val="7789B90E"/>
    <w:rsid w:val="7C053CE8"/>
    <w:rsid w:val="7D70B05C"/>
    <w:rsid w:val="7DEF5169"/>
    <w:rsid w:val="7E65EF9F"/>
    <w:rsid w:val="7E7EF989"/>
    <w:rsid w:val="7F7A784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BA70"/>
  <w15:chartTrackingRefBased/>
  <w15:docId w15:val="{5D6581D9-C560-4953-9D96-078090FA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43"/>
  </w:style>
  <w:style w:type="paragraph" w:styleId="Heading1">
    <w:name w:val="heading 1"/>
    <w:basedOn w:val="ListParagraph"/>
    <w:next w:val="Normal"/>
    <w:link w:val="Heading1Char"/>
    <w:uiPriority w:val="9"/>
    <w:qFormat/>
    <w:rsid w:val="00F10D43"/>
    <w:pPr>
      <w:ind w:left="0"/>
      <w:outlineLvl w:val="0"/>
    </w:pPr>
    <w:rPr>
      <w:b/>
      <w:bCs/>
      <w:sz w:val="28"/>
      <w:szCs w:val="28"/>
    </w:rPr>
  </w:style>
  <w:style w:type="paragraph" w:styleId="Heading2">
    <w:name w:val="heading 2"/>
    <w:basedOn w:val="ListParagraph"/>
    <w:next w:val="Normal"/>
    <w:link w:val="Heading2Char"/>
    <w:uiPriority w:val="9"/>
    <w:unhideWhenUsed/>
    <w:qFormat/>
    <w:rsid w:val="00F10D43"/>
    <w:pPr>
      <w:numPr>
        <w:ilvl w:val="1"/>
        <w:numId w:val="2"/>
      </w:numPr>
      <w:ind w:left="573"/>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43"/>
    <w:rPr>
      <w:b/>
      <w:bCs/>
      <w:sz w:val="28"/>
      <w:szCs w:val="28"/>
    </w:rPr>
  </w:style>
  <w:style w:type="character" w:customStyle="1" w:styleId="Heading2Char">
    <w:name w:val="Heading 2 Char"/>
    <w:basedOn w:val="DefaultParagraphFont"/>
    <w:link w:val="Heading2"/>
    <w:uiPriority w:val="9"/>
    <w:rsid w:val="00F10D43"/>
  </w:style>
  <w:style w:type="paragraph" w:styleId="ListParagraph">
    <w:name w:val="List Paragraph"/>
    <w:basedOn w:val="Normal"/>
    <w:uiPriority w:val="34"/>
    <w:qFormat/>
    <w:rsid w:val="00F10D43"/>
    <w:pPr>
      <w:ind w:left="720"/>
      <w:contextualSpacing/>
    </w:pPr>
  </w:style>
  <w:style w:type="character" w:customStyle="1" w:styleId="normaltextrun">
    <w:name w:val="normaltextrun"/>
    <w:basedOn w:val="DefaultParagraphFont"/>
    <w:uiPriority w:val="1"/>
    <w:rsid w:val="00F10D43"/>
  </w:style>
  <w:style w:type="paragraph" w:styleId="CommentText">
    <w:name w:val="annotation text"/>
    <w:basedOn w:val="Normal"/>
    <w:link w:val="CommentTextChar"/>
    <w:uiPriority w:val="99"/>
    <w:unhideWhenUsed/>
    <w:rsid w:val="00F10D43"/>
    <w:pPr>
      <w:spacing w:line="240" w:lineRule="auto"/>
    </w:pPr>
    <w:rPr>
      <w:sz w:val="20"/>
      <w:szCs w:val="20"/>
    </w:rPr>
  </w:style>
  <w:style w:type="character" w:customStyle="1" w:styleId="CommentTextChar">
    <w:name w:val="Comment Text Char"/>
    <w:basedOn w:val="DefaultParagraphFont"/>
    <w:link w:val="CommentText"/>
    <w:uiPriority w:val="99"/>
    <w:rsid w:val="00F10D43"/>
    <w:rPr>
      <w:sz w:val="20"/>
      <w:szCs w:val="20"/>
    </w:rPr>
  </w:style>
  <w:style w:type="character" w:styleId="CommentReference">
    <w:name w:val="annotation reference"/>
    <w:basedOn w:val="DefaultParagraphFont"/>
    <w:uiPriority w:val="99"/>
    <w:semiHidden/>
    <w:unhideWhenUsed/>
    <w:rsid w:val="00F10D43"/>
    <w:rPr>
      <w:sz w:val="16"/>
      <w:szCs w:val="16"/>
    </w:rPr>
  </w:style>
  <w:style w:type="character" w:styleId="Hyperlink">
    <w:name w:val="Hyperlink"/>
    <w:basedOn w:val="DefaultParagraphFont"/>
    <w:uiPriority w:val="99"/>
    <w:unhideWhenUsed/>
    <w:rsid w:val="004F0E35"/>
    <w:rPr>
      <w:color w:val="0563C1" w:themeColor="hyperlink"/>
      <w:u w:val="single"/>
    </w:rPr>
  </w:style>
  <w:style w:type="character" w:styleId="UnresolvedMention">
    <w:name w:val="Unresolved Mention"/>
    <w:basedOn w:val="DefaultParagraphFont"/>
    <w:uiPriority w:val="99"/>
    <w:semiHidden/>
    <w:unhideWhenUsed/>
    <w:rsid w:val="004F0E35"/>
    <w:rPr>
      <w:color w:val="605E5C"/>
      <w:shd w:val="clear" w:color="auto" w:fill="E1DFDD"/>
    </w:rPr>
  </w:style>
  <w:style w:type="paragraph" w:styleId="FootnoteText">
    <w:name w:val="footnote text"/>
    <w:basedOn w:val="Normal"/>
    <w:link w:val="FootnoteTextChar"/>
    <w:uiPriority w:val="99"/>
    <w:semiHidden/>
    <w:unhideWhenUsed/>
    <w:rsid w:val="005D19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19BE"/>
    <w:rPr>
      <w:sz w:val="20"/>
      <w:szCs w:val="20"/>
    </w:rPr>
  </w:style>
  <w:style w:type="character" w:styleId="FootnoteReference">
    <w:name w:val="footnote reference"/>
    <w:basedOn w:val="DefaultParagraphFont"/>
    <w:uiPriority w:val="99"/>
    <w:semiHidden/>
    <w:unhideWhenUsed/>
    <w:rsid w:val="005D19BE"/>
    <w:rPr>
      <w:vertAlign w:val="superscript"/>
    </w:rPr>
  </w:style>
  <w:style w:type="paragraph" w:styleId="Header">
    <w:name w:val="header"/>
    <w:basedOn w:val="Normal"/>
    <w:link w:val="HeaderChar"/>
    <w:uiPriority w:val="99"/>
    <w:unhideWhenUsed/>
    <w:rsid w:val="00E174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74D4"/>
  </w:style>
  <w:style w:type="paragraph" w:styleId="Footer">
    <w:name w:val="footer"/>
    <w:basedOn w:val="Normal"/>
    <w:link w:val="FooterChar"/>
    <w:uiPriority w:val="99"/>
    <w:unhideWhenUsed/>
    <w:rsid w:val="00E174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74D4"/>
  </w:style>
  <w:style w:type="table" w:styleId="TableGrid">
    <w:name w:val="Table Grid"/>
    <w:basedOn w:val="TableNormal"/>
    <w:uiPriority w:val="59"/>
    <w:rsid w:val="006739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30120">
      <w:bodyDiv w:val="1"/>
      <w:marLeft w:val="0"/>
      <w:marRight w:val="0"/>
      <w:marTop w:val="0"/>
      <w:marBottom w:val="0"/>
      <w:divBdr>
        <w:top w:val="none" w:sz="0" w:space="0" w:color="auto"/>
        <w:left w:val="none" w:sz="0" w:space="0" w:color="auto"/>
        <w:bottom w:val="none" w:sz="0" w:space="0" w:color="auto"/>
        <w:right w:val="none" w:sz="0" w:space="0" w:color="auto"/>
      </w:divBdr>
    </w:div>
    <w:div w:id="243995263">
      <w:bodyDiv w:val="1"/>
      <w:marLeft w:val="0"/>
      <w:marRight w:val="0"/>
      <w:marTop w:val="0"/>
      <w:marBottom w:val="0"/>
      <w:divBdr>
        <w:top w:val="none" w:sz="0" w:space="0" w:color="auto"/>
        <w:left w:val="none" w:sz="0" w:space="0" w:color="auto"/>
        <w:bottom w:val="none" w:sz="0" w:space="0" w:color="auto"/>
        <w:right w:val="none" w:sz="0" w:space="0" w:color="auto"/>
      </w:divBdr>
    </w:div>
    <w:div w:id="723870113">
      <w:bodyDiv w:val="1"/>
      <w:marLeft w:val="0"/>
      <w:marRight w:val="0"/>
      <w:marTop w:val="0"/>
      <w:marBottom w:val="0"/>
      <w:divBdr>
        <w:top w:val="none" w:sz="0" w:space="0" w:color="auto"/>
        <w:left w:val="none" w:sz="0" w:space="0" w:color="auto"/>
        <w:bottom w:val="none" w:sz="0" w:space="0" w:color="auto"/>
        <w:right w:val="none" w:sz="0" w:space="0" w:color="auto"/>
      </w:divBdr>
    </w:div>
    <w:div w:id="834733966">
      <w:bodyDiv w:val="1"/>
      <w:marLeft w:val="0"/>
      <w:marRight w:val="0"/>
      <w:marTop w:val="0"/>
      <w:marBottom w:val="0"/>
      <w:divBdr>
        <w:top w:val="none" w:sz="0" w:space="0" w:color="auto"/>
        <w:left w:val="none" w:sz="0" w:space="0" w:color="auto"/>
        <w:bottom w:val="none" w:sz="0" w:space="0" w:color="auto"/>
        <w:right w:val="none" w:sz="0" w:space="0" w:color="auto"/>
      </w:divBdr>
    </w:div>
    <w:div w:id="901208639">
      <w:bodyDiv w:val="1"/>
      <w:marLeft w:val="0"/>
      <w:marRight w:val="0"/>
      <w:marTop w:val="0"/>
      <w:marBottom w:val="0"/>
      <w:divBdr>
        <w:top w:val="none" w:sz="0" w:space="0" w:color="auto"/>
        <w:left w:val="none" w:sz="0" w:space="0" w:color="auto"/>
        <w:bottom w:val="none" w:sz="0" w:space="0" w:color="auto"/>
        <w:right w:val="none" w:sz="0" w:space="0" w:color="auto"/>
      </w:divBdr>
    </w:div>
    <w:div w:id="970746230">
      <w:bodyDiv w:val="1"/>
      <w:marLeft w:val="0"/>
      <w:marRight w:val="0"/>
      <w:marTop w:val="0"/>
      <w:marBottom w:val="0"/>
      <w:divBdr>
        <w:top w:val="none" w:sz="0" w:space="0" w:color="auto"/>
        <w:left w:val="none" w:sz="0" w:space="0" w:color="auto"/>
        <w:bottom w:val="none" w:sz="0" w:space="0" w:color="auto"/>
        <w:right w:val="none" w:sz="0" w:space="0" w:color="auto"/>
      </w:divBdr>
    </w:div>
    <w:div w:id="1278682864">
      <w:bodyDiv w:val="1"/>
      <w:marLeft w:val="0"/>
      <w:marRight w:val="0"/>
      <w:marTop w:val="0"/>
      <w:marBottom w:val="0"/>
      <w:divBdr>
        <w:top w:val="none" w:sz="0" w:space="0" w:color="auto"/>
        <w:left w:val="none" w:sz="0" w:space="0" w:color="auto"/>
        <w:bottom w:val="none" w:sz="0" w:space="0" w:color="auto"/>
        <w:right w:val="none" w:sz="0" w:space="0" w:color="auto"/>
      </w:divBdr>
    </w:div>
    <w:div w:id="173088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read-zip-file-in-r/" TargetMode="External"/><Relationship Id="rId13" Type="http://schemas.openxmlformats.org/officeDocument/2006/relationships/hyperlink" Target="https://www.geeksforgeeks.org/how-to-reverse-the-order-of-a-dataframe-in-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com/rstudio/cheatsheets/main/lubridat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bridate.tidyverse.or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stackoverflow.com/questions/32066402/how-to-perform-multiple-left-joins-using-dplyr-in-r" TargetMode="External"/><Relationship Id="rId4" Type="http://schemas.openxmlformats.org/officeDocument/2006/relationships/settings" Target="settings.xml"/><Relationship Id="rId9" Type="http://schemas.openxmlformats.org/officeDocument/2006/relationships/hyperlink" Target="https://www.tutorialspoint.com/how-to-create-a-vector-with-all-dates-in-a-particular-year-in-r"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ACBD6-A051-4FB9-874E-A2DB8A16C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2625</Words>
  <Characters>14965</Characters>
  <Application>Microsoft Office Word</Application>
  <DocSecurity>4</DocSecurity>
  <Lines>124</Lines>
  <Paragraphs>35</Paragraphs>
  <ScaleCrop>false</ScaleCrop>
  <Company/>
  <LinksUpToDate>false</LinksUpToDate>
  <CharactersWithSpaces>17555</CharactersWithSpaces>
  <SharedDoc>false</SharedDoc>
  <HLinks>
    <vt:vector size="36" baseType="variant">
      <vt:variant>
        <vt:i4>3670129</vt:i4>
      </vt:variant>
      <vt:variant>
        <vt:i4>15</vt:i4>
      </vt:variant>
      <vt:variant>
        <vt:i4>0</vt:i4>
      </vt:variant>
      <vt:variant>
        <vt:i4>5</vt:i4>
      </vt:variant>
      <vt:variant>
        <vt:lpwstr>https://www.geeksforgeeks.org/how-to-reverse-the-order-of-a-dataframe-in-r/</vt:lpwstr>
      </vt:variant>
      <vt:variant>
        <vt:lpwstr/>
      </vt:variant>
      <vt:variant>
        <vt:i4>1704026</vt:i4>
      </vt:variant>
      <vt:variant>
        <vt:i4>12</vt:i4>
      </vt:variant>
      <vt:variant>
        <vt:i4>0</vt:i4>
      </vt:variant>
      <vt:variant>
        <vt:i4>5</vt:i4>
      </vt:variant>
      <vt:variant>
        <vt:lpwstr>https://rawgit.com/rstudio/cheatsheets/main/lubridate.pdf</vt:lpwstr>
      </vt:variant>
      <vt:variant>
        <vt:lpwstr/>
      </vt:variant>
      <vt:variant>
        <vt:i4>6094938</vt:i4>
      </vt:variant>
      <vt:variant>
        <vt:i4>9</vt:i4>
      </vt:variant>
      <vt:variant>
        <vt:i4>0</vt:i4>
      </vt:variant>
      <vt:variant>
        <vt:i4>5</vt:i4>
      </vt:variant>
      <vt:variant>
        <vt:lpwstr>https://lubridate.tidyverse.org/</vt:lpwstr>
      </vt:variant>
      <vt:variant>
        <vt:lpwstr/>
      </vt:variant>
      <vt:variant>
        <vt:i4>4849758</vt:i4>
      </vt:variant>
      <vt:variant>
        <vt:i4>6</vt:i4>
      </vt:variant>
      <vt:variant>
        <vt:i4>0</vt:i4>
      </vt:variant>
      <vt:variant>
        <vt:i4>5</vt:i4>
      </vt:variant>
      <vt:variant>
        <vt:lpwstr>https://stackoverflow.com/questions/32066402/how-to-perform-multiple-left-joins-using-dplyr-in-r</vt:lpwstr>
      </vt:variant>
      <vt:variant>
        <vt:lpwstr/>
      </vt:variant>
      <vt:variant>
        <vt:i4>7667771</vt:i4>
      </vt:variant>
      <vt:variant>
        <vt:i4>3</vt:i4>
      </vt:variant>
      <vt:variant>
        <vt:i4>0</vt:i4>
      </vt:variant>
      <vt:variant>
        <vt:i4>5</vt:i4>
      </vt:variant>
      <vt:variant>
        <vt:lpwstr>https://www.tutorialspoint.com/how-to-create-a-vector-with-all-dates-in-a-particular-year-in-r</vt:lpwstr>
      </vt:variant>
      <vt:variant>
        <vt:lpwstr/>
      </vt:variant>
      <vt:variant>
        <vt:i4>17</vt:i4>
      </vt:variant>
      <vt:variant>
        <vt:i4>0</vt:i4>
      </vt:variant>
      <vt:variant>
        <vt:i4>0</vt:i4>
      </vt:variant>
      <vt:variant>
        <vt:i4>5</vt:i4>
      </vt:variant>
      <vt:variant>
        <vt:lpwstr>https://www.statology.org/read-zip-file-in-r/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lasso jaramillo</dc:creator>
  <cp:keywords/>
  <dc:description/>
  <cp:lastModifiedBy>Natalia Plata Angel</cp:lastModifiedBy>
  <cp:revision>236</cp:revision>
  <cp:lastPrinted>2024-02-29T01:40:00Z</cp:lastPrinted>
  <dcterms:created xsi:type="dcterms:W3CDTF">2024-09-02T00:55:00Z</dcterms:created>
  <dcterms:modified xsi:type="dcterms:W3CDTF">2024-09-30T00:27:00Z</dcterms:modified>
</cp:coreProperties>
</file>