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虛構示例－並非真實合約。所有名稱、地址、金額及交易均屬虛構。</w:t>
      </w:r>
    </w:p>
    <w:p>
      <w:r>
        <w:t>分租協議（房間）</w:t>
      </w:r>
    </w:p>
    <w:p>
      <w:r>
        <w:t>日期：2026年11月20日</w:t>
      </w:r>
    </w:p>
    <w:p>
      <w:r>
        <w:t>出租人（二房東）：何虛構</w:t>
      </w:r>
    </w:p>
    <w:p>
      <w:r>
        <w:t>承租人：李示例同學</w:t>
      </w:r>
    </w:p>
    <w:p>
      <w:r>
        <w:t>物業：香港虛構道8號示例大廈12樓X室其中一間房（下稱「該房間」），與其他住客共用廚房及浴室。</w:t>
      </w:r>
    </w:p>
    <w:p>
      <w:r>
        <w:t>一、租期：由2026年12月1日起計12個月，全期為死約。</w:t>
      </w:r>
    </w:p>
    <w:p>
      <w:r>
        <w:t>二、租金：每月港幣6,500元，於每月5日前以現金或轉數快支付予何虛構之胞弟何示例。</w:t>
      </w:r>
    </w:p>
    <w:p>
      <w:r>
        <w:t>三、按金：港幣13,000元（兩個月租金），租約期滿後退還。</w:t>
      </w:r>
    </w:p>
    <w:p>
      <w:r>
        <w:t>四、水電煤及上網費用由各住客平均分擔，計算方法由出租人決定。</w:t>
      </w:r>
    </w:p>
    <w:p>
      <w:r>
        <w:t>五、房間內所有家具及電器如有損壞，不論原因，均由承租人負責維修或賠償。</w:t>
      </w:r>
    </w:p>
    <w:p>
      <w:r>
        <w:t>六、承租人如於租期內提前遷出，須繳付餘下租期全部租金，按金不予退還。</w:t>
      </w:r>
    </w:p>
    <w:p>
      <w:r>
        <w:t>七、出租人可隨時進入該房間檢查。</w:t>
      </w:r>
    </w:p>
    <w:p>
      <w:r>
        <w:t>八、承租人遷出時須將該房間回復原狀並交吉。</w:t>
      </w:r>
    </w:p>
    <w:p>
      <w:r>
        <w:t>九、本協議無須加蓋印花。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