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Manual de uso — Toolkit de Confiabilidad IPM</w:t>
      </w:r>
    </w:p>
    <w:p>
      <w:pPr/>
      <w:r>
        <w:t xml:space="preserve">Oct 21, 2026</w:t>
      </w:r>
      <w:r>
        <w:t xml:space="preserve"> · </w:t>
      </w:r>
      <w:r>
        <w:t xml:space="preserve">@Hugo Villegas Barría</w:t>
      </w:r>
    </w:p>
    <w:p>
      <w:pPr>
        <w:pStyle w:val="Heading2"/>
      </w:pPr>
      <w:r>
        <w:t xml:space="preserve">Qué es y cómo se abre</w:t>
      </w:r>
    </w:p>
    <w:p>
      <w:pPr/>
      <w:r>
        <w:t xml:space="preserve">El Toolkit de Confiabilidad IPM reúne nueve calculadoras de confiabilidad, mantenibilidad y disponibilidad en una sola página, sin instalación ni licencias. Cada herramienta recalcula mientras escribes y genera un informe ejecutivo de una página en blanco y negro, listo para anexar a un memo o a un RCA.</w:t>
      </w:r>
    </w:p>
    <w:p>
      <w:pPr/>
      <w:r>
        <w:t xml:space="preserve">Existen dos formas de abrirlo y conviene saber cuál usar:</w:t>
      </w:r>
    </w:p>
    <w:tbl>
      <w:tblPr>
        <w:tblStyle w:val="TableGrid"/>
        <w:tblW w:w="0" w:type="auto"/>
        <w:tblLayout w:type="fixed"/>
        <w:tblLook w:val="04A0" w:firstRow="1" w:lastRow="0" w:firstColumn="0" w:lastColumn="0" w:noHBand="0" w:noVBand="1"/>
      </w:tblPr>
      <w:tblGrid>
        <w:gridCol w:w="2734"/>
        <w:gridCol w:w="4835"/>
        <w:gridCol w:w="1791"/>
      </w:tblGrid>
      <w:tr>
        <w:trPr>
          <w:tblHeader/>
        </w:trPr>
        <w:tc>
          <w:tcPr>
            <w:tcW w:w="2734" w:type="dxa"/>
            <w:shd w:val="clear" w:color="auto" w:fill="F2F2F2"/>
          </w:tcPr>
          <w:p>
            <w:pPr/>
            <w:r>
              <w:t xml:space="preserve">Vía</w:t>
            </w:r>
          </w:p>
        </w:tc>
        <w:tc>
          <w:tcPr>
            <w:tcW w:w="4835" w:type="dxa"/>
            <w:shd w:val="clear" w:color="auto" w:fill="F2F2F2"/>
          </w:tcPr>
          <w:p>
            <w:pPr/>
            <w:r>
              <w:t xml:space="preserve">Para qué sirve</w:t>
            </w:r>
          </w:p>
        </w:tc>
        <w:tc>
          <w:tcPr>
            <w:tcW w:w="1791" w:type="dxa"/>
            <w:shd w:val="clear" w:color="auto" w:fill="F2F2F2"/>
          </w:tcPr>
          <w:p>
            <w:pPr/>
            <w:r>
              <w:t xml:space="preserve">Imprime</w:t>
            </w:r>
          </w:p>
        </w:tc>
      </w:tr>
      <w:tr>
        <w:tc>
          <w:tcPr>
            <w:tcW w:w="2734" w:type="dxa"/>
          </w:tcPr>
          <w:p>
            <w:pPr/>
            <w:r>
              <w:t xml:space="preserve">Enlace del artifact en Claude</w:t>
            </w:r>
          </w:p>
        </w:tc>
        <w:tc>
          <w:tcPr>
            <w:tcW w:w="4835" w:type="dxa"/>
          </w:tcPr>
          <w:p>
            <w:pPr/>
            <w:r>
              <w:t xml:space="preserve">Consulta rápida desde cualquier equipo o el teléfono, sin descargar nada</w:t>
            </w:r>
          </w:p>
        </w:tc>
        <w:tc>
          <w:tcPr>
            <w:tcW w:w="1791" w:type="dxa"/>
          </w:tcPr>
          <w:p>
            <w:pPr/>
            <w:r>
              <w:t xml:space="preserve">No</w:t>
            </w:r>
          </w:p>
        </w:tc>
      </w:tr>
      <w:tr>
        <w:tc>
          <w:tcPr>
            <w:tcW w:w="2734" w:type="dxa"/>
          </w:tcPr>
          <w:p>
            <w:pPr/>
            <w:r>
              <w:t xml:space="preserve">Archivo </w:t>
            </w:r>
            <w:r>
              <w:rPr>
                <w:rStyle w:val="CodeChar"/>
              </w:rPr>
              <w:t xml:space="preserve">toolkit-confiabilidad.html</w:t>
            </w:r>
            <w:r>
              <w:t xml:space="preserve"> local</w:t>
            </w:r>
          </w:p>
        </w:tc>
        <w:tc>
          <w:tcPr>
            <w:tcW w:w="4835" w:type="dxa"/>
          </w:tcPr>
          <w:p>
            <w:pPr/>
            <w:r>
              <w:t xml:space="preserve">Uso habitual en el PC de trabajo; funciona sin internet</w:t>
            </w:r>
          </w:p>
        </w:tc>
        <w:tc>
          <w:tcPr>
            <w:tcW w:w="1791" w:type="dxa"/>
          </w:tcPr>
          <w:p>
            <w:pPr/>
            <w:r>
              <w:t xml:space="preserve">Sí, con Ctrl+P</w:t>
            </w:r>
          </w:p>
        </w:tc>
      </w:tr>
    </w:tbl>
    <w:p>
      <w:pPr/>
      <w:r>
        <w:t xml:space="preserve">Para el archivo local: guárdalo donde tengas tus herramientas de cálculo, haz doble clic y se abre en el navegador por defecto. No necesita servidor, no envía datos a ninguna parte y todo el cálculo ocurre en tu máquina, así que puedes usarlo con datos de SAP sin restricción.</w:t>
      </w:r>
    </w:p>
    <w:p>
      <w:pPr>
        <w:pStyle w:val="Heading2"/>
      </w:pPr>
      <w:r>
        <w:t xml:space="preserve">Cómo navegar</w:t>
      </w:r>
    </w:p>
    <w:p>
      <w:pPr/>
      <w:r>
        <w:t xml:space="preserve">La página tiene tres vistas y siempre se recorren en el mismo orden.</w:t>
      </w:r>
    </w:p>
    <w:p>
      <w:pPr>
        <w:pStyle w:val="ListParagraph"/>
        <w:numPr>
          <w:ilvl w:val="0"/>
          <w:numId w:val="2"/>
        </w:numPr>
      </w:pPr>
      <w:r>
        <w:rPr>
          <w:b/>
        </w:rPr>
        <w:t xml:space="preserve">Índice.</w:t>
      </w:r>
      <w:r>
        <w:t xml:space="preserve"> Es lo primero que ves: una tabla de nueve herramientas numeradas, cada una con su miniatura del concepto y una línea que explica qué calcula. Haz clic en cualquier parte de la fila para entrar.</w:t>
      </w:r>
    </w:p>
    <w:p>
      <w:pPr>
        <w:pStyle w:val="ListParagraph"/>
        <w:numPr>
          <w:ilvl w:val="0"/>
          <w:numId w:val="2"/>
        </w:numPr>
      </w:pPr>
      <w:r>
        <w:rPr>
          <w:b/>
        </w:rPr>
        <w:t xml:space="preserve">Ficha de cálculo.</w:t>
      </w:r>
      <w:r>
        <w:t xml:space="preserve"> Arriba quedan los campos de entrada, abajo los resultados. No hay botón de calcular: cada vez que cambias un número o sales de un campo, los resultados, el gráfico y la lectura técnica se actualizan solos. El botón «← Índice» vuelve a la lista.</w:t>
      </w:r>
    </w:p>
    <w:p>
      <w:pPr>
        <w:pStyle w:val="ListParagraph"/>
        <w:numPr>
          <w:ilvl w:val="0"/>
          <w:numId w:val="2"/>
        </w:numPr>
      </w:pPr>
      <w:r>
        <w:rPr>
          <w:b/>
        </w:rPr>
        <w:t xml:space="preserve">Informe ejecutivo.</w:t>
      </w:r>
      <w:r>
        <w:t xml:space="preserve"> El botón del mismo nombre arma la hoja A4 con lo que tengas en pantalla en ese momento. «← Volver al cálculo» te devuelve a los campos sin perder nada.</w:t>
      </w:r>
    </w:p>
    <w:p>
      <w:pPr/>
      <w:r>
        <w:t xml:space="preserve">Cada herramienta guarda su propia dirección. Si entras a Crow-AMSAA, la barra del navegador queda en </w:t>
      </w:r>
      <w:r>
        <w:rPr>
          <w:rStyle w:val="CodeChar"/>
        </w:rPr>
        <w:t xml:space="preserve">#crow</w:t>
      </w:r>
      <w:r>
        <w:t xml:space="preserve">, de modo que puedes marcar como favorita la herramienta que más uses y abrirla directo. Los datos que escribes se pierden al recargar la página, así que si vas a trabajar un caso largo, genera el informe antes de cerrar.</w:t>
      </w:r>
    </w:p>
    <w:p>
      <w:pPr>
        <w:pStyle w:val="Heading2"/>
      </w:pPr>
      <w:r>
        <w:t xml:space="preserve">Cómo ingresar los datos</w:t>
      </w:r>
    </w:p>
    <w:p>
      <w:pPr/>
      <w:r>
        <w:t xml:space="preserve">Todos los tiempos van en </w:t>
      </w:r>
      <w:r>
        <w:rPr>
          <w:b/>
        </w:rPr>
        <w:t xml:space="preserve">horas</w:t>
      </w:r>
      <w:r>
        <w:t xml:space="preserve">, sin excepción. Si tu dato viene en días, multiplica por 24 antes de pegarlo; mezclar unidades es el error que más distorsiona los resultados.</w:t>
      </w:r>
    </w:p>
    <w:p>
      <w:pPr/>
      <w:r>
        <w:rPr>
          <w:b/>
        </w:rPr>
        <w:t xml:space="preserve">Decimales.</w:t>
      </w:r>
      <w:r>
        <w:t xml:space="preserve"> Usa punto en los campos numéricos (</w:t>
      </w:r>
      <w:r>
        <w:rPr>
          <w:rStyle w:val="CodeChar"/>
        </w:rPr>
        <w:t xml:space="preserve">2.5</w:t>
      </w:r>
      <w:r>
        <w:t xml:space="preserve">, no </w:t>
      </w:r>
      <w:r>
        <w:rPr>
          <w:rStyle w:val="CodeChar"/>
        </w:rPr>
        <w:t xml:space="preserve">2,5</w:t>
      </w:r>
      <w:r>
        <w:t xml:space="preserve">). Los resultados sí se muestran con coma, según el formato chileno.</w:t>
      </w:r>
    </w:p>
    <w:p>
      <w:pPr/>
      <w:r>
        <w:rPr>
          <w:b/>
        </w:rPr>
        <w:t xml:space="preserve">Listas de tiempos.</w:t>
      </w:r>
      <w:r>
        <w:t xml:space="preserve"> Los campos de texto largo aceptan valores separados por salto de línea, coma, punto y coma o espacio. Puedes pegar una columna copiada directo desde Excel.</w:t>
      </w:r>
    </w:p>
    <w:p>
      <w:pPr/>
      <w:r>
        <w:rPr>
          <w:b/>
        </w:rPr>
        <w:t xml:space="preserve">Suspensiones.</w:t>
      </w:r>
      <w:r>
        <w:t xml:space="preserve"> Solo el módulo de Weibull las acepta. Una suspensión es una unidad que salió de servicio sin fallar: se cambió por otra causa, se retiró, o sigue operando al cierre del período. Se marca agregando </w:t>
      </w:r>
      <w:r>
        <w:rPr>
          <w:rStyle w:val="CodeChar"/>
        </w:rPr>
        <w:t xml:space="preserve">S</w:t>
      </w:r>
      <w:r>
        <w:t xml:space="preserve"> después del tiempo.</w:t>
      </w:r>
    </w:p>
    <w:p>
      <w:pPr>
        <w:pStyle w:val="Code"/>
      </w:pPr>
      <w:r>
        <w:t xml:space="preserve">4120</w:t>
        <w:br/>
        <w:t xml:space="preserve">6890</w:t>
        <w:br/>
        <w:t xml:space="preserve">7310 S</w:t>
        <w:br/>
        <w:t xml:space="preserve">9450</w:t>
      </w:r>
    </w:p>
    <w:p>
      <w:pPr/>
      <w:r>
        <w:t xml:space="preserve">En ese ejemplo hay tres fallas y una suspensión a las 7.310 h. Ignorar las suspensiones y contarlas como fallas infla la tasa de falla y subestima la vida característica, por eso vale la pena marcarlas.</w:t>
      </w:r>
    </w:p>
    <w:p>
      <w:pPr/>
      <w:r>
        <w:rPr>
          <w:b/>
        </w:rPr>
        <w:t xml:space="preserve">Datos incompletos.</w:t>
      </w:r>
      <w:r>
        <w:t xml:space="preserve"> Si una lista tiene menos valores de los que el método necesita, aparece un aviso en naranjo en vez de un resultado: dos fallas como mínimo en Weibull, tres tiempos en Crow-AMSAA y tres intervenciones en mantenibilidad. Los valores negativos o no numéricos se descartan en silencio, así que revisa el contador de valores que aparece en el informe para confirmar que entraron todos.</w:t>
      </w:r>
    </w:p>
    <w:p>
      <w:pPr>
        <w:pStyle w:val="Heading2"/>
      </w:pPr>
      <w:r>
        <w:t xml:space="preserve">Vida del componente</w:t>
      </w:r>
    </w:p>
    <w:p>
      <w:pPr/>
      <w:r>
        <w:t xml:space="preserve">Estas tres herramientas trabajan sobre ítems no reparables o sobre el componente que define la vida del equipo: un rodamiento, una biela, un sello, una tarjeta.</w:t>
      </w:r>
    </w:p>
    <w:tbl>
      <w:tblPr>
        <w:tblStyle w:val="TableGrid"/>
        <w:tblW w:w="0" w:type="auto"/>
        <w:tblLayout w:type="fixed"/>
        <w:tblLook w:val="04A0" w:firstRow="1" w:lastRow="0" w:firstColumn="0" w:lastColumn="0" w:noHBand="0" w:noVBand="1"/>
      </w:tblPr>
      <w:tblGrid>
        <w:gridCol w:w="1621"/>
        <w:gridCol w:w="1819"/>
        <w:gridCol w:w="2660"/>
        <w:gridCol w:w="3260"/>
      </w:tblGrid>
      <w:tr>
        <w:trPr>
          <w:tblHeader/>
        </w:trPr>
        <w:tc>
          <w:tcPr>
            <w:tcW w:w="1621" w:type="dxa"/>
            <w:shd w:val="clear" w:color="auto" w:fill="F2F2F2"/>
          </w:tcPr>
          <w:p>
            <w:pPr/>
            <w:r>
              <w:t xml:space="preserve">Herramienta</w:t>
            </w:r>
          </w:p>
        </w:tc>
        <w:tc>
          <w:tcPr>
            <w:tcW w:w="1819" w:type="dxa"/>
            <w:shd w:val="clear" w:color="auto" w:fill="F2F2F2"/>
          </w:tcPr>
          <w:p>
            <w:pPr/>
            <w:r>
              <w:t xml:space="preserve">Qué pide</w:t>
            </w:r>
          </w:p>
        </w:tc>
        <w:tc>
          <w:tcPr>
            <w:tcW w:w="2660" w:type="dxa"/>
            <w:shd w:val="clear" w:color="auto" w:fill="F2F2F2"/>
          </w:tcPr>
          <w:p>
            <w:pPr/>
            <w:r>
              <w:t xml:space="preserve">Qué entrega</w:t>
            </w:r>
          </w:p>
        </w:tc>
        <w:tc>
          <w:tcPr>
            <w:tcW w:w="3260" w:type="dxa"/>
            <w:shd w:val="clear" w:color="auto" w:fill="F2F2F2"/>
          </w:tcPr>
          <w:p>
            <w:pPr/>
            <w:r>
              <w:t xml:space="preserve">Cuándo usarla</w:t>
            </w:r>
          </w:p>
        </w:tc>
      </w:tr>
      <w:tr>
        <w:tc>
          <w:tcPr>
            <w:tcW w:w="1621" w:type="dxa"/>
          </w:tcPr>
          <w:p>
            <w:pPr/>
            <w:r>
              <w:t xml:space="preserve">1. Confiabilidad por distribución</w:t>
            </w:r>
          </w:p>
        </w:tc>
        <w:tc>
          <w:tcPr>
            <w:tcW w:w="1819" w:type="dxa"/>
          </w:tcPr>
          <w:p>
            <w:pPr/>
            <w:r>
              <w:t xml:space="preserve">Distribución, sus parámetros y el tiempo de misión</w:t>
            </w:r>
          </w:p>
        </w:tc>
        <w:tc>
          <w:tcPr>
            <w:tcW w:w="2660" w:type="dxa"/>
          </w:tcPr>
          <w:p>
            <w:pPr/>
            <w:r>
              <w:t xml:space="preserve">R(t), F(t), f(t), h(t), MTTF y vida B10, con la curva de confiabilidad</w:t>
            </w:r>
          </w:p>
        </w:tc>
        <w:tc>
          <w:tcPr>
            <w:tcW w:w="3260" w:type="dxa"/>
          </w:tcPr>
          <w:p>
            <w:pPr/>
            <w:r>
              <w:t xml:space="preserve">Ya conoces β y η (de un estudio previo o del fabricante) y necesitas la probabilidad de llegar a una fecha</w:t>
            </w:r>
          </w:p>
        </w:tc>
      </w:tr>
      <w:tr>
        <w:tc>
          <w:tcPr>
            <w:tcW w:w="1621" w:type="dxa"/>
          </w:tcPr>
          <w:p>
            <w:pPr/>
            <w:r>
              <w:t xml:space="preserve">2. Análisis de Weibull</w:t>
            </w:r>
          </w:p>
        </w:tc>
        <w:tc>
          <w:tcPr>
            <w:tcW w:w="1819" w:type="dxa"/>
          </w:tcPr>
          <w:p>
            <w:pPr/>
            <w:r>
              <w:t xml:space="preserve">Lista de tiempos a falla, con suspensiones marcadas</w:t>
            </w:r>
          </w:p>
        </w:tc>
        <w:tc>
          <w:tcPr>
            <w:tcW w:w="2660" w:type="dxa"/>
          </w:tcPr>
          <w:p>
            <w:pPr/>
            <w:r>
              <w:t xml:space="preserve">β y η por dos métodos, R², MTTF, B10 y el papel de probabilidad</w:t>
            </w:r>
          </w:p>
        </w:tc>
        <w:tc>
          <w:tcPr>
            <w:tcW w:w="3260" w:type="dxa"/>
          </w:tcPr>
          <w:p>
            <w:pPr/>
            <w:r>
              <w:t xml:space="preserve">Tienes historial de fallas y quieres saber si hay desgaste antes de fijar o eliminar un intervalo</w:t>
            </w:r>
          </w:p>
        </w:tc>
      </w:tr>
      <w:tr>
        <w:tc>
          <w:tcPr>
            <w:tcW w:w="1621" w:type="dxa"/>
          </w:tcPr>
          <w:p>
            <w:pPr/>
            <w:r>
              <w:t xml:space="preserve">3. Weibull condicional</w:t>
            </w:r>
          </w:p>
        </w:tc>
        <w:tc>
          <w:tcPr>
            <w:tcW w:w="1819" w:type="dxa"/>
          </w:tcPr>
          <w:p>
            <w:pPr/>
            <w:r>
              <w:t xml:space="preserve">β, η, edad actual y período adicional</w:t>
            </w:r>
          </w:p>
        </w:tc>
        <w:tc>
          <w:tcPr>
            <w:tcW w:w="2660" w:type="dxa"/>
          </w:tcPr>
          <w:p>
            <w:pPr/>
            <w:r>
              <w:t xml:space="preserve">Confiabilidad condicional, aumento del riesgo y comparación contra un equipo nuevo</w:t>
            </w:r>
          </w:p>
        </w:tc>
        <w:tc>
          <w:tcPr>
            <w:tcW w:w="3260" w:type="dxa"/>
          </w:tcPr>
          <w:p>
            <w:pPr/>
            <w:r>
              <w:t xml:space="preserve">Te piden extender un intervalo y necesitas cuantificar cuánto riesgo agrega</w:t>
            </w:r>
          </w:p>
        </w:tc>
      </w:tr>
    </w:tbl>
    <w:p>
      <w:pPr/>
      <w:r>
        <w:rPr>
          <w:b/>
        </w:rPr>
        <w:t xml:space="preserve">Orden natural de trabajo.</w:t>
      </w:r>
      <w:r>
        <w:t xml:space="preserve"> Primero corre el análisis de Weibull con tus tiempos reales; de ahí salen β y η. Esos dos valores alimentan las otras dos herramientas. Si pones parámetros de catálogo en vez de los tuyos, el resultado describe la población del fabricante, no tu parque.</w:t>
      </w:r>
    </w:p>
    <w:p>
      <w:pPr/>
      <w:r>
        <w:rPr>
          <w:b/>
        </w:rPr>
        <w:t xml:space="preserve">El contraste RRX contra MLE.</w:t>
      </w:r>
      <w:r>
        <w:t xml:space="preserve"> La herramienta 2 entrega β por regresión de rangos medianos y por máxima verosimilitud. Cuando difieren más de 20 % aparece un aviso: con pocas fallas o censura fuerte eso es normal, y MLE suele ser el valor más confiable de los dos. Si difieren mucho con muchas fallas, revisa si hay datos mal registrados.</w:t>
      </w:r>
    </w:p>
    <w:p>
      <w:pPr>
        <w:pStyle w:val="Heading2"/>
      </w:pPr>
      <w:r>
        <w:t xml:space="preserve">Sistema reparable</w:t>
      </w:r>
    </w:p>
    <w:p>
      <w:pPr/>
      <w:r>
        <w:t xml:space="preserve">Aquí entra el equipo completo: el compresor, el motor, la estación. El sistema se repara y vuelve a operar, por lo que el tiempo corre de forma continua y las fallas se cuentan sobre ese eje.</w:t>
      </w:r>
    </w:p>
    <w:tbl>
      <w:tblPr>
        <w:tblStyle w:val="TableGrid"/>
        <w:tblW w:w="0" w:type="auto"/>
        <w:tblLayout w:type="fixed"/>
        <w:tblLook w:val="04A0" w:firstRow="1" w:lastRow="0" w:firstColumn="0" w:lastColumn="0" w:noHBand="0" w:noVBand="1"/>
      </w:tblPr>
      <w:tblGrid>
        <w:gridCol w:w="1740"/>
        <w:gridCol w:w="2247"/>
        <w:gridCol w:w="2770"/>
        <w:gridCol w:w="2603"/>
      </w:tblGrid>
      <w:tr>
        <w:trPr>
          <w:tblHeader/>
        </w:trPr>
        <w:tc>
          <w:tcPr>
            <w:tcW w:w="1740" w:type="dxa"/>
            <w:shd w:val="clear" w:color="auto" w:fill="F2F2F2"/>
          </w:tcPr>
          <w:p>
            <w:pPr/>
            <w:r>
              <w:t xml:space="preserve">Herramienta</w:t>
            </w:r>
          </w:p>
        </w:tc>
        <w:tc>
          <w:tcPr>
            <w:tcW w:w="2247" w:type="dxa"/>
            <w:shd w:val="clear" w:color="auto" w:fill="F2F2F2"/>
          </w:tcPr>
          <w:p>
            <w:pPr/>
            <w:r>
              <w:t xml:space="preserve">Qué pide</w:t>
            </w:r>
          </w:p>
        </w:tc>
        <w:tc>
          <w:tcPr>
            <w:tcW w:w="2770" w:type="dxa"/>
            <w:shd w:val="clear" w:color="auto" w:fill="F2F2F2"/>
          </w:tcPr>
          <w:p>
            <w:pPr/>
            <w:r>
              <w:t xml:space="preserve">Qué entrega</w:t>
            </w:r>
          </w:p>
        </w:tc>
        <w:tc>
          <w:tcPr>
            <w:tcW w:w="2603" w:type="dxa"/>
            <w:shd w:val="clear" w:color="auto" w:fill="F2F2F2"/>
          </w:tcPr>
          <w:p>
            <w:pPr/>
            <w:r>
              <w:t xml:space="preserve">Cuándo usarla</w:t>
            </w:r>
          </w:p>
        </w:tc>
      </w:tr>
      <w:tr>
        <w:tc>
          <w:tcPr>
            <w:tcW w:w="1740" w:type="dxa"/>
          </w:tcPr>
          <w:p>
            <w:pPr/>
            <w:r>
              <w:t xml:space="preserve">4. MTBF de campo con confianza</w:t>
            </w:r>
          </w:p>
        </w:tc>
        <w:tc>
          <w:tcPr>
            <w:tcW w:w="2247" w:type="dxa"/>
          </w:tcPr>
          <w:p>
            <w:pPr/>
            <w:r>
              <w:t xml:space="preserve">Horas-unidad acumuladas, número de fallas, nivel de confianza y tipo de cierre</w:t>
            </w:r>
          </w:p>
        </w:tc>
        <w:tc>
          <w:tcPr>
            <w:tcW w:w="2770" w:type="dxa"/>
          </w:tcPr>
          <w:p>
            <w:pPr/>
            <w:r>
              <w:t xml:space="preserve">MTBF puntual, límites unilaterales y bilaterales por χ², y tabla de sensibilidad</w:t>
            </w:r>
          </w:p>
        </w:tc>
        <w:tc>
          <w:tcPr>
            <w:tcW w:w="2603" w:type="dxa"/>
          </w:tcPr>
          <w:p>
            <w:pPr/>
            <w:r>
              <w:t xml:space="preserve">Vas a informar un MTBF y necesitas decir con qué respaldo estadístico lo afirmas</w:t>
            </w:r>
          </w:p>
        </w:tc>
      </w:tr>
      <w:tr>
        <w:tc>
          <w:tcPr>
            <w:tcW w:w="1740" w:type="dxa"/>
          </w:tcPr>
          <w:p>
            <w:pPr/>
            <w:r>
              <w:t xml:space="preserve">5. Crow-AMSAA y tendencia</w:t>
            </w:r>
          </w:p>
        </w:tc>
        <w:tc>
          <w:tcPr>
            <w:tcW w:w="2247" w:type="dxa"/>
          </w:tcPr>
          <w:p>
            <w:pPr/>
            <w:r>
              <w:t xml:space="preserve">Tiempos acumulados de falla, tiempo total del período y horizonte de proyección</w:t>
            </w:r>
          </w:p>
        </w:tc>
        <w:tc>
          <w:tcPr>
            <w:tcW w:w="2770" w:type="dxa"/>
          </w:tcPr>
          <w:p>
            <w:pPr/>
            <w:r>
              <w:t xml:space="preserve">β, λ, MTBF acumulado e instantáneo, estadístico de Laplace y fallas proyectadas</w:t>
            </w:r>
          </w:p>
        </w:tc>
        <w:tc>
          <w:tcPr>
            <w:tcW w:w="2603" w:type="dxa"/>
          </w:tcPr>
          <w:p>
            <w:pPr/>
            <w:r>
              <w:t xml:space="preserve">Quieres saber si el equipo está empeorando, mejorando o estable, y cuántas fallas esperar</w:t>
            </w:r>
          </w:p>
        </w:tc>
      </w:tr>
      <w:tr>
        <w:tc>
          <w:tcPr>
            <w:tcW w:w="1740" w:type="dxa"/>
          </w:tcPr>
          <w:p>
            <w:pPr/>
            <w:r>
              <w:t xml:space="preserve">6. Disponibilidad</w:t>
            </w:r>
          </w:p>
        </w:tc>
        <w:tc>
          <w:tcPr>
            <w:tcW w:w="2247" w:type="dxa"/>
          </w:tcPr>
          <w:p>
            <w:pPr/>
            <w:r>
              <w:t xml:space="preserve">MTBF, MTTR correctivo, demora logística y meta</w:t>
            </w:r>
          </w:p>
        </w:tc>
        <w:tc>
          <w:tcPr>
            <w:tcW w:w="2770" w:type="dxa"/>
          </w:tcPr>
          <w:p>
            <w:pPr/>
            <w:r>
              <w:t xml:space="preserve">Aᵢ, A₀, horas abajo al año, MDT máximo admisible y MTBF mínimo, con la curva de iso-disponibilidad</w:t>
            </w:r>
          </w:p>
        </w:tc>
        <w:tc>
          <w:tcPr>
            <w:tcW w:w="2603" w:type="dxa"/>
          </w:tcPr>
          <w:p>
            <w:pPr/>
            <w:r>
              <w:t xml:space="preserve">Te comprometen una meta de disponibilidad y necesitas saber qué palanca mover</w:t>
            </w:r>
          </w:p>
        </w:tc>
      </w:tr>
      <w:tr>
        <w:tc>
          <w:tcPr>
            <w:tcW w:w="1740" w:type="dxa"/>
          </w:tcPr>
          <w:p>
            <w:pPr/>
            <w:r>
              <w:t xml:space="preserve">7. Redundancia activa m de n</w:t>
            </w:r>
          </w:p>
        </w:tc>
        <w:tc>
          <w:tcPr>
            <w:tcW w:w="2247" w:type="dxa"/>
          </w:tcPr>
          <w:p>
            <w:pPr/>
            <w:r>
              <w:t xml:space="preserve">Unidades instaladas, requeridas, MTBF y MTTR por unidad, tiempo de misión</w:t>
            </w:r>
          </w:p>
        </w:tc>
        <w:tc>
          <w:tcPr>
            <w:tcW w:w="2770" w:type="dxa"/>
          </w:tcPr>
          <w:p>
            <w:pPr/>
            <w:r>
              <w:t xml:space="preserve">λ efectiva, MTBF del arreglo con y sin reparación, confiabilidad y disponibilidad del conjunto</w:t>
            </w:r>
          </w:p>
        </w:tc>
        <w:tc>
          <w:tcPr>
            <w:tcW w:w="2603" w:type="dxa"/>
          </w:tcPr>
          <w:p>
            <w:pPr/>
            <w:r>
              <w:t xml:space="preserve">Evalúas cuántos compresores dejar en línea, o qué pasa si uno sale a mantención</w:t>
            </w:r>
          </w:p>
        </w:tc>
      </w:tr>
    </w:tbl>
    <w:p>
      <w:pPr/>
      <w:r>
        <w:rPr>
          <w:b/>
        </w:rPr>
        <w:t xml:space="preserve">Horas-unidad, no horas de calendario.</w:t>
      </w:r>
      <w:r>
        <w:t xml:space="preserve"> En la herramienta 4, si tienes seis equipos operando un año, son 6 × 8.760 = 52.560 horas-unidad, no 8.760. Es el error más común y multiplica el MTBF por el número de equipos.</w:t>
      </w:r>
    </w:p>
    <w:p>
      <w:pPr/>
      <w:r>
        <w:rPr>
          <w:b/>
        </w:rPr>
        <w:t xml:space="preserve">Cierre por tiempo o por falla.</w:t>
      </w:r>
      <w:r>
        <w:t xml:space="preserve"> Si cortaste el análisis en una fecha (fin de mes, fin de año), es cierre por tiempo. Si cortaste justo cuando ocurrió la última falla, es por falla. Cambia los grados de libertad del χ² y, con pocas fallas, mueve el límite inferior de forma apreciable.</w:t>
      </w:r>
    </w:p>
    <w:p>
      <w:pPr/>
      <w:r>
        <w:rPr>
          <w:b/>
        </w:rPr>
        <w:t xml:space="preserve">La combinación útil.</w:t>
      </w:r>
      <w:r>
        <w:t xml:space="preserve"> Crow-AMSAA te dice si el equipo se está deteriorando; la herramienta 4 te dice cuánta confianza tiene el número que vas a informar. Las dos juntas cubren la pregunta completa: cuál es el MTBF y si es estable.</w:t>
      </w:r>
    </w:p>
    <w:p>
      <w:pPr>
        <w:pStyle w:val="Heading2"/>
      </w:pPr>
      <w:r>
        <w:t xml:space="preserve">Soporte y logística</w:t>
      </w:r>
    </w:p>
    <w:tbl>
      <w:tblPr>
        <w:tblStyle w:val="TableGrid"/>
        <w:tblW w:w="0" w:type="auto"/>
        <w:tblLayout w:type="fixed"/>
        <w:tblLook w:val="04A0" w:firstRow="1" w:lastRow="0" w:firstColumn="0" w:lastColumn="0" w:noHBand="0" w:noVBand="1"/>
      </w:tblPr>
      <w:tblGrid>
        <w:gridCol w:w="1787"/>
        <w:gridCol w:w="1922"/>
        <w:gridCol w:w="3007"/>
        <w:gridCol w:w="2644"/>
      </w:tblGrid>
      <w:tr>
        <w:trPr>
          <w:tblHeader/>
        </w:trPr>
        <w:tc>
          <w:tcPr>
            <w:tcW w:w="1787" w:type="dxa"/>
            <w:shd w:val="clear" w:color="auto" w:fill="F2F2F2"/>
          </w:tcPr>
          <w:p>
            <w:pPr/>
            <w:r>
              <w:t xml:space="preserve">Herramienta</w:t>
            </w:r>
          </w:p>
        </w:tc>
        <w:tc>
          <w:tcPr>
            <w:tcW w:w="1922" w:type="dxa"/>
            <w:shd w:val="clear" w:color="auto" w:fill="F2F2F2"/>
          </w:tcPr>
          <w:p>
            <w:pPr/>
            <w:r>
              <w:t xml:space="preserve">Qué pide</w:t>
            </w:r>
          </w:p>
        </w:tc>
        <w:tc>
          <w:tcPr>
            <w:tcW w:w="3007" w:type="dxa"/>
            <w:shd w:val="clear" w:color="auto" w:fill="F2F2F2"/>
          </w:tcPr>
          <w:p>
            <w:pPr/>
            <w:r>
              <w:t xml:space="preserve">Qué entrega</w:t>
            </w:r>
          </w:p>
        </w:tc>
        <w:tc>
          <w:tcPr>
            <w:tcW w:w="2644" w:type="dxa"/>
            <w:shd w:val="clear" w:color="auto" w:fill="F2F2F2"/>
          </w:tcPr>
          <w:p>
            <w:pPr/>
            <w:r>
              <w:t xml:space="preserve">Cuándo usarla</w:t>
            </w:r>
          </w:p>
        </w:tc>
      </w:tr>
      <w:tr>
        <w:tc>
          <w:tcPr>
            <w:tcW w:w="1787" w:type="dxa"/>
          </w:tcPr>
          <w:p>
            <w:pPr/>
            <w:r>
              <w:t xml:space="preserve">8. Repuestos por Poisson</w:t>
            </w:r>
          </w:p>
        </w:tc>
        <w:tc>
          <w:tcPr>
            <w:tcW w:w="1922" w:type="dxa"/>
          </w:tcPr>
          <w:p>
            <w:pPr/>
            <w:r>
              <w:t xml:space="preserve">Unidades en servicio, MTBF del ítem, período de cobertura y confianza</w:t>
            </w:r>
          </w:p>
        </w:tc>
        <w:tc>
          <w:tcPr>
            <w:tcW w:w="3007" w:type="dxa"/>
          </w:tcPr>
          <w:p>
            <w:pPr/>
            <w:r>
              <w:t xml:space="preserve">Demanda esperada, repuestos requeridos, probabilidad de quiebre y tabla de cobertura marginal</w:t>
            </w:r>
          </w:p>
        </w:tc>
        <w:tc>
          <w:tcPr>
            <w:tcW w:w="2644" w:type="dxa"/>
          </w:tcPr>
          <w:p>
            <w:pPr/>
            <w:r>
              <w:t xml:space="preserve">Defines un stock mínimo o justificas una compra ante abastecimiento</w:t>
            </w:r>
          </w:p>
        </w:tc>
      </w:tr>
      <w:tr>
        <w:tc>
          <w:tcPr>
            <w:tcW w:w="1787" w:type="dxa"/>
          </w:tcPr>
          <w:p>
            <w:pPr/>
            <w:r>
              <w:t xml:space="preserve">9. Mantenibilidad lognormal</w:t>
            </w:r>
          </w:p>
        </w:tc>
        <w:tc>
          <w:tcPr>
            <w:tcW w:w="1922" w:type="dxa"/>
          </w:tcPr>
          <w:p>
            <w:pPr/>
            <w:r>
              <w:t xml:space="preserve">Lista de tiempos de reparación</w:t>
            </w:r>
          </w:p>
        </w:tc>
        <w:tc>
          <w:tcPr>
            <w:tcW w:w="3007" w:type="dxa"/>
          </w:tcPr>
          <w:p>
            <w:pPr/>
            <w:r>
              <w:t xml:space="preserve">MTTR, mediana, Mmax al percentil elegido y la curva contra los datos reales</w:t>
            </w:r>
          </w:p>
        </w:tc>
        <w:tc>
          <w:tcPr>
            <w:tcW w:w="2644" w:type="dxa"/>
          </w:tcPr>
          <w:p>
            <w:pPr/>
            <w:r>
              <w:t xml:space="preserve">Dimensionas una ventana de mantención o negocias un tiempo de respuesta</w:t>
            </w:r>
          </w:p>
        </w:tc>
      </w:tr>
    </w:tbl>
    <w:p>
      <w:pPr/>
      <w:r>
        <w:rPr>
          <w:b/>
        </w:rPr>
        <w:t xml:space="preserve">El período de cobertura es el lead time, no el año.</w:t>
      </w:r>
      <w:r>
        <w:t xml:space="preserve"> En la herramienta 8, lo que debes cubrir es el tiempo que demora reponer el repuesto desde que se consume. Si el ítem llega en tres meses, usa 2.190 h, no 8.760. Poner el año completo infla el stock sin necesidad.</w:t>
      </w:r>
    </w:p>
    <w:p>
      <w:pPr/>
      <w:r>
        <w:rPr>
          <w:b/>
        </w:rPr>
        <w:t xml:space="preserve">La tabla de cobertura marginal.</w:t>
      </w:r>
      <w:r>
        <w:t xml:space="preserve"> Muestra cuánto agrega cada repuesto adicional. Es el argumento concreto frente a abastecimiento: cuando el repuesto siguiente suma menos de un punto porcentual de cobertura, el gasto ya no se justifica.</w:t>
      </w:r>
    </w:p>
    <w:p>
      <w:pPr/>
      <w:r>
        <w:rPr>
          <w:b/>
        </w:rPr>
        <w:t xml:space="preserve">MTTR no es tiempo de indisponibilidad.</w:t>
      </w:r>
      <w:r>
        <w:t xml:space="preserve"> La herramienta 9 espera tiempos de reparación activa. Si tus registros incluyen la espera de repuestos, permisos o cuadrilla, lo que obtienes es MDT y debe entrar en la casilla de demora logística de la herramienta 6, no aquí.</w:t>
      </w:r>
    </w:p>
    <w:p>
      <w:pPr>
        <w:pStyle w:val="Heading2"/>
      </w:pPr>
      <w:r>
        <w:t xml:space="preserve">Generar e imprimir el informe</w:t>
      </w:r>
    </w:p>
    <w:p>
      <w:pPr/>
      <w:r>
        <w:t xml:space="preserve">El informe toma los datos que tengas en pantalla en ese momento, así que termina el cálculo antes de generarlo.</w:t>
      </w:r>
    </w:p>
    <w:p>
      <w:pPr>
        <w:pStyle w:val="ListParagraph"/>
        <w:numPr>
          <w:ilvl w:val="0"/>
          <w:numId w:val="3"/>
        </w:numPr>
      </w:pPr>
      <w:r>
        <w:t xml:space="preserve">Con el resultado en pantalla, presiona </w:t>
      </w:r>
      <w:r>
        <w:rPr>
          <w:b/>
        </w:rPr>
        <w:t xml:space="preserve">Informe ejecutivo</w:t>
      </w:r>
      <w:r>
        <w:t xml:space="preserve">.</w:t>
      </w:r>
    </w:p>
    <w:p>
      <w:pPr>
        <w:pStyle w:val="ListParagraph"/>
        <w:numPr>
          <w:ilvl w:val="0"/>
          <w:numId w:val="3"/>
        </w:numPr>
      </w:pPr>
      <w:r>
        <w:t xml:space="preserve">Llena los tres campos de la barra superior: equipo o instalación, elaborado por y código del documento. Se actualizan en la hoja a medida que escribes.</w:t>
      </w:r>
    </w:p>
    <w:p>
      <w:pPr>
        <w:pStyle w:val="ListParagraph"/>
        <w:numPr>
          <w:ilvl w:val="0"/>
          <w:numId w:val="3"/>
        </w:numPr>
      </w:pPr>
      <w:r>
        <w:t xml:space="preserve">Revisa la hoja. Si falta un dato o quieres cambiar un supuesto, vuelve con «← Volver al cálculo», ajusta y genera de nuevo.</w:t>
      </w:r>
    </w:p>
    <w:p>
      <w:pPr>
        <w:pStyle w:val="ListParagraph"/>
        <w:numPr>
          <w:ilvl w:val="0"/>
          <w:numId w:val="3"/>
        </w:numPr>
      </w:pPr>
      <w:r>
        <w:t xml:space="preserve">Imprime con Ctrl+P (⌘+P en Mac). En el diálogo, elige A4, orientación vertical y escala 100 %.</w:t>
      </w:r>
    </w:p>
    <w:p>
      <w:pPr/>
      <w:r>
        <w:t xml:space="preserve">La hoja contiene, en una sola página: encabezado ENAP-IPM con código y fecha, equipo o instalación, tabla completa de datos de entrada, cuadro de resultados, el gráfico en escala de grises, la lectura técnica, el método con sus supuestos y el pie de firma.</w:t>
      </w:r>
    </w:p>
    <w:p>
      <w:pPr/>
      <w:r>
        <w:rPr>
          <w:b/>
        </w:rPr>
        <w:t xml:space="preserve">Limitación que debes conocer.</w:t>
      </w:r>
      <w:r>
        <w:t xml:space="preserve"> El visor de artifacts de Claude bloquea el diálogo de impresión: ahí puedes ver el informe, pero no imprimirlo. Para imprimir o guardar como PDF, usa el archivo </w:t>
      </w:r>
      <w:r>
        <w:rPr>
          <w:rStyle w:val="CodeChar"/>
        </w:rPr>
        <w:t xml:space="preserve">toolkit-confiabilidad.html</w:t>
      </w:r>
      <w:r>
        <w:t xml:space="preserve"> guardado en tu equipo. Es el mismo contenido y la misma hoja.</w:t>
      </w:r>
    </w:p>
    <w:p>
      <w:pPr/>
      <w:r>
        <w:rPr>
          <w:b/>
        </w:rPr>
        <w:t xml:space="preserve">Si sale en más de una página.</w:t>
      </w:r>
      <w:r>
        <w:t xml:space="preserve"> Casi siempre es porque el navegador trae márgenes grandes por defecto. En el diálogo de impresión, baja los márgenes a «mínimos» o deja la escala en 95 %. Las tablas largas de sensibilidad no se incluyen en el informe justamente para que quepa en una hoja.</w:t>
      </w:r>
    </w:p>
    <w:p>
      <w:pPr>
        <w:pStyle w:val="Heading2"/>
      </w:pPr>
      <w:r>
        <w:t xml:space="preserve">Reglas rápidas de lectura</w:t>
      </w:r>
    </w:p>
    <w:p>
      <w:pPr/>
      <w:r>
        <w:rPr>
          <w:b/>
        </w:rPr>
        <w:t xml:space="preserve">El parámetro β de Weibull</w:t>
      </w:r>
      <w:r>
        <w:t xml:space="preserve"> es el que decide si una tarea preventiva tiene sustento.</w:t>
      </w:r>
    </w:p>
    <w:tbl>
      <w:tblPr>
        <w:tblStyle w:val="TableGrid"/>
        <w:tblW w:w="0" w:type="auto"/>
        <w:tblLayout w:type="fixed"/>
        <w:tblLook w:val="04A0" w:firstRow="1" w:lastRow="0" w:firstColumn="0" w:lastColumn="0" w:noHBand="0" w:noVBand="1"/>
      </w:tblPr>
      <w:tblGrid>
        <w:gridCol w:w="866"/>
        <w:gridCol w:w="3574"/>
        <w:gridCol w:w="4920"/>
      </w:tblGrid>
      <w:tr>
        <w:trPr>
          <w:tblHeader/>
        </w:trPr>
        <w:tc>
          <w:tcPr>
            <w:tcW w:w="866" w:type="dxa"/>
            <w:shd w:val="clear" w:color="auto" w:fill="F2F2F2"/>
          </w:tcPr>
          <w:p>
            <w:pPr/>
            <w:r>
              <w:t xml:space="preserve">Valor</w:t>
            </w:r>
          </w:p>
        </w:tc>
        <w:tc>
          <w:tcPr>
            <w:tcW w:w="3574" w:type="dxa"/>
            <w:shd w:val="clear" w:color="auto" w:fill="F2F2F2"/>
          </w:tcPr>
          <w:p>
            <w:pPr/>
            <w:r>
              <w:t xml:space="preserve">Qué significa</w:t>
            </w:r>
          </w:p>
        </w:tc>
        <w:tc>
          <w:tcPr>
            <w:tcW w:w="4920" w:type="dxa"/>
            <w:shd w:val="clear" w:color="auto" w:fill="F2F2F2"/>
          </w:tcPr>
          <w:p>
            <w:pPr/>
            <w:r>
              <w:t xml:space="preserve">Qué corresponde hacer</w:t>
            </w:r>
          </w:p>
        </w:tc>
      </w:tr>
      <w:tr>
        <w:tc>
          <w:tcPr>
            <w:tcW w:w="866" w:type="dxa"/>
          </w:tcPr>
          <w:p>
            <w:pPr/>
            <w:r>
              <w:t xml:space="preserve">β &lt; 1</w:t>
            </w:r>
          </w:p>
        </w:tc>
        <w:tc>
          <w:tcPr>
            <w:tcW w:w="3574" w:type="dxa"/>
          </w:tcPr>
          <w:p>
            <w:pPr/>
            <w:r>
              <w:t xml:space="preserve">Mortalidad infantil: el riesgo baja con la edad</w:t>
            </w:r>
          </w:p>
        </w:tc>
        <w:tc>
          <w:tcPr>
            <w:tcW w:w="4920" w:type="dxa"/>
          </w:tcPr>
          <w:p>
            <w:pPr/>
            <w:r>
              <w:t xml:space="preserve">Revisar montaje, puesta en servicio y calidad de repuestos. Un reemplazo programado introduce fallas</w:t>
            </w:r>
          </w:p>
        </w:tc>
      </w:tr>
      <w:tr>
        <w:tc>
          <w:tcPr>
            <w:tcW w:w="866" w:type="dxa"/>
          </w:tcPr>
          <w:p>
            <w:pPr/>
            <w:r>
              <w:t xml:space="preserve">β ≈ 1</w:t>
            </w:r>
          </w:p>
        </w:tc>
        <w:tc>
          <w:tcPr>
            <w:tcW w:w="3574" w:type="dxa"/>
          </w:tcPr>
          <w:p>
            <w:pPr/>
            <w:r>
              <w:t xml:space="preserve">Tasa de falla constante; la edad no informa nada</w:t>
            </w:r>
          </w:p>
        </w:tc>
        <w:tc>
          <w:tcPr>
            <w:tcW w:w="4920" w:type="dxa"/>
          </w:tcPr>
          <w:p>
            <w:pPr/>
            <w:r>
              <w:t xml:space="preserve">Eliminar la tarea por tiempo. Corresponde condición o detección</w:t>
            </w:r>
          </w:p>
        </w:tc>
      </w:tr>
      <w:tr>
        <w:tc>
          <w:tcPr>
            <w:tcW w:w="866" w:type="dxa"/>
          </w:tcPr>
          <w:p>
            <w:pPr/>
            <w:r>
              <w:t xml:space="preserve">β &gt; 1</w:t>
            </w:r>
          </w:p>
        </w:tc>
        <w:tc>
          <w:tcPr>
            <w:tcW w:w="3574" w:type="dxa"/>
          </w:tcPr>
          <w:p>
            <w:pPr/>
            <w:r>
              <w:t xml:space="preserve">Desgaste; el riesgo crece con la edad</w:t>
            </w:r>
          </w:p>
        </w:tc>
        <w:tc>
          <w:tcPr>
            <w:tcW w:w="4920" w:type="dxa"/>
          </w:tcPr>
          <w:p>
            <w:pPr/>
            <w:r>
              <w:t xml:space="preserve">Un intervalo por tiempo se justifica. La vida B10 es un punto de partida para fijarlo</w:t>
            </w:r>
          </w:p>
        </w:tc>
      </w:tr>
    </w:tbl>
    <w:p>
      <w:pPr/>
      <w:r>
        <w:rPr>
          <w:b/>
        </w:rPr>
        <w:t xml:space="preserve">El estadístico de Laplace</w:t>
      </w:r>
      <w:r>
        <w:t xml:space="preserve"> pone a prueba la tendencia en Crow-AMSAA. Si el valor absoluto de U no supera 1,645, no se rechaza la hipótesis de tasa constante al 90 %: lo que ves puede ser ruido. Sobre ese umbral, U positivo confirma deterioro y U negativo confirma mejora.</w:t>
      </w:r>
    </w:p>
    <w:p>
      <w:pPr/>
      <w:r>
        <w:rPr>
          <w:b/>
        </w:rPr>
        <w:t xml:space="preserve">MTBF acumulado contra instantáneo.</w:t>
      </w:r>
      <w:r>
        <w:t xml:space="preserve"> El acumulado promedia todo el período y arrastra el pasado; el instantáneo describe el equipo hoy. Si β es distinto de 1, los dos se separan y el que debe ir en una decisión de mantención es el instantáneo. El acumulado sirve para comparar períodos cerrados.</w:t>
      </w:r>
    </w:p>
    <w:p>
      <w:pPr/>
      <w:r>
        <w:rPr>
          <w:b/>
        </w:rPr>
        <w:t xml:space="preserve">Aᵢ contra A₀.</w:t>
      </w:r>
      <w:r>
        <w:t xml:space="preserve"> La disponibilidad inherente usa solo el tiempo de reparación activa y responde a la pregunta de ingeniería: ¿cómo es el equipo? La operacional suma la espera de repuestos, permisos y cuadrilla, y responde a la pregunta de gestión: ¿cuánto produjo realmente? Cuando las dos se separan mucho, el problema no está en el equipo sino en la cadena de soporte.</w:t>
      </w:r>
    </w:p>
    <w:p>
      <w:pPr/>
      <w:r>
        <w:rPr>
          <w:b/>
        </w:rPr>
        <w:t xml:space="preserve">Límite inferior antes que valor puntual.</w:t>
      </w:r>
      <w:r>
        <w:t xml:space="preserve"> En un informe, el MTBF puntual es una estimación sin respaldo declarado. Decir «el MTBF supera 5.137 h con 80 % de confianza» es defendible; decir «el MTBF es 7.509 h» no lo es, sobre todo con menos de diez fallas.</w:t>
      </w:r>
    </w:p>
    <w:p>
      <w:pPr>
        <w:pStyle w:val="Heading2"/>
      </w:pPr>
      <w:r>
        <w:t xml:space="preserve">Límites y problemas frecuentes</w:t>
      </w:r>
    </w:p>
    <w:p>
      <w:pPr/>
      <w:r>
        <w:rPr>
          <w:b/>
        </w:rPr>
        <w:t xml:space="preserve">Qué no hace la herramienta.</w:t>
      </w:r>
      <w:r>
        <w:t xml:space="preserve"> No guarda datos entre sesiones, no se conecta a SAP ni a PI, no exporta a Excel, no hace simulación de eventos discretos ni predicción por conteo de partes (MIL-HDBK-217). Tampoco ajusta distribuciones distintas a Weibull, normal y exponencial, ni maneja censura por la izquierda o por intervalo.</w:t>
      </w:r>
    </w:p>
    <w:p>
      <w:pPr/>
      <w:r>
        <w:rPr>
          <w:b/>
        </w:rPr>
        <w:t xml:space="preserve">Supuestos que debes verificar antes de citar un resultado.</w:t>
      </w:r>
    </w:p>
    <w:p>
      <w:pPr>
        <w:pStyle w:val="ListParagraph"/>
        <w:numPr>
          <w:ilvl w:val="0"/>
          <w:numId w:val="4"/>
        </w:numPr>
      </w:pPr>
      <w:r>
        <w:t xml:space="preserve">Weibull y sus derivados asumen vida mínima γ = 0. Si el equipo tiene un período inicial sin fallas posibles, el ajuste de tres parámetros daría otro resultado.</w:t>
      </w:r>
    </w:p>
    <w:p>
      <w:pPr>
        <w:pStyle w:val="ListParagraph"/>
        <w:numPr>
          <w:ilvl w:val="0"/>
          <w:numId w:val="4"/>
        </w:numPr>
      </w:pPr>
      <w:r>
        <w:t xml:space="preserve">El módulo de MTBF asume tasa de falla constante. Si el análisis de Weibull te dio β claramente mayor que 1, ese MTBF describe el promedio del período, no el riesgo de hoy.</w:t>
      </w:r>
    </w:p>
    <w:p>
      <w:pPr>
        <w:pStyle w:val="ListParagraph"/>
        <w:numPr>
          <w:ilvl w:val="0"/>
          <w:numId w:val="4"/>
        </w:numPr>
      </w:pPr>
      <w:r>
        <w:t xml:space="preserve">Crow-AMSAA supone reparación mínima: el equipo queda igual que antes de la falla. Si hiciste una intervención mayor que lo dejó como nuevo, el período debe cortarse ahí.</w:t>
      </w:r>
    </w:p>
    <w:p>
      <w:pPr>
        <w:pStyle w:val="ListParagraph"/>
        <w:numPr>
          <w:ilvl w:val="0"/>
          <w:numId w:val="4"/>
        </w:numPr>
      </w:pPr>
      <w:r>
        <w:t xml:space="preserve">La redundancia con reparación supone cuadrilla disponible sin cola y conmutación perfecta. Con MTTR largos o una sola cuadrilla para varias unidades, el resultado es optimista.</w:t>
      </w:r>
    </w:p>
    <w:tbl>
      <w:tblPr>
        <w:tblStyle w:val="TableGrid"/>
        <w:tblW w:w="0" w:type="auto"/>
        <w:tblLayout w:type="fixed"/>
        <w:tblLook w:val="04A0" w:firstRow="1" w:lastRow="0" w:firstColumn="0" w:lastColumn="0" w:noHBand="0" w:noVBand="1"/>
      </w:tblPr>
      <w:tblGrid>
        <w:gridCol w:w="3115"/>
        <w:gridCol w:w="3444"/>
        <w:gridCol w:w="2801"/>
      </w:tblGrid>
      <w:tr>
        <w:trPr>
          <w:tblHeader/>
        </w:trPr>
        <w:tc>
          <w:tcPr>
            <w:tcW w:w="3115" w:type="dxa"/>
            <w:shd w:val="clear" w:color="auto" w:fill="F2F2F2"/>
          </w:tcPr>
          <w:p>
            <w:pPr/>
            <w:r>
              <w:t xml:space="preserve">Síntoma</w:t>
            </w:r>
          </w:p>
        </w:tc>
        <w:tc>
          <w:tcPr>
            <w:tcW w:w="3444" w:type="dxa"/>
            <w:shd w:val="clear" w:color="auto" w:fill="F2F2F2"/>
          </w:tcPr>
          <w:p>
            <w:pPr/>
            <w:r>
              <w:t xml:space="preserve">Causa probable</w:t>
            </w:r>
          </w:p>
        </w:tc>
        <w:tc>
          <w:tcPr>
            <w:tcW w:w="2801" w:type="dxa"/>
            <w:shd w:val="clear" w:color="auto" w:fill="F2F2F2"/>
          </w:tcPr>
          <w:p>
            <w:pPr/>
            <w:r>
              <w:t xml:space="preserve">Solución</w:t>
            </w:r>
          </w:p>
        </w:tc>
      </w:tr>
      <w:tr>
        <w:tc>
          <w:tcPr>
            <w:tcW w:w="3115" w:type="dxa"/>
          </w:tcPr>
          <w:p>
            <w:pPr/>
            <w:r>
              <w:t xml:space="preserve">MTBF diez veces mayor al esperado</w:t>
            </w:r>
          </w:p>
        </w:tc>
        <w:tc>
          <w:tcPr>
            <w:tcW w:w="3444" w:type="dxa"/>
          </w:tcPr>
          <w:p>
            <w:pPr/>
            <w:r>
              <w:t xml:space="preserve">Se ingresaron horas de calendario en vez de horas-unidad</w:t>
            </w:r>
          </w:p>
        </w:tc>
        <w:tc>
          <w:tcPr>
            <w:tcW w:w="2801" w:type="dxa"/>
          </w:tcPr>
          <w:p>
            <w:pPr/>
            <w:r>
              <w:t xml:space="preserve">Multiplicar por el número de equipos</w:t>
            </w:r>
          </w:p>
        </w:tc>
      </w:tr>
      <w:tr>
        <w:tc>
          <w:tcPr>
            <w:tcW w:w="3115" w:type="dxa"/>
          </w:tcPr>
          <w:p>
            <w:pPr/>
            <w:r>
              <w:t xml:space="preserve">β muy bajo sin explicación física</w:t>
            </w:r>
          </w:p>
        </w:tc>
        <w:tc>
          <w:tcPr>
            <w:tcW w:w="3444" w:type="dxa"/>
          </w:tcPr>
          <w:p>
            <w:pPr/>
            <w:r>
              <w:t xml:space="preserve">Suspensiones contadas como fallas</w:t>
            </w:r>
          </w:p>
        </w:tc>
        <w:tc>
          <w:tcPr>
            <w:tcW w:w="2801" w:type="dxa"/>
          </w:tcPr>
          <w:p>
            <w:pPr/>
            <w:r>
              <w:t xml:space="preserve">Marcarlas con </w:t>
            </w:r>
            <w:r>
              <w:rPr>
                <w:rStyle w:val="CodeChar"/>
              </w:rPr>
              <w:t xml:space="preserve">S</w:t>
            </w:r>
          </w:p>
        </w:tc>
      </w:tr>
      <w:tr>
        <w:tc>
          <w:tcPr>
            <w:tcW w:w="3115" w:type="dxa"/>
          </w:tcPr>
          <w:p>
            <w:pPr/>
            <w:r>
              <w:t xml:space="preserve">Aparece un aviso naranjo en vez del resultado</w:t>
            </w:r>
          </w:p>
        </w:tc>
        <w:tc>
          <w:tcPr>
            <w:tcW w:w="3444" w:type="dxa"/>
          </w:tcPr>
          <w:p>
            <w:pPr/>
            <w:r>
              <w:t xml:space="preserve">Faltan valores mínimos en la lista</w:t>
            </w:r>
          </w:p>
        </w:tc>
        <w:tc>
          <w:tcPr>
            <w:tcW w:w="2801" w:type="dxa"/>
          </w:tcPr>
          <w:p>
            <w:pPr/>
            <w:r>
              <w:t xml:space="preserve">Revisar separadores y el contador de valores</w:t>
            </w:r>
          </w:p>
        </w:tc>
      </w:tr>
      <w:tr>
        <w:tc>
          <w:tcPr>
            <w:tcW w:w="3115" w:type="dxa"/>
          </w:tcPr>
          <w:p>
            <w:pPr/>
            <w:r>
              <w:t xml:space="preserve">Los decimales se interpretan mal</w:t>
            </w:r>
          </w:p>
        </w:tc>
        <w:tc>
          <w:tcPr>
            <w:tcW w:w="3444" w:type="dxa"/>
          </w:tcPr>
          <w:p>
            <w:pPr/>
            <w:r>
              <w:t xml:space="preserve">Se usó coma en un campo numérico</w:t>
            </w:r>
          </w:p>
        </w:tc>
        <w:tc>
          <w:tcPr>
            <w:tcW w:w="2801" w:type="dxa"/>
          </w:tcPr>
          <w:p>
            <w:pPr/>
            <w:r>
              <w:t xml:space="preserve">Reemplazar por punto</w:t>
            </w:r>
          </w:p>
        </w:tc>
      </w:tr>
      <w:tr>
        <w:tc>
          <w:tcPr>
            <w:tcW w:w="3115" w:type="dxa"/>
          </w:tcPr>
          <w:p>
            <w:pPr/>
            <w:r>
              <w:t xml:space="preserve">El informe no imprime</w:t>
            </w:r>
          </w:p>
        </w:tc>
        <w:tc>
          <w:tcPr>
            <w:tcW w:w="3444" w:type="dxa"/>
          </w:tcPr>
          <w:p>
            <w:pPr/>
            <w:r>
              <w:t xml:space="preserve">Se está usando el visor de Claude</w:t>
            </w:r>
          </w:p>
        </w:tc>
        <w:tc>
          <w:tcPr>
            <w:tcW w:w="2801" w:type="dxa"/>
          </w:tcPr>
          <w:p>
            <w:pPr/>
            <w:r>
              <w:t xml:space="preserve">Abrir el archivo </w:t>
            </w:r>
            <w:r>
              <w:rPr>
                <w:rStyle w:val="CodeChar"/>
              </w:rPr>
              <w:t xml:space="preserve">.html</w:t>
            </w:r>
            <w:r>
              <w:t xml:space="preserve"> local</w:t>
            </w:r>
          </w:p>
        </w:tc>
      </w:tr>
      <w:tr>
        <w:tc>
          <w:tcPr>
            <w:tcW w:w="3115" w:type="dxa"/>
          </w:tcPr>
          <w:p>
            <w:pPr/>
            <w:r>
              <w:t xml:space="preserve">El informe sale en dos páginas</w:t>
            </w:r>
          </w:p>
        </w:tc>
        <w:tc>
          <w:tcPr>
            <w:tcW w:w="3444" w:type="dxa"/>
          </w:tcPr>
          <w:p>
            <w:pPr/>
            <w:r>
              <w:t xml:space="preserve">Márgenes del navegador</w:t>
            </w:r>
          </w:p>
        </w:tc>
        <w:tc>
          <w:tcPr>
            <w:tcW w:w="2801" w:type="dxa"/>
          </w:tcPr>
          <w:p>
            <w:pPr/>
            <w:r>
              <w:t xml:space="preserve">Márgenes mínimos o escala 95 %</w:t>
            </w:r>
          </w:p>
        </w:tc>
      </w:tr>
    </w:tbl>
    <w:p>
      <w:pPr/>
      <w:r>
        <w:rPr>
          <w:b/>
        </w:rPr>
        <w:t xml:space="preserve">Trazabilidad.</w:t>
      </w:r>
      <w:r>
        <w:t xml:space="preserve"> El informe no guarda la fuente del dato. Si el resultado va a sustentar una decisión, anota en el campo de código la transacción y el período de donde salieron los tiempos, por ejemplo </w:t>
      </w:r>
      <w:r>
        <w:rPr>
          <w:rStyle w:val="CodeChar"/>
        </w:rPr>
        <w:t xml:space="preserve">IPM-CONF-012 / IW47 2026-01 a 2026-09</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Manual de uso — Toolkit de Confiabilidad IPM</dc:title>
  <dc:description>Claude Docs node/5bcfaa4c-a2b3@10 docx-w7</dc:description>
  <cp:revision>10</cp:revision>
</cp:coreProperties>
</file>