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m="http://schemas.openxmlformats.org/officeDocument/2006/math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Manual simplificado — Toolkit de Confiabilidad IPM</w:t>
      </w:r>
    </w:p>
    <w:p>
      <w:pPr/>
      <w:r>
        <w:t xml:space="preserve">22 de octubre de 2026 · Hugo Villegas Barría</w:t>
      </w:r>
      <w:r>
        <w:t xml:space="preserve"/>
      </w:r>
      <w:r>
        <w:t xml:space="preserve"/>
      </w:r>
    </w:p>
    <w:p>
      <w:pPr>
        <w:pStyle w:val="Heading2"/>
      </w:pPr>
      <w:r>
        <w:t xml:space="preserve">Cómo usar este manual</w:t>
      </w:r>
    </w:p>
    <w:p>
      <w:pPr/>
      <w:r>
        <w:t xml:space="preserve">El Toolkit de Confiabilidad IPM reúne nueve calculadoras que responden preguntas de confiabilidad, mantenibilidad y disponibilidad (RAM) de equipos de las estaciones compresoras. Este manual explica, módulo por módulo, qué dato entra, de dónde sale cada fórmula y cómo se lee el resultado.</w:t>
      </w:r>
    </w:p>
    <w:p>
      <w:pPr/>
      <w:r>
        <w:t xml:space="preserve">Todos los capítulos siguen el mismo orden: qué responde, datos de entrada, fórmulas con su origen, ejemplo con los datos precargados del toolkit y lectura del resultado. Para elegir herramienta, se parte por la pregunta que se quiere responder (Ver Tabla 1).</w:t>
      </w:r>
    </w:p>
    <w:p>
      <w:pPr>
        <w:keepNext/>
        <w:spacing w:before="160" w:after="60"/>
      </w:pPr>
      <w:r>
        <w:rPr>
          <w:b/>
        </w:rPr>
        <w:t xml:space="preserve">Tabla 1.</w:t>
      </w:r>
      <w:r>
        <w:t xml:space="preserve"> Qué módulo usar según la pregunta.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81"/>
        <w:gridCol w:w="2462"/>
        <w:gridCol w:w="2317"/>
      </w:tblGrid>
      <w:tr>
        <w:trPr>
          <w:tblHeader/>
          <w:cantSplit/>
        </w:trPr>
        <w:tc>
          <w:tcPr>
            <w:tcW w:w="4581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2462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2317" w:type="dxa"/>
            <w:shd w:val="clear" w:color="auto" w:fill="F2F2F2"/>
          </w:tcPr>
          <w:p>
            <w:pPr/>
            <w:r>
              <w:t xml:space="preserve">Resultado clave</w:t>
            </w:r>
          </w:p>
        </w:tc>
      </w:tr>
      <w:tr>
        <w:trPr>
          <w:cantSplit/>
        </w:trPr>
        <w:tc>
          <w:tcPr>
            <w:tcW w:w="4581" w:type="dxa"/>
          </w:tcPr>
          <w:p>
            <w:pPr/>
            <w:r>
              <w:t xml:space="preserve">¿Qué tan confiable es un componente a t horas, con una distribución conocida?</w:t>
            </w:r>
          </w:p>
        </w:tc>
        <w:tc>
          <w:tcPr>
            <w:tcW w:w="2462" w:type="dxa"/>
          </w:tcPr>
          <w:p>
            <w:pPr/>
            <w:r>
              <w:t xml:space="preserve">1. Confiabilidad por distribución</w:t>
            </w:r>
          </w:p>
        </w:tc>
        <w:tc>
          <w:tcPr>
            <w:tcW w:w="2317" w:type="dxa"/>
          </w:tcPr>
          <w:p>
            <w:pPr/>
            <w:r>
              <w:t xml:space="preserve">R(t), h(t), MTTF, B10</w:t>
            </w:r>
          </w:p>
        </w:tc>
      </w:tr>
      <w:tr>
        <w:trPr>
          <w:cantSplit/>
        </w:trPr>
        <w:tc>
          <w:tcPr>
            <w:tcW w:w="4581" w:type="dxa"/>
          </w:tcPr>
          <w:p>
            <w:pPr/>
            <w:r>
              <w:t xml:space="preserve">¿Qué β y η tienen mis tiempos a falla?</w:t>
            </w:r>
          </w:p>
        </w:tc>
        <w:tc>
          <w:tcPr>
            <w:tcW w:w="2462" w:type="dxa"/>
          </w:tcPr>
          <w:p>
            <w:pPr/>
            <w:r>
              <w:t xml:space="preserve">2. Análisis de Weibull</w:t>
            </w:r>
          </w:p>
        </w:tc>
        <w:tc>
          <w:tcPr>
            <w:tcW w:w="2317" w:type="dxa"/>
          </w:tcPr>
          <w:p>
            <w:pPr/>
            <w:r>
              <w:t xml:space="preserve">β, η, R², R(t)</w:t>
            </w:r>
          </w:p>
        </w:tc>
      </w:tr>
      <w:tr>
        <w:trPr>
          <w:cantSplit/>
        </w:trPr>
        <w:tc>
          <w:tcPr>
            <w:tcW w:w="4581" w:type="dxa"/>
          </w:tcPr>
          <w:p>
            <w:pPr/>
            <w:r>
              <w:t xml:space="preserve">Si ya sobrevivió hasta hoy, ¿llega a la próxima edad?</w:t>
            </w:r>
          </w:p>
        </w:tc>
        <w:tc>
          <w:tcPr>
            <w:tcW w:w="2462" w:type="dxa"/>
          </w:tcPr>
          <w:p>
            <w:pPr/>
            <w:r>
              <w:t xml:space="preserve">3. Weibull condicional</w:t>
            </w:r>
          </w:p>
        </w:tc>
        <w:tc>
          <w:tcPr>
            <w:tcW w:w="2317" w:type="dxa"/>
          </w:tcPr>
          <w:p>
            <w:pPr/>
            <w:r>
              <w:t xml:space="preserve">R condicional</w:t>
            </w:r>
          </w:p>
        </w:tc>
      </w:tr>
      <w:tr>
        <w:trPr>
          <w:cantSplit/>
        </w:trPr>
        <w:tc>
          <w:tcPr>
            <w:tcW w:w="4581" w:type="dxa"/>
          </w:tcPr>
          <w:p>
            <w:pPr/>
            <w:r>
              <w:t xml:space="preserve">¿Qué MTBF puedo defender con las fallas observadas?</w:t>
            </w:r>
          </w:p>
        </w:tc>
        <w:tc>
          <w:tcPr>
            <w:tcW w:w="2462" w:type="dxa"/>
          </w:tcPr>
          <w:p>
            <w:pPr/>
            <w:r>
              <w:t xml:space="preserve">4. MTBF de campo con confianza</w:t>
            </w:r>
          </w:p>
        </w:tc>
        <w:tc>
          <w:tcPr>
            <w:tcW w:w="2317" w:type="dxa"/>
          </w:tcPr>
          <w:p>
            <w:pPr/>
            <w:r>
              <w:t xml:space="preserve">Límite inferior del MTBF</w:t>
            </w:r>
          </w:p>
        </w:tc>
      </w:tr>
      <w:tr>
        <w:trPr>
          <w:cantSplit/>
        </w:trPr>
        <w:tc>
          <w:tcPr>
            <w:tcW w:w="4581" w:type="dxa"/>
          </w:tcPr>
          <w:p>
            <w:pPr/>
            <w:r>
              <w:t xml:space="preserve">¿El equipo reparable se deteriora o mejora, y qué confiabilidad tiene hoy?</w:t>
            </w:r>
          </w:p>
        </w:tc>
        <w:tc>
          <w:tcPr>
            <w:tcW w:w="2462" w:type="dxa"/>
          </w:tcPr>
          <w:p>
            <w:pPr/>
            <w:r>
              <w:t xml:space="preserve">5. Crow-AMSAA, tendencia y RAM</w:t>
            </w:r>
          </w:p>
        </w:tc>
        <w:tc>
          <w:tcPr>
            <w:tcW w:w="2317" w:type="dxa"/>
          </w:tcPr>
          <w:p>
            <w:pPr/>
            <w:r>
              <w:t xml:space="preserve">β, MTBF instantáneo, R(x | t₀), A₀</w:t>
            </w:r>
          </w:p>
        </w:tc>
      </w:tr>
      <w:tr>
        <w:trPr>
          <w:cantSplit/>
        </w:trPr>
        <w:tc>
          <w:tcPr>
            <w:tcW w:w="4581" w:type="dxa"/>
          </w:tcPr>
          <w:p>
            <w:pPr/>
            <w:r>
              <w:t xml:space="preserve">¿Se cumple la meta de disponibilidad?</w:t>
            </w:r>
          </w:p>
        </w:tc>
        <w:tc>
          <w:tcPr>
            <w:tcW w:w="2462" w:type="dxa"/>
          </w:tcPr>
          <w:p>
            <w:pPr/>
            <w:r>
              <w:t xml:space="preserve">6. Disponibilidad</w:t>
            </w:r>
          </w:p>
        </w:tc>
        <w:tc>
          <w:tcPr>
            <w:tcW w:w="2317" w:type="dxa"/>
          </w:tcPr>
          <w:p>
            <w:pPr/>
            <w:r>
              <w:t xml:space="preserve">Aᵢ, A₀, MDT máximo</w:t>
            </w:r>
          </w:p>
        </w:tc>
      </w:tr>
      <w:tr>
        <w:trPr>
          <w:cantSplit/>
        </w:trPr>
        <w:tc>
          <w:tcPr>
            <w:tcW w:w="4581" w:type="dxa"/>
          </w:tcPr>
          <w:p>
            <w:pPr/>
            <w:r>
              <w:t xml:space="preserve">¿Cuánto aporta una redundancia m de n?</w:t>
            </w:r>
          </w:p>
        </w:tc>
        <w:tc>
          <w:tcPr>
            <w:tcW w:w="2462" w:type="dxa"/>
          </w:tcPr>
          <w:p>
            <w:pPr/>
            <w:r>
              <w:t xml:space="preserve">7. Redundancia m de n</w:t>
            </w:r>
          </w:p>
        </w:tc>
        <w:tc>
          <w:tcPr>
            <w:tcW w:w="2317" w:type="dxa"/>
          </w:tcPr>
          <w:p>
            <w:pPr/>
            <w:r>
              <w:t xml:space="preserve">MTBF y R del arreglo</w:t>
            </w:r>
          </w:p>
        </w:tc>
      </w:tr>
      <w:tr>
        <w:trPr>
          <w:cantSplit/>
        </w:trPr>
        <w:tc>
          <w:tcPr>
            <w:tcW w:w="4581" w:type="dxa"/>
          </w:tcPr>
          <w:p>
            <w:pPr/>
            <w:r>
              <w:t xml:space="preserve">¿Cuántos repuestos se necesitan?</w:t>
            </w:r>
          </w:p>
        </w:tc>
        <w:tc>
          <w:tcPr>
            <w:tcW w:w="2462" w:type="dxa"/>
          </w:tcPr>
          <w:p>
            <w:pPr/>
            <w:r>
              <w:t xml:space="preserve">8. Repuestos por Poisson</w:t>
            </w:r>
          </w:p>
        </w:tc>
        <w:tc>
          <w:tcPr>
            <w:tcW w:w="2317" w:type="dxa"/>
          </w:tcPr>
          <w:p>
            <w:pPr/>
            <w:r>
              <w:t xml:space="preserve">Stock para la confianza pedida</w:t>
            </w:r>
          </w:p>
        </w:tc>
      </w:tr>
      <w:tr>
        <w:trPr>
          <w:cantSplit/>
        </w:trPr>
        <w:tc>
          <w:tcPr>
            <w:tcW w:w="4581" w:type="dxa"/>
          </w:tcPr>
          <w:p>
            <w:pPr/>
            <w:r>
              <w:t xml:space="preserve">¿Qué ventana de reparación se debe dimensionar?</w:t>
            </w:r>
          </w:p>
        </w:tc>
        <w:tc>
          <w:tcPr>
            <w:tcW w:w="2462" w:type="dxa"/>
          </w:tcPr>
          <w:p>
            <w:pPr/>
            <w:r>
              <w:t xml:space="preserve">9. Mantenibilidad lognormal</w:t>
            </w:r>
          </w:p>
        </w:tc>
        <w:tc>
          <w:tcPr>
            <w:tcW w:w="2317" w:type="dxa"/>
          </w:tcPr>
          <w:p>
            <w:pPr/>
            <w:r>
              <w:t xml:space="preserve">MTTR, mediana, Mmax</w:t>
            </w:r>
          </w:p>
        </w:tc>
      </w:tr>
    </w:tbl>
    <w:p>
      <w:pPr>
        <w:spacing w:before="160"/>
      </w:pPr>
      <w:r>
        <w:t xml:space="preserve">Los resultados son estimaciones estadísticas y dependen por completo de la calidad de los tiempos de falla ingresados. Antes de llevar una cifra a un informe firmado, corresponde validar el dato de origen.</w:t>
      </w:r>
    </w:p>
    <w:p>
      <w:pPr>
        <w:pStyle w:val="Heading2"/>
      </w:pPr>
      <w:r>
        <w:t xml:space="preserve">Notación y convenciones</w:t>
      </w:r>
    </w:p>
    <w:p>
      <w:pPr/>
      <w:r>
        <w:t xml:space="preserve">Todos los módulos trabajan en horas de operación y comparten la notación de la Tabla 2.</w:t>
      </w:r>
    </w:p>
    <w:p>
      <w:pPr>
        <w:keepNext/>
        <w:spacing w:before="160" w:after="60"/>
      </w:pPr>
      <w:r>
        <w:rPr>
          <w:b/>
        </w:rPr>
        <w:t xml:space="preserve">Tabla 2.</w:t>
      </w:r>
      <w:r>
        <w:t xml:space="preserve"> Símbolos usados en el toolkit.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1"/>
        <w:gridCol w:w="6546"/>
        <w:gridCol w:w="1261"/>
      </w:tblGrid>
      <w:tr>
        <w:trPr>
          <w:tblHeader/>
          <w:cantSplit/>
        </w:trPr>
        <w:tc>
          <w:tcPr>
            <w:tcW w:w="1551" w:type="dxa"/>
            <w:shd w:val="clear" w:color="auto" w:fill="F2F2F2"/>
          </w:tcPr>
          <w:p>
            <w:pPr/>
            <w:r>
              <w:t xml:space="preserve">Símbolo</w:t>
            </w:r>
          </w:p>
        </w:tc>
        <w:tc>
          <w:tcPr>
            <w:tcW w:w="6546" w:type="dxa"/>
            <w:shd w:val="clear" w:color="auto" w:fill="F2F2F2"/>
          </w:tcPr>
          <w:p>
            <w:pPr/>
            <w:r>
              <w:t xml:space="preserve">Significado</w:t>
            </w:r>
          </w:p>
        </w:tc>
        <w:tc>
          <w:tcPr>
            <w:tcW w:w="1261" w:type="dxa"/>
            <w:shd w:val="clear" w:color="auto" w:fill="F2F2F2"/>
          </w:tcPr>
          <w:p>
            <w:pPr/>
            <w:r>
              <w:t xml:space="preserve">Unidad</w:t>
            </w:r>
          </w:p>
        </w:tc>
      </w:tr>
      <w:tr>
        <w:trPr>
          <w:cantSplit/>
        </w:trPr>
        <w:tc>
          <w:tcPr>
            <w:tcW w:w="1551" w:type="dxa"/>
          </w:tcPr>
          <w:p>
            <w:pPr/>
            <w:r>
              <w:t xml:space="preserve">t</w:t>
            </w:r>
          </w:p>
        </w:tc>
        <w:tc>
          <w:tcPr>
            <w:tcW w:w="6546" w:type="dxa"/>
          </w:tcPr>
          <w:p>
            <w:pPr/>
            <w:r>
              <w:t xml:space="preserve">Edad o tiempo de operación, medido desde un origen común</w:t>
            </w:r>
          </w:p>
        </w:tc>
        <w:tc>
          <w:tcPr>
            <w:tcW w:w="1261" w:type="dxa"/>
          </w:tcPr>
          <w:p>
            <w:pPr/>
            <w:r>
              <w:t xml:space="preserve">h</w:t>
            </w:r>
          </w:p>
        </w:tc>
      </w:tr>
      <w:tr>
        <w:trPr>
          <w:cantSplit/>
        </w:trPr>
        <w:tc>
          <w:tcPr>
            <w:tcW w:w="1551" w:type="dxa"/>
          </w:tcPr>
          <w:p>
            <w:pPr/>
            <w:r>
              <w:t xml:space="preserve">R(t)</w:t>
            </w:r>
          </w:p>
        </w:tc>
        <w:tc>
          <w:tcPr>
            <w:tcW w:w="6546" w:type="dxa"/>
          </w:tcPr>
          <w:p>
            <w:pPr/>
            <w:r>
              <w:t xml:space="preserve">Confiabilidad: probabilidad de operar hasta t sin falla</w:t>
            </w:r>
          </w:p>
        </w:tc>
        <w:tc>
          <w:tcPr>
            <w:tcW w:w="1261" w:type="dxa"/>
          </w:tcPr>
          <w:p>
            <w:pPr/>
            <w:r>
              <w:t xml:space="preserve">%</w:t>
            </w:r>
          </w:p>
        </w:tc>
      </w:tr>
      <w:tr>
        <w:trPr>
          <w:cantSplit/>
        </w:trPr>
        <w:tc>
          <w:tcPr>
            <w:tcW w:w="1551" w:type="dxa"/>
          </w:tcPr>
          <w:p>
            <w:pPr/>
            <w:r>
              <w:t xml:space="preserve">F(t)</w:t>
            </w:r>
          </w:p>
        </w:tc>
        <w:tc>
          <w:tcPr>
            <w:tcW w:w="6546" w:type="dxa"/>
          </w:tcPr>
          <w:p>
            <w:pPr/>
            <w:r>
              <w:t xml:space="preserve">Probabilidad acumulada de falla, F(t) = 1 − R(t)</w:t>
            </w:r>
          </w:p>
        </w:tc>
        <w:tc>
          <w:tcPr>
            <w:tcW w:w="1261" w:type="dxa"/>
          </w:tcPr>
          <w:p>
            <w:pPr/>
            <w:r>
              <w:t xml:space="preserve">%</w:t>
            </w:r>
          </w:p>
        </w:tc>
      </w:tr>
      <w:tr>
        <w:trPr>
          <w:cantSplit/>
        </w:trPr>
        <w:tc>
          <w:tcPr>
            <w:tcW w:w="1551" w:type="dxa"/>
          </w:tcPr>
          <w:p>
            <w:pPr/>
            <w:r>
              <w:t xml:space="preserve">h(t)</w:t>
            </w:r>
          </w:p>
        </w:tc>
        <w:tc>
          <w:tcPr>
            <w:tcW w:w="6546" w:type="dxa"/>
          </w:tcPr>
          <w:p>
            <w:pPr/>
            <w:r>
              <w:t xml:space="preserve">Tasa de falla instantánea</w:t>
            </w:r>
          </w:p>
        </w:tc>
        <w:tc>
          <w:tcPr>
            <w:tcW w:w="1261" w:type="dxa"/>
          </w:tcPr>
          <w:p>
            <w:pPr/>
            <w:r>
              <w:t xml:space="preserve">1/h</w:t>
            </w:r>
          </w:p>
        </w:tc>
      </w:tr>
      <w:tr>
        <w:trPr>
          <w:cantSplit/>
        </w:trPr>
        <w:tc>
          <w:tcPr>
            <w:tcW w:w="1551" w:type="dxa"/>
          </w:tcPr>
          <w:p>
            <w:pPr/>
            <w:r>
              <w:t xml:space="preserve">λ</w:t>
            </w:r>
          </w:p>
        </w:tc>
        <w:tc>
          <w:tcPr>
            <w:tcW w:w="6546" w:type="dxa"/>
          </w:tcPr>
          <w:p>
            <w:pPr/>
            <w:r>
              <w:t xml:space="preserve">Tasa de falla constante (modelo exponencial)</w:t>
            </w:r>
          </w:p>
        </w:tc>
        <w:tc>
          <w:tcPr>
            <w:tcW w:w="1261" w:type="dxa"/>
          </w:tcPr>
          <w:p>
            <w:pPr/>
            <w:r>
              <w:t xml:space="preserve">1/h</w:t>
            </w:r>
          </w:p>
        </w:tc>
      </w:tr>
      <w:tr>
        <w:trPr>
          <w:cantSplit/>
        </w:trPr>
        <w:tc>
          <w:tcPr>
            <w:tcW w:w="1551" w:type="dxa"/>
          </w:tcPr>
          <w:p>
            <w:pPr/>
            <w:r>
              <w:t xml:space="preserve">β</w:t>
            </w:r>
          </w:p>
        </w:tc>
        <w:tc>
          <w:tcPr>
            <w:tcW w:w="6546" w:type="dxa"/>
          </w:tcPr>
          <w:p>
            <w:pPr/>
            <w:r>
              <w:t xml:space="preserve">Parámetro de forma: β &lt; 1 mejora, β ≈ 1 tasa constante, β &gt; 1 desgaste o deterioro</w:t>
            </w:r>
          </w:p>
        </w:tc>
        <w:tc>
          <w:tcPr>
            <w:tcW w:w="1261" w:type="dxa"/>
          </w:tcPr>
          <w:p>
            <w:pPr/>
            <w:r>
              <w:t xml:space="preserve">—</w:t>
            </w:r>
          </w:p>
        </w:tc>
      </w:tr>
      <w:tr>
        <w:trPr>
          <w:cantSplit/>
        </w:trPr>
        <w:tc>
          <w:tcPr>
            <w:tcW w:w="1551" w:type="dxa"/>
          </w:tcPr>
          <w:p>
            <w:pPr/>
            <w:r>
              <w:t xml:space="preserve">η</w:t>
            </w:r>
          </w:p>
        </w:tc>
        <w:tc>
          <w:tcPr>
            <w:tcW w:w="6546" w:type="dxa"/>
          </w:tcPr>
          <w:p>
            <w:pPr/>
            <w:r>
              <w:t xml:space="preserve">Vida característica de Weibull: edad a la que ha fallado el 63,2 %</w:t>
            </w:r>
          </w:p>
        </w:tc>
        <w:tc>
          <w:tcPr>
            <w:tcW w:w="1261" w:type="dxa"/>
          </w:tcPr>
          <w:p>
            <w:pPr/>
            <w:r>
              <w:t xml:space="preserve">h</w:t>
            </w:r>
          </w:p>
        </w:tc>
      </w:tr>
      <w:tr>
        <w:trPr>
          <w:cantSplit/>
        </w:trPr>
        <w:tc>
          <w:tcPr>
            <w:tcW w:w="1551" w:type="dxa"/>
          </w:tcPr>
          <w:p>
            <w:pPr/>
            <w:r>
              <w:t xml:space="preserve">MTBF</w:t>
            </w:r>
          </w:p>
        </w:tc>
        <w:tc>
          <w:tcPr>
            <w:tcW w:w="6546" w:type="dxa"/>
          </w:tcPr>
          <w:p>
            <w:pPr/>
            <w:r>
              <w:t xml:space="preserve">Tiempo medio entre fallas</w:t>
            </w:r>
          </w:p>
        </w:tc>
        <w:tc>
          <w:tcPr>
            <w:tcW w:w="1261" w:type="dxa"/>
          </w:tcPr>
          <w:p>
            <w:pPr/>
            <w:r>
              <w:t xml:space="preserve">h</w:t>
            </w:r>
          </w:p>
        </w:tc>
      </w:tr>
      <w:tr>
        <w:trPr>
          <w:cantSplit/>
        </w:trPr>
        <w:tc>
          <w:tcPr>
            <w:tcW w:w="1551" w:type="dxa"/>
          </w:tcPr>
          <w:p>
            <w:pPr/>
            <w:r>
              <w:t xml:space="preserve">MTTR</w:t>
            </w:r>
          </w:p>
        </w:tc>
        <w:tc>
          <w:tcPr>
            <w:tcW w:w="6546" w:type="dxa"/>
          </w:tcPr>
          <w:p>
            <w:pPr/>
            <w:r>
              <w:t xml:space="preserve">Tiempo medio de reparación activa</w:t>
            </w:r>
          </w:p>
        </w:tc>
        <w:tc>
          <w:tcPr>
            <w:tcW w:w="1261" w:type="dxa"/>
          </w:tcPr>
          <w:p>
            <w:pPr/>
            <w:r>
              <w:t xml:space="preserve">h</w:t>
            </w:r>
          </w:p>
        </w:tc>
      </w:tr>
      <w:tr>
        <w:trPr>
          <w:cantSplit/>
        </w:trPr>
        <w:tc>
          <w:tcPr>
            <w:tcW w:w="1551" w:type="dxa"/>
          </w:tcPr>
          <w:p>
            <w:pPr/>
            <w:r>
              <w:t xml:space="preserve">MDT</w:t>
            </w:r>
          </w:p>
        </w:tc>
        <w:tc>
          <w:tcPr>
            <w:tcW w:w="6546" w:type="dxa"/>
          </w:tcPr>
          <w:p>
            <w:pPr/>
            <w:r>
              <w:t xml:space="preserve">Tiempo medio de indisponibilidad: MTTR más la demora logística y administrativa</w:t>
            </w:r>
          </w:p>
        </w:tc>
        <w:tc>
          <w:tcPr>
            <w:tcW w:w="1261" w:type="dxa"/>
          </w:tcPr>
          <w:p>
            <w:pPr/>
            <w:r>
              <w:t xml:space="preserve">h</w:t>
            </w:r>
          </w:p>
        </w:tc>
      </w:tr>
    </w:tbl>
    <w:p>
      <w:pPr>
        <w:spacing w:before="160"/>
      </w:pPr>
      <w:r>
        <w:t xml:space="preserve">En el módulo Crow-AMSAA, λ es el parámetro de escala de la ley de potencia (unidad 1/hᵝ) y no una tasa de falla constante. Además:</w:t>
      </w:r>
    </w:p>
    <w:p>
      <w:pPr>
        <w:pStyle w:val="ListParagraph"/>
        <w:numPr>
          <w:ilvl w:val="0"/>
          <w:numId w:val="2"/>
        </w:numPr>
      </w:pPr>
      <w:r>
        <w:t xml:space="preserve">Las cifras se muestran en formato es-CL: coma decimal y punto de miles.</w:t>
      </w:r>
    </w:p>
    <w:p>
      <w:pPr>
        <w:pStyle w:val="ListParagraph"/>
        <w:numPr>
          <w:ilvl w:val="0"/>
          <w:numId w:val="2"/>
        </w:numPr>
      </w:pPr>
      <w:r>
        <w:t xml:space="preserve">Un año equivale a 8.760 h.</w:t>
      </w:r>
    </w:p>
    <w:p>
      <w:pPr>
        <w:pStyle w:val="ListParagraph"/>
        <w:numPr>
          <w:ilvl w:val="0"/>
          <w:numId w:val="2"/>
        </w:numPr>
      </w:pPr>
      <w:r>
        <w:t xml:space="preserve">Los tiempos de falla se miden desde un origen común t = 0; en Crow-AMSAA, T y t₀ van desde ese mismo origen y en el mismo reloj.</w:t>
      </w:r>
    </w:p>
    <w:p>
      <w:pPr>
        <w:pStyle w:val="ListParagraph"/>
        <w:numPr>
          <w:ilvl w:val="0"/>
          <w:numId w:val="2"/>
        </w:numPr>
      </w:pPr>
      <w:r>
        <w:t xml:space="preserve">Cada módulo recalcula al escribir, y el botón Informe ejecutivo genera una hoja A4 en blanco y negro.</w:t>
      </w:r>
    </w:p>
    <w:p>
      <w:pPr>
        <w:pStyle w:val="Heading2"/>
      </w:pPr>
      <w:r>
        <w:t xml:space="preserve">1. Confiabilidad por distribución</w:t>
      </w:r>
    </w:p>
    <w:p>
      <w:pPr/>
      <w:r>
        <w:t xml:space="preserve">Entrega R(t), F(t), f(t), h(t), el MTTF y la vida B10 a partir de los parámetros de una distribución de vida ya conocida: exponencial, Weibull o normal.</w:t>
      </w:r>
    </w:p>
    <w:p>
      <w:pPr/>
      <w:r>
        <w:rPr>
          <w:b/>
        </w:rPr>
        <w:t xml:space="preserve">Datos de entrada.</w:t>
      </w:r>
      <w:r>
        <w:t xml:space="preserve"> Tipo de distribución, sus parámetros (MTBF; η y β; μ y σ) y el tiempo de misión t.</w:t>
      </w:r>
    </w:p>
    <w:p>
      <w:pPr/>
      <w:r>
        <w:rPr>
          <w:b/>
        </w:rPr>
        <w:t xml:space="preserve">Fórmulas y origen.</w:t>
      </w:r>
      <w:r>
        <w:t xml:space="preserve"> La exponencial supone tasa de falla constante (proceso sin memoria). La Weibull de dos parámetros (Weibull, 1951) es la más usada en mantenimiento porque β describe en qué tramo de la curva de la bañera está el componente. La normal representa desgaste con poca dispersión. En los tres casos se asume γ = 0, es decir, sin vida mínima garantizada.</w:t>
      </w:r>
    </w:p>
    <w:p>
      <w:pPr>
        <w:spacing w:before="0" w:after="160"/>
      </w:pPr>
      <w:r>
        <w:rPr>
          <w:b/>
        </w:rPr>
        <w:t xml:space="preserve">Ecuación 1.</w:t>
      </w:r>
      <w:r>
        <w:t xml:space="preserve"> Exponencial, con λ = 1/MTBF.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λ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M</m:t>
          </m:r>
          <m:r>
            <m:rPr>
              <m:sty m:val="p"/>
            </m:rPr>
            <m:t>T</m:t>
          </m:r>
          <m:r>
            <m:rPr>
              <m:sty m:val="p"/>
            </m:rPr>
            <m:t>B</m:t>
          </m:r>
          <m:r>
            <m:rPr>
              <m:sty m:val="p"/>
            </m:rPr>
            <m:t>F</m:t>
          </m:r>
          <m:r>
            <m:t> 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0.9</m:t>
              </m:r>
            </m:e>
          </m:d>
        </m:oMath>
      </m:oMathPara>
    </w:p>
    <w:p>
      <w:pPr>
        <w:spacing w:before="0" w:after="160"/>
      </w:pPr>
      <w:r>
        <w:rPr>
          <w:b/>
        </w:rPr>
        <w:t xml:space="preserve">Ecuación 2.</w:t>
      </w:r>
      <w:r>
        <w:t xml:space="preserve"> Weibull: confiabilidad, tasa instantánea y densidad.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t</m:t>
                          </m:r>
                        </m:num>
                        <m:den>
                          <m:r>
                            <m:t>η</m:t>
                          </m:r>
                        </m:den>
                      </m:f>
                    </m:e>
                  </m:d>
                </m:e>
                <m:sup>
                  <m:r>
                    <m:t>β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η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η</m:t>
                      </m:r>
                    </m:den>
                  </m:f>
                </m:e>
              </m:d>
            </m:e>
            <m:sup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spacing w:before="0" w:after="160"/>
      </w:pPr>
      <w:r>
        <w:rPr>
          <w:b/>
        </w:rPr>
        <w:t xml:space="preserve">Ecuación 3.</w:t>
      </w:r>
      <w:r>
        <w:t xml:space="preserve"> Weibull: MTTF y vida B10 (edad a la que ha fallado el 10 %).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r>
            <m:t>η</m:t>
          </m:r>
          <m:r>
            <m:t> </m:t>
          </m:r>
          <m:r>
            <m:t>Γ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t> 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0.9</m:t>
                      </m:r>
                    </m:e>
                  </m:d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β</m:t>
              </m:r>
            </m:sup>
          </m:sSup>
        </m:oMath>
      </m:oMathPara>
    </w:p>
    <w:p>
      <w:pPr>
        <w:spacing w:before="0" w:after="160"/>
      </w:pPr>
      <w:r>
        <w:rPr>
          <w:b/>
        </w:rPr>
        <w:t xml:space="preserve">Ecuación 4.</w:t>
      </w:r>
      <w:r>
        <w:t xml:space="preserve"> Normal, con Φ la distribución normal estándar y z₀,₁₀ = −1,2816.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Φ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σ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0.10</m:t>
              </m:r>
            </m:sub>
          </m:sSub>
          <m:r>
            <m:t> </m:t>
          </m:r>
          <m:r>
            <m:t>σ</m:t>
          </m:r>
        </m:oMath>
      </m:oMathPara>
    </w:p>
    <w:p>
      <w:pPr/>
      <w:r>
        <w:rPr>
          <w:b/>
        </w:rPr>
        <w:t xml:space="preserve">Ejemplo.</w:t>
      </w:r>
      <w:r>
        <w:t xml:space="preserve"> Weibull con η = 21.500 h, β = 2,3 y misión de 8.760 h (Ver Tabla 3).</w:t>
      </w:r>
    </w:p>
    <w:p>
      <w:pPr>
        <w:keepNext/>
        <w:spacing w:before="160" w:after="60"/>
      </w:pPr>
      <w:r>
        <w:rPr>
          <w:b/>
        </w:rPr>
        <w:t xml:space="preserve">Tabla 3.</w:t>
      </w:r>
      <w:r>
        <w:t xml:space="preserve"> Resultados del ejemplo, módulo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23"/>
        <w:gridCol w:w="5936"/>
      </w:tblGrid>
      <w:tr>
        <w:trPr>
          <w:tblHeader/>
          <w:cantSplit/>
        </w:trPr>
        <w:tc>
          <w:tcPr>
            <w:tcW w:w="3423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5936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rPr>
          <w:cantSplit/>
        </w:trPr>
        <w:tc>
          <w:tcPr>
            <w:tcW w:w="3423" w:type="dxa"/>
          </w:tcPr>
          <w:p>
            <w:pPr/>
            <w:r>
              <w:t xml:space="preserve">R(t)</w:t>
            </w:r>
          </w:p>
        </w:tc>
        <w:tc>
          <w:tcPr>
            <w:tcW w:w="5936" w:type="dxa"/>
          </w:tcPr>
          <w:p>
            <w:pPr/>
            <w:r>
              <w:t xml:space="preserve">88,09 %</w:t>
            </w:r>
          </w:p>
        </w:tc>
      </w:tr>
      <w:tr>
        <w:trPr>
          <w:cantSplit/>
        </w:trPr>
        <w:tc>
          <w:tcPr>
            <w:tcW w:w="3423" w:type="dxa"/>
          </w:tcPr>
          <w:p>
            <w:pPr/>
            <w:r>
              <w:t xml:space="preserve">F(t)</w:t>
            </w:r>
          </w:p>
        </w:tc>
        <w:tc>
          <w:tcPr>
            <w:tcW w:w="5936" w:type="dxa"/>
          </w:tcPr>
          <w:p>
            <w:pPr/>
            <w:r>
              <w:t xml:space="preserve">11,91 %</w:t>
            </w:r>
          </w:p>
        </w:tc>
      </w:tr>
      <w:tr>
        <w:trPr>
          <w:cantSplit/>
        </w:trPr>
        <w:tc>
          <w:tcPr>
            <w:tcW w:w="3423" w:type="dxa"/>
          </w:tcPr>
          <w:p>
            <w:pPr/>
            <w:r>
              <w:t xml:space="preserve">h(t)</w:t>
            </w:r>
          </w:p>
        </w:tc>
        <w:tc>
          <w:tcPr>
            <w:tcW w:w="5936" w:type="dxa"/>
          </w:tcPr>
          <w:p>
            <w:pPr/>
            <w:r>
              <w:t xml:space="preserve">3,329 × 10⁻⁵ 1/h</w:t>
            </w:r>
          </w:p>
        </w:tc>
      </w:tr>
      <w:tr>
        <w:trPr>
          <w:cantSplit/>
        </w:trPr>
        <w:tc>
          <w:tcPr>
            <w:tcW w:w="3423" w:type="dxa"/>
          </w:tcPr>
          <w:p>
            <w:pPr/>
            <w:r>
              <w:t xml:space="preserve">MTTF</w:t>
            </w:r>
          </w:p>
        </w:tc>
        <w:tc>
          <w:tcPr>
            <w:tcW w:w="5936" w:type="dxa"/>
          </w:tcPr>
          <w:p>
            <w:pPr/>
            <w:r>
              <w:t xml:space="preserve">19.050 h</w:t>
            </w:r>
          </w:p>
        </w:tc>
      </w:tr>
      <w:tr>
        <w:trPr>
          <w:cantSplit/>
        </w:trPr>
        <w:tc>
          <w:tcPr>
            <w:tcW w:w="3423" w:type="dxa"/>
          </w:tcPr>
          <w:p>
            <w:pPr/>
            <w:r>
              <w:t xml:space="preserve">Vida B10</w:t>
            </w:r>
          </w:p>
        </w:tc>
        <w:tc>
          <w:tcPr>
            <w:tcW w:w="5936" w:type="dxa"/>
          </w:tcPr>
          <w:p>
            <w:pPr/>
            <w:r>
              <w:t xml:space="preserve">8.082 h</w:t>
            </w:r>
          </w:p>
        </w:tc>
      </w:tr>
    </w:tbl>
    <w:p>
      <w:pPr>
        <w:spacing w:before="160"/>
      </w:pPr>
      <w:r>
        <w:rPr>
          <w:b/>
        </w:rPr>
        <w:t xml:space="preserve">Lectura.</w:t>
      </w:r>
      <w:r>
        <w:t xml:space="preserve"> Como β = 2,3 es mayor que 1, hay desgaste y un intervalo basado en tiempo tiene justificación estadística. La B10 de 8.082 h es un punto de partida razonable para fijarlo. Con β cercano a 1 o menor, un reemplazo por tiempo no se sostiene y corresponde monitoreo por condición.</w:t>
      </w:r>
    </w:p>
    <w:p>
      <w:pPr>
        <w:pStyle w:val="Heading2"/>
      </w:pPr>
      <w:r>
        <w:t xml:space="preserve">2. Análisis de Weibull</w:t>
      </w:r>
    </w:p>
    <w:p>
      <w:pPr/>
      <w:r>
        <w:t xml:space="preserve">Estima β y η a partir de tiempos a falla de una muestra, aceptando suspensiones (unidades retiradas sin haber fallado). Entrega el papel de probabilidad, el R² del ajuste y un contraste con máxima verosimilitud.</w:t>
      </w:r>
    </w:p>
    <w:p>
      <w:pPr/>
      <w:r>
        <w:rPr>
          <w:b/>
        </w:rPr>
        <w:t xml:space="preserve">Datos de entrada.</w:t>
      </w:r>
      <w:r>
        <w:t xml:space="preserve"> Los tiempos en horas, uno por línea; una suspensión se marca con S (por ejemplo, 7310 S). Además, el tiempo t en que se quiere evaluar R(t).</w:t>
      </w:r>
    </w:p>
    <w:p>
      <w:pPr/>
      <w:r>
        <w:rPr>
          <w:b/>
        </w:rPr>
        <w:t xml:space="preserve">Fórmulas y origen.</w:t>
      </w:r>
      <w:r>
        <w:t xml:space="preserve"> El método sigue cuatro pasos. Primero se ordenan las N unidades. Luego, para cada falla en la posición k, se calcula el rango ajustado de Johnson (1964), que corrige el orden por las suspensiones previas, con AR₀ = 0 (Ver Ecuación 5). Después se convierte a probabilidad con la aproximación de rango mediano de Benard (Ver Ecuación 6). Finalmente, se linealiza la Weibull y se ajusta una recta por mínimos cuadrados (Ver Ecuación 7).</w:t>
      </w:r>
    </w:p>
    <w:p>
      <w:pPr>
        <w:spacing w:before="0" w:after="160"/>
      </w:pPr>
      <w:r>
        <w:rPr>
          <w:b/>
        </w:rPr>
        <w:t xml:space="preserve">Ecuación 5.</w:t>
      </w:r>
      <w:r>
        <w:t xml:space="preserve"> Rango ajustado de Johnson para la falla en la posición k.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r>
            <m:t>A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sSub>
            <m:e>
              <m:r>
                <m:t>R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</m:oMath>
      </m:oMathPara>
    </w:p>
    <w:p>
      <w:pPr>
        <w:spacing w:before="0" w:after="160"/>
      </w:pPr>
      <w:r>
        <w:rPr>
          <w:b/>
        </w:rPr>
        <w:t xml:space="preserve">Ecuación 6.</w:t>
      </w:r>
      <w:r>
        <w:t xml:space="preserve"> Rango mediano de Benard.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0.3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0.4</m:t>
              </m:r>
            </m:den>
          </m:f>
        </m:oMath>
      </m:oMathPara>
    </w:p>
    <w:p>
      <w:pPr>
        <w:spacing w:before="0" w:after="160"/>
      </w:pPr>
      <w:r>
        <w:rPr>
          <w:b/>
        </w:rPr>
        <w:t xml:space="preserve">Ecuación 7.</w:t>
      </w:r>
      <w:r>
        <w:t xml:space="preserve"> Linealización: la pendiente es β y el intercepto entrega η.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t>β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η</m:t>
              </m:r>
            </m:e>
          </m:d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r>
                    <m:t>β</m:t>
                  </m:r>
                </m:den>
              </m:f>
            </m:e>
          </m:d>
        </m:oMath>
      </m:oMathPara>
    </w:p>
    <w:p>
      <w:pPr/>
      <w:r>
        <w:t xml:space="preserve">En paralelo, el toolkit estima β y η por máxima verosimilitud con las N unidades (fallas y suspensiones) y r fallas, resolviendo la Ecuación 8 por Newton-Raphson.</w:t>
      </w:r>
    </w:p>
    <w:p>
      <w:pPr>
        <w:spacing w:before="0" w:after="160"/>
      </w:pPr>
      <w:r>
        <w:rPr>
          <w:b/>
        </w:rPr>
        <w:t xml:space="preserve">Ecuación 8.</w:t>
      </w:r>
      <w:r>
        <w:t xml:space="preserve"> Máxima verosimilitud para Weibull con censura.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β</m:t>
                      </m:r>
                    </m:sup>
                  </m:sSubSup>
                </m:e>
              </m:nary>
              <m:r>
                <m:rPr>
                  <m:sty m:val="p"/>
                </m:rPr>
                <m:t>ln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β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r>
                <m:rPr>
                  <m:sty m:val="p"/>
                </m:rPr>
                <m:t>ln</m:t>
              </m:r>
            </m:e>
          </m:nary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β</m:t>
                              </m:r>
                            </m:sup>
                          </m:sSubSup>
                        </m:e>
                      </m:nary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β</m:t>
              </m:r>
            </m:sup>
          </m:sSup>
        </m:oMath>
      </m:oMathPara>
    </w:p>
    <w:p>
      <w:pPr/>
      <w:r>
        <w:t xml:space="preserve">El MTTF, la B10 y R(t) se calculan con las Ecuaciones 2 y 3.</w:t>
      </w:r>
    </w:p>
    <w:p>
      <w:pPr/>
      <w:r>
        <w:rPr>
          <w:b/>
        </w:rPr>
        <w:t xml:space="preserve">Ejemplo.</w:t>
      </w:r>
      <w:r>
        <w:t xml:space="preserve"> Diez unidades, con 8 fallas y 2 suspensiones (7.310 h y 12.800 h). Los tiempos precargados son 4.120; 6.890; 7.310 S; 9.450; 11.200; 12.800 S; 14.100; 15.630; 18.900 y 21.400 h (Ver Tabla 4).</w:t>
      </w:r>
    </w:p>
    <w:p>
      <w:pPr>
        <w:keepNext/>
        <w:spacing w:before="160" w:after="60"/>
      </w:pPr>
      <w:r>
        <w:rPr>
          <w:b/>
        </w:rPr>
        <w:t xml:space="preserve">Tabla 4.</w:t>
      </w:r>
      <w:r>
        <w:t xml:space="preserve"> Resultados del ejemplo, módulo 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96"/>
        <w:gridCol w:w="2148"/>
        <w:gridCol w:w="4314"/>
      </w:tblGrid>
      <w:tr>
        <w:trPr>
          <w:tblHeader/>
          <w:cantSplit/>
        </w:trPr>
        <w:tc>
          <w:tcPr>
            <w:tcW w:w="2896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2148" w:type="dxa"/>
            <w:shd w:val="clear" w:color="auto" w:fill="F2F2F2"/>
          </w:tcPr>
          <w:p>
            <w:pPr/>
            <w:r>
              <w:t xml:space="preserve">Regresión</w:t>
            </w:r>
          </w:p>
        </w:tc>
        <w:tc>
          <w:tcPr>
            <w:tcW w:w="4314" w:type="dxa"/>
            <w:shd w:val="clear" w:color="auto" w:fill="F2F2F2"/>
          </w:tcPr>
          <w:p>
            <w:pPr/>
            <w:r>
              <w:t xml:space="preserve">Máxima verosimilitud</w:t>
            </w:r>
          </w:p>
        </w:tc>
      </w:tr>
      <w:tr>
        <w:trPr>
          <w:cantSplit/>
        </w:trPr>
        <w:tc>
          <w:tcPr>
            <w:tcW w:w="2896" w:type="dxa"/>
          </w:tcPr>
          <w:p>
            <w:pPr/>
            <w:r>
              <w:t xml:space="preserve">β</w:t>
            </w:r>
          </w:p>
        </w:tc>
        <w:tc>
          <w:tcPr>
            <w:tcW w:w="2148" w:type="dxa"/>
          </w:tcPr>
          <w:p>
            <w:pPr/>
            <w:r>
              <w:t xml:space="preserve">2,081</w:t>
            </w:r>
          </w:p>
        </w:tc>
        <w:tc>
          <w:tcPr>
            <w:tcW w:w="4314" w:type="dxa"/>
          </w:tcPr>
          <w:p>
            <w:pPr/>
            <w:r>
              <w:t xml:space="preserve">2,683</w:t>
            </w:r>
          </w:p>
        </w:tc>
      </w:tr>
      <w:tr>
        <w:trPr>
          <w:cantSplit/>
        </w:trPr>
        <w:tc>
          <w:tcPr>
            <w:tcW w:w="2896" w:type="dxa"/>
          </w:tcPr>
          <w:p>
            <w:pPr/>
            <w:r>
              <w:t xml:space="preserve">η (h)</w:t>
            </w:r>
          </w:p>
        </w:tc>
        <w:tc>
          <w:tcPr>
            <w:tcW w:w="2148" w:type="dxa"/>
          </w:tcPr>
          <w:p>
            <w:pPr/>
            <w:r>
              <w:t xml:space="preserve">15.625</w:t>
            </w:r>
          </w:p>
        </w:tc>
        <w:tc>
          <w:tcPr>
            <w:tcW w:w="4314" w:type="dxa"/>
          </w:tcPr>
          <w:p>
            <w:pPr/>
            <w:r>
              <w:t xml:space="preserve">15.082</w:t>
            </w:r>
          </w:p>
        </w:tc>
      </w:tr>
      <w:tr>
        <w:trPr>
          <w:cantSplit/>
        </w:trPr>
        <w:tc>
          <w:tcPr>
            <w:tcW w:w="2896" w:type="dxa"/>
          </w:tcPr>
          <w:p>
            <w:pPr/>
            <w:r>
              <w:t xml:space="preserve">R² del ajuste</w:t>
            </w:r>
          </w:p>
        </w:tc>
        <w:tc>
          <w:tcPr>
            <w:tcW w:w="2148" w:type="dxa"/>
          </w:tcPr>
          <w:p>
            <w:pPr/>
            <w:r>
              <w:t xml:space="preserve">0,9922</w:t>
            </w:r>
          </w:p>
        </w:tc>
        <w:tc>
          <w:tcPr>
            <w:tcW w:w="4314" w:type="dxa"/>
          </w:tcPr>
          <w:p>
            <w:pPr/>
            <w:r>
              <w:t xml:space="preserve">—</w:t>
            </w:r>
          </w:p>
        </w:tc>
      </w:tr>
      <w:tr>
        <w:trPr>
          <w:cantSplit/>
        </w:trPr>
        <w:tc>
          <w:tcPr>
            <w:tcW w:w="2896" w:type="dxa"/>
          </w:tcPr>
          <w:p>
            <w:pPr/>
            <w:r>
              <w:t xml:space="preserve">MTTF (h)</w:t>
            </w:r>
          </w:p>
        </w:tc>
        <w:tc>
          <w:tcPr>
            <w:tcW w:w="2148" w:type="dxa"/>
          </w:tcPr>
          <w:p>
            <w:pPr/>
            <w:r>
              <w:t xml:space="preserve">13.840</w:t>
            </w:r>
          </w:p>
        </w:tc>
        <w:tc>
          <w:tcPr>
            <w:tcW w:w="4314" w:type="dxa"/>
          </w:tcPr>
          <w:p>
            <w:pPr/>
            <w:r>
              <w:t xml:space="preserve">—</w:t>
            </w:r>
          </w:p>
        </w:tc>
      </w:tr>
      <w:tr>
        <w:trPr>
          <w:cantSplit/>
        </w:trPr>
        <w:tc>
          <w:tcPr>
            <w:tcW w:w="2896" w:type="dxa"/>
          </w:tcPr>
          <w:p>
            <w:pPr/>
            <w:r>
              <w:t xml:space="preserve">Vida B10 (h)</w:t>
            </w:r>
          </w:p>
        </w:tc>
        <w:tc>
          <w:tcPr>
            <w:tcW w:w="2148" w:type="dxa"/>
          </w:tcPr>
          <w:p>
            <w:pPr/>
            <w:r>
              <w:t xml:space="preserve">5.300</w:t>
            </w:r>
          </w:p>
        </w:tc>
        <w:tc>
          <w:tcPr>
            <w:tcW w:w="4314" w:type="dxa"/>
          </w:tcPr>
          <w:p>
            <w:pPr/>
            <w:r>
              <w:t xml:space="preserve">—</w:t>
            </w:r>
          </w:p>
        </w:tc>
      </w:tr>
      <w:tr>
        <w:trPr>
          <w:cantSplit/>
        </w:trPr>
        <w:tc>
          <w:tcPr>
            <w:tcW w:w="2896" w:type="dxa"/>
          </w:tcPr>
          <w:p>
            <w:pPr/>
            <w:r>
              <w:t xml:space="preserve">R(8.760 h)</w:t>
            </w:r>
          </w:p>
        </w:tc>
        <w:tc>
          <w:tcPr>
            <w:tcW w:w="2148" w:type="dxa"/>
          </w:tcPr>
          <w:p>
            <w:pPr/>
            <w:r>
              <w:t xml:space="preserve">74,09 %</w:t>
            </w:r>
          </w:p>
        </w:tc>
        <w:tc>
          <w:tcPr>
            <w:tcW w:w="4314" w:type="dxa"/>
          </w:tcPr>
          <w:p>
            <w:pPr/>
            <w:r>
              <w:t xml:space="preserve">—</w:t>
            </w:r>
          </w:p>
        </w:tc>
      </w:tr>
    </w:tbl>
    <w:p>
      <w:pPr>
        <w:spacing w:before="160"/>
      </w:pPr>
      <w:r>
        <w:rPr>
          <w:b/>
        </w:rPr>
        <w:t xml:space="preserve">Lectura.</w:t>
      </w:r>
      <w:r>
        <w:t xml:space="preserve"> Ambos métodos coinciden en que hay desgaste (β &gt; 2), pero difieren en 29 %. Con solo 8 fallas el intervalo real de β es amplio, por lo que el valor es indicativo. Como criterio, conviene informar ambos y no basar una decisión de intervalo en uno solo.</w:t>
      </w:r>
    </w:p>
    <w:p>
      <w:pPr>
        <w:pStyle w:val="Heading2"/>
      </w:pPr>
      <w:r>
        <w:t xml:space="preserve">3. Weibull condicional</w:t>
      </w:r>
    </w:p>
    <w:p>
      <w:pPr/>
      <w:r>
        <w:t xml:space="preserve">Calcula la probabilidad de que un equipo que ya sobrevivió hasta la edad t₀ sobreviva un periodo adicional Δt. Es el cálculo que respalda o descarta una extensión de intervalo.</w:t>
      </w:r>
    </w:p>
    <w:p>
      <w:pPr/>
      <w:r>
        <w:rPr>
          <w:b/>
        </w:rPr>
        <w:t xml:space="preserve">Datos de entrada.</w:t>
      </w:r>
      <w:r>
        <w:t xml:space="preserve"> β, η, la edad actual t₀ y el periodo adicional Δt.</w:t>
      </w:r>
    </w:p>
    <w:p>
      <w:pPr/>
      <w:r>
        <w:rPr>
          <w:b/>
        </w:rPr>
        <w:t xml:space="preserve">Fórmula y origen.</w:t>
      </w:r>
      <w:r>
        <w:t xml:space="preserve"> Proviene de la definición de probabilidad condicional, P(T &gt; t₀ + Δt | T &gt; t₀) = R(t₀ + Δt) / R(t₀), aplicada a la Weibull (Ver Ecuación 9). Se supone que no hay mantenimiento que restituya la condición durante Δt. Además, el toolkit informa el riesgo instantáneo h(t) en t₀ y en t₀ + Δt, calculado con la Ecuación 2.</w:t>
      </w:r>
    </w:p>
    <w:p>
      <w:pPr>
        <w:spacing w:before="0" w:after="160"/>
      </w:pPr>
      <w:r>
        <w:rPr>
          <w:b/>
        </w:rPr>
        <w:t xml:space="preserve">Ecuación 9.</w:t>
      </w:r>
      <w:r>
        <w:t xml:space="preserve"> Confiabilidad condicional Weibull.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Δ</m:t>
                  </m:r>
                  <m:r>
                    <m:t>t</m:t>
                  </m:r>
                </m:e>
              </m:d>
            </m:num>
            <m:den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endChr m:val="}"/>
              <m:sepChr m:val=""/>
              <m:grow/>
            </m:dPr>
            <m:e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Δ</m:t>
                              </m:r>
                              <m:r>
                                <m:t>t</m:t>
                              </m:r>
                            </m:num>
                            <m:den>
                              <m:r>
                                <m:t>η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β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m:t>η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β</m:t>
                      </m:r>
                    </m:sup>
                  </m:sSup>
                </m:e>
              </m:d>
            </m:e>
          </m:d>
        </m:oMath>
      </m:oMathPara>
    </w:p>
    <w:p>
      <w:pPr/>
      <w:r>
        <w:rPr>
          <w:b/>
        </w:rPr>
        <w:t xml:space="preserve">Ejemplo.</w:t>
      </w:r>
      <w:r>
        <w:t xml:space="preserve"> β = 2,3; η = 21.500 h; el equipo tiene 12.000 h y se quiere extender 4.380 h (medio año) (Ver Tabla 5).</w:t>
      </w:r>
    </w:p>
    <w:p>
      <w:pPr>
        <w:keepNext/>
        <w:spacing w:before="160" w:after="60"/>
      </w:pPr>
      <w:r>
        <w:rPr>
          <w:b/>
        </w:rPr>
        <w:t xml:space="preserve">Tabla 5.</w:t>
      </w:r>
      <w:r>
        <w:t xml:space="preserve"> Resultados del ejemplo, módulo 3.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204"/>
        <w:gridCol w:w="3155"/>
      </w:tblGrid>
      <w:tr>
        <w:trPr>
          <w:tblHeader/>
          <w:cantSplit/>
        </w:trPr>
        <w:tc>
          <w:tcPr>
            <w:tcW w:w="6204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3155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rPr>
          <w:cantSplit/>
        </w:trPr>
        <w:tc>
          <w:tcPr>
            <w:tcW w:w="6204" w:type="dxa"/>
          </w:tcPr>
          <w:p>
            <w:pPr/>
            <w:r>
              <w:t xml:space="preserve">Confiabilidad condicional a Δt</w:t>
            </w:r>
          </w:p>
        </w:tc>
        <w:tc>
          <w:tcPr>
            <w:tcW w:w="3155" w:type="dxa"/>
          </w:tcPr>
          <w:p>
            <w:pPr/>
            <w:r>
              <w:t xml:space="preserve">76,08 %</w:t>
            </w:r>
          </w:p>
        </w:tc>
      </w:tr>
      <w:tr>
        <w:trPr>
          <w:cantSplit/>
        </w:trPr>
        <w:tc>
          <w:tcPr>
            <w:tcW w:w="6204" w:type="dxa"/>
          </w:tcPr>
          <w:p>
            <w:pPr/>
            <w:r>
              <w:t xml:space="preserve">Probabilidad de falla en Δt</w:t>
            </w:r>
          </w:p>
        </w:tc>
        <w:tc>
          <w:tcPr>
            <w:tcW w:w="3155" w:type="dxa"/>
          </w:tcPr>
          <w:p>
            <w:pPr/>
            <w:r>
              <w:t xml:space="preserve">23,92 %</w:t>
            </w:r>
          </w:p>
        </w:tc>
      </w:tr>
      <w:tr>
        <w:trPr>
          <w:cantSplit/>
        </w:trPr>
        <w:tc>
          <w:tcPr>
            <w:tcW w:w="6204" w:type="dxa"/>
          </w:tcPr>
          <w:p>
            <w:pPr/>
            <w:r>
              <w:t xml:space="preserve">Confiabilidad de un equipo nuevo en Δt</w:t>
            </w:r>
          </w:p>
        </w:tc>
        <w:tc>
          <w:tcPr>
            <w:tcW w:w="3155" w:type="dxa"/>
          </w:tcPr>
          <w:p>
            <w:pPr/>
            <w:r>
              <w:t xml:space="preserve">97,46 %</w:t>
            </w:r>
          </w:p>
        </w:tc>
      </w:tr>
      <w:tr>
        <w:trPr>
          <w:cantSplit/>
        </w:trPr>
        <w:tc>
          <w:tcPr>
            <w:tcW w:w="6204" w:type="dxa"/>
          </w:tcPr>
          <w:p>
            <w:pPr/>
            <w:r>
              <w:t xml:space="preserve">h(t₀)</w:t>
            </w:r>
          </w:p>
        </w:tc>
        <w:tc>
          <w:tcPr>
            <w:tcW w:w="3155" w:type="dxa"/>
          </w:tcPr>
          <w:p>
            <w:pPr/>
            <w:r>
              <w:t xml:space="preserve">5,013 × 10⁻⁵ 1/h</w:t>
            </w:r>
          </w:p>
        </w:tc>
      </w:tr>
      <w:tr>
        <w:trPr>
          <w:cantSplit/>
        </w:trPr>
        <w:tc>
          <w:tcPr>
            <w:tcW w:w="6204" w:type="dxa"/>
          </w:tcPr>
          <w:p>
            <w:pPr/>
            <w:r>
              <w:t xml:space="preserve">h(t₀ + Δt)</w:t>
            </w:r>
          </w:p>
        </w:tc>
        <w:tc>
          <w:tcPr>
            <w:tcW w:w="3155" w:type="dxa"/>
          </w:tcPr>
          <w:p>
            <w:pPr/>
            <w:r>
              <w:t xml:space="preserve">7,512 × 10⁻⁵ 1/h</w:t>
            </w:r>
          </w:p>
        </w:tc>
      </w:tr>
      <w:tr>
        <w:trPr>
          <w:cantSplit/>
        </w:trPr>
        <w:tc>
          <w:tcPr>
            <w:tcW w:w="6204" w:type="dxa"/>
          </w:tcPr>
          <w:p>
            <w:pPr/>
            <w:r>
              <w:t xml:space="preserve">Aumento del riesgo en el intervalo</w:t>
            </w:r>
          </w:p>
        </w:tc>
        <w:tc>
          <w:tcPr>
            <w:tcW w:w="3155" w:type="dxa"/>
          </w:tcPr>
          <w:p>
            <w:pPr/>
            <w:r>
              <w:t xml:space="preserve">1,5 veces</w:t>
            </w:r>
          </w:p>
        </w:tc>
      </w:tr>
    </w:tbl>
    <w:p>
      <w:pPr>
        <w:spacing w:before="160"/>
      </w:pPr>
      <w:r>
        <w:rPr>
          <w:b/>
        </w:rPr>
        <w:t xml:space="preserve">Lectura.</w:t>
      </w:r>
      <w:r>
        <w:t xml:space="preserve"> Llegar a 16.380 h desde 12.000 h cuesta 21,4 puntos porcentuales de confiabilidad respecto de un equipo nuevo que recorre el mismo periodo, y el riesgo instantáneo sube 1,5 veces dentro del intervalo. Con β mayor que 1, la extensión de intervalo deja de ser gratis a medida que el equipo envejece.</w:t>
      </w:r>
    </w:p>
    <w:p>
      <w:pPr>
        <w:pStyle w:val="Heading2"/>
      </w:pPr>
      <w:r>
        <w:t xml:space="preserve">4. MTBF de campo con límite de confianza</w:t>
      </w:r>
    </w:p>
    <w:p>
      <w:pPr/>
      <w:r>
        <w:t xml:space="preserve">Entrega el MTBF puntual y sus límites de confianza a partir de las horas-unidad acumuladas y el número de fallas, con la distribución χ². Responde qué MTBF se puede afirmar con una confianza dada, no solo cuál es el promedio observado.</w:t>
      </w:r>
    </w:p>
    <w:p>
      <w:pPr/>
      <w:r>
        <w:rPr>
          <w:b/>
        </w:rPr>
        <w:t xml:space="preserve">Datos de entrada.</w:t>
      </w:r>
      <w:r>
        <w:t xml:space="preserve"> Horas-unidad acumuladas T, número de fallas r, nivel de confianza C y tipo de término del ensayo (por tiempo o por falla).</w:t>
      </w:r>
    </w:p>
    <w:p>
      <w:pPr/>
      <w:r>
        <w:rPr>
          <w:b/>
        </w:rPr>
        <w:t xml:space="preserve">Fórmulas y origen.</w:t>
      </w:r>
      <w:r>
        <w:t xml:space="preserve"> Con tasa de falla constante, la cantidad 2T/MTBF sigue una distribución χ² (Epstein y Sobel, 1953), resultado clásico de las pruebas de vida con tasa de falla constante. De ahí salen los límites. En la notación χ²(p; ν), p es el cuantil y ν los grados de libertad. Si r = 0 no existe MTBF puntual y solo es defendible el límite inferior.</w:t>
      </w:r>
    </w:p>
    <w:p>
      <w:pPr>
        <w:spacing w:before="0" w:after="160"/>
      </w:pPr>
      <w:r>
        <w:rPr>
          <w:b/>
        </w:rPr>
        <w:t xml:space="preserve">Ecuación 10.</w:t>
      </w:r>
      <w:r>
        <w:t xml:space="preserve"> MTBF y tasa de falla puntuales.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T</m:t>
              </m:r>
            </m:den>
          </m:f>
        </m:oMath>
      </m:oMathPara>
    </w:p>
    <w:p>
      <w:pPr>
        <w:spacing w:before="0" w:after="160"/>
      </w:pPr>
      <w:r>
        <w:rPr>
          <w:b/>
        </w:rPr>
        <w:t xml:space="preserve">Ecuación 11.</w:t>
      </w:r>
      <w:r>
        <w:t xml:space="preserve"> Límites unilaterales con confianza C.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T</m:t>
              </m:r>
            </m:num>
            <m:den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2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den>
          </m:f>
          <m:r>
            <m:t> </m:t>
          </m:r>
          <m:r>
            <m:rPr>
              <m:nor/>
              <m:sty m:val="p"/>
            </m:rPr>
            <m:t>(término por tiempo)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T</m:t>
              </m:r>
            </m:num>
            <m:den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2</m:t>
                  </m:r>
                  <m:r>
                    <m:t>r</m:t>
                  </m:r>
                </m:e>
              </m:d>
            </m:den>
          </m:f>
          <m:r>
            <m:t> </m:t>
          </m:r>
          <m:r>
            <m:rPr>
              <m:nor/>
              <m:sty m:val="p"/>
            </m:rPr>
            <m:t>(término por falla)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s</m:t>
              </m:r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T</m:t>
              </m:r>
            </m:num>
            <m:den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2</m:t>
                  </m:r>
                  <m:r>
                    <m:t>r</m:t>
                  </m:r>
                </m:e>
              </m:d>
            </m:den>
          </m:f>
        </m:oMath>
      </m:oMathPara>
    </w:p>
    <w:p>
      <w:pPr>
        <w:spacing w:before="0" w:after="160"/>
      </w:pPr>
      <w:r>
        <w:rPr>
          <w:b/>
        </w:rPr>
        <w:t xml:space="preserve">Ecuación 12.</w:t>
      </w:r>
      <w:r>
        <w:t xml:space="preserve"> Intervalo bilateral con confianza C, con α = 1 − C y ν = 2r + 2 (por tiempo) o 2r (por falla).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t> 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T</m:t>
                  </m:r>
                </m:num>
                <m:den>
                  <m:sSup>
                    <m:e>
                      <m:r>
                        <m:t>χ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ν</m:t>
                      </m:r>
                    </m:e>
                  </m:d>
                </m:den>
              </m:f>
              <m:r>
                <m:t> </m:t>
              </m:r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T</m:t>
                  </m:r>
                </m:num>
                <m:den>
                  <m:sSup>
                    <m:e>
                      <m:r>
                        <m:t>χ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2</m:t>
                      </m:r>
                      <m:r>
                        <m:t>r</m:t>
                      </m:r>
                    </m:e>
                  </m:d>
                </m:den>
              </m:f>
              <m:r>
                <m:t> </m:t>
              </m:r>
            </m:e>
          </m:d>
        </m:oMath>
      </m:oMathPara>
    </w:p>
    <w:p>
      <w:pPr/>
      <w:r>
        <w:rPr>
          <w:b/>
        </w:rPr>
        <w:t xml:space="preserve">Ejemplo.</w:t>
      </w:r>
      <w:r>
        <w:t xml:space="preserve"> 7 fallas en 52.560 horas-unidad, ensayo terminado por tiempo y confianza de 80 % (Ver Tabla 6).</w:t>
      </w:r>
    </w:p>
    <w:p>
      <w:pPr>
        <w:keepNext/>
        <w:spacing w:before="160" w:after="60"/>
      </w:pPr>
      <w:r>
        <w:rPr>
          <w:b/>
        </w:rPr>
        <w:t xml:space="preserve">Tabla 6.</w:t>
      </w:r>
      <w:r>
        <w:t xml:space="preserve"> Resultados del ejemplo, módulo 4.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766"/>
        <w:gridCol w:w="3593"/>
      </w:tblGrid>
      <w:tr>
        <w:trPr>
          <w:tblHeader/>
          <w:cantSplit/>
        </w:trPr>
        <w:tc>
          <w:tcPr>
            <w:tcW w:w="5766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3593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rPr>
          <w:cantSplit/>
        </w:trPr>
        <w:tc>
          <w:tcPr>
            <w:tcW w:w="5766" w:type="dxa"/>
          </w:tcPr>
          <w:p>
            <w:pPr/>
            <w:r>
              <w:t xml:space="preserve">MTBF puntual</w:t>
            </w:r>
          </w:p>
        </w:tc>
        <w:tc>
          <w:tcPr>
            <w:tcW w:w="3593" w:type="dxa"/>
          </w:tcPr>
          <w:p>
            <w:pPr/>
            <w:r>
              <w:t xml:space="preserve">7.508,6 h</w:t>
            </w:r>
          </w:p>
        </w:tc>
      </w:tr>
      <w:tr>
        <w:trPr>
          <w:cantSplit/>
        </w:trPr>
        <w:tc>
          <w:tcPr>
            <w:tcW w:w="5766" w:type="dxa"/>
          </w:tcPr>
          <w:p>
            <w:pPr/>
            <w:r>
              <w:t xml:space="preserve">Tasa de falla λ</w:t>
            </w:r>
          </w:p>
        </w:tc>
        <w:tc>
          <w:tcPr>
            <w:tcW w:w="3593" w:type="dxa"/>
          </w:tcPr>
          <w:p>
            <w:pPr/>
            <w:r>
              <w:t xml:space="preserve">1,332 × 10⁻⁴ 1/h</w:t>
            </w:r>
          </w:p>
        </w:tc>
      </w:tr>
      <w:tr>
        <w:trPr>
          <w:cantSplit/>
        </w:trPr>
        <w:tc>
          <w:tcPr>
            <w:tcW w:w="5766" w:type="dxa"/>
          </w:tcPr>
          <w:p>
            <w:pPr/>
            <w:r>
              <w:t xml:space="preserve">Límite inferior unilateral (80 %)</w:t>
            </w:r>
          </w:p>
        </w:tc>
        <w:tc>
          <w:tcPr>
            <w:tcW w:w="3593" w:type="dxa"/>
          </w:tcPr>
          <w:p>
            <w:pPr/>
            <w:r>
              <w:t xml:space="preserve">5.136,6 h</w:t>
            </w:r>
          </w:p>
        </w:tc>
      </w:tr>
      <w:tr>
        <w:trPr>
          <w:cantSplit/>
        </w:trPr>
        <w:tc>
          <w:tcPr>
            <w:tcW w:w="5766" w:type="dxa"/>
          </w:tcPr>
          <w:p>
            <w:pPr/>
            <w:r>
              <w:t xml:space="preserve">Límite superior unilateral (80 %)</w:t>
            </w:r>
          </w:p>
        </w:tc>
        <w:tc>
          <w:tcPr>
            <w:tcW w:w="3593" w:type="dxa"/>
          </w:tcPr>
          <w:p>
            <w:pPr/>
            <w:r>
              <w:t xml:space="preserve">11.103 h</w:t>
            </w:r>
          </w:p>
        </w:tc>
      </w:tr>
      <w:tr>
        <w:trPr>
          <w:cantSplit/>
        </w:trPr>
        <w:tc>
          <w:tcPr>
            <w:tcW w:w="5766" w:type="dxa"/>
          </w:tcPr>
          <w:p>
            <w:pPr/>
            <w:r>
              <w:t xml:space="preserve">Intervalo bilateral (80 %)</w:t>
            </w:r>
          </w:p>
        </w:tc>
        <w:tc>
          <w:tcPr>
            <w:tcW w:w="3593" w:type="dxa"/>
          </w:tcPr>
          <w:p>
            <w:pPr/>
            <w:r>
              <w:t xml:space="preserve">4.465,2 h a 13.495 h</w:t>
            </w:r>
          </w:p>
        </w:tc>
      </w:tr>
    </w:tbl>
    <w:p>
      <w:pPr>
        <w:spacing w:before="160"/>
      </w:pPr>
      <w:r>
        <w:rPr>
          <w:b/>
        </w:rPr>
        <w:t xml:space="preserve">Lectura.</w:t>
      </w:r>
      <w:r>
        <w:t xml:space="preserve"> Con 80 % de confianza, el MTBF real supera las 5.136,6 h, que equivale al 68 % del valor puntual. Por lo anterior, se informa el límite y no el puntual. Si el equipo muestra desgaste (β mayor que 1 en el módulo 2), este MTBF describe el promedio del periodo observado y no el riesgo de hoy.</w:t>
      </w:r>
    </w:p>
    <w:p>
      <w:pPr>
        <w:pStyle w:val="Heading2"/>
      </w:pPr>
      <w:r>
        <w:t xml:space="preserve">5. Crow-AMSAA, tendencia y RAM</w:t>
      </w:r>
    </w:p>
    <w:p>
      <w:pPr/>
      <w:r>
        <w:t xml:space="preserve">Ajusta el proceso de Poisson no homogéneo (ley de potencia) a los tiempos acumulados de falla de un sistema reparable. Responde si el equipo se deteriora o mejora, cuál es su MTBF hoy y, con el modelo ajustado, qué confiabilidad tiene una misión que parte a una edad dada y qué disponibilidad resulta. Es el único módulo que usa reparación mínima (cada reparación deja al equipo “tan malo como antes”).</w:t>
      </w:r>
    </w:p>
    <w:p>
      <w:pPr/>
      <w:r>
        <w:rPr>
          <w:b/>
        </w:rPr>
        <w:t xml:space="preserve">Datos de entrada.</w:t>
      </w:r>
      <w:r>
        <w:t xml:space="preserve"> Los tiempos acumulados de falla (en orden ascendente, desde un origen común t = 0), el tiempo total T, el tipo de cierre de la observación y el tiempo a proyectar. Para el análisis RAM se agregan la edad de partida t₀, la misión x, el MTTR, la demora logística y la disponibilidad meta.</w:t>
      </w:r>
    </w:p>
    <w:p>
      <w:pPr/>
      <w:r>
        <w:rPr>
          <w:b/>
        </w:rPr>
        <w:t xml:space="preserve">Fórmulas y origen: modelo.</w:t>
      </w:r>
      <w:r>
        <w:t xml:space="preserve"> El modelo Crow-AMSAA (MIL-HDBK-189C) describe el número esperado de fallas acumuladas W(t) con una ley de potencia. De ella se derivan la intensidad de fallas ω(t) y el MTBF instantáneo (Ver Ecuación 13). Son las mismas expresiones de la lámina del módulo Análisis Costo Ciclo de Vida (UNAB, 2024).</w:t>
      </w:r>
    </w:p>
    <w:p>
      <w:pPr>
        <w:spacing w:before="0" w:after="160"/>
      </w:pPr>
      <w:r>
        <w:rPr>
          <w:b/>
        </w:rPr>
        <w:t xml:space="preserve">Ecuación 13.</w:t>
      </w:r>
      <w:r>
        <w:t xml:space="preserve"> Número esperado de fallas, intensidad y MTBF instantáneo.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λ</m:t>
          </m:r>
          <m:r>
            <m:t> </m:t>
          </m:r>
          <m:sSup>
            <m:e>
              <m:r>
                <m:t>t</m:t>
              </m:r>
            </m:e>
            <m:sup>
              <m:r>
                <m:t>β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λ</m:t>
          </m:r>
          <m:r>
            <m:t>β</m:t>
          </m:r>
          <m:r>
            <m:t> </m:t>
          </m:r>
          <m:sSup>
            <m:e>
              <m:r>
                <m:t>t</m:t>
              </m:r>
            </m:e>
            <m:sup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i</m:t>
              </m:r>
              <m:r>
                <m:t>n</m:t>
              </m:r>
              <m:r>
                <m:t>s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  <m:r>
                <m:t>β</m:t>
              </m:r>
              <m:r>
                <m:t> </m:t>
              </m:r>
              <m:sSup>
                <m:e>
                  <m:r>
                    <m:t>t</m:t>
                  </m:r>
                </m:e>
                <m:sup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</m:oMath>
      </m:oMathPara>
    </w:p>
    <w:p>
      <w:pPr/>
      <w:r>
        <w:rPr>
          <w:b/>
        </w:rPr>
        <w:t xml:space="preserve">Fórmulas y origen: estimadores.</w:t>
      </w:r>
      <w:r>
        <w:t xml:space="preserve"> Con cierre a T fija (fecha de corte), los parámetros se estiman por máxima verosimilitud (Ver Ecuación 14). Con cierre en la última falla, el toolkit usa la Ecuación 15, con T igual al último tiempo. El MTBF acumulado es simplemente T/N.</w:t>
      </w:r>
    </w:p>
    <w:p>
      <w:pPr>
        <w:spacing w:before="0" w:after="160"/>
      </w:pPr>
      <w:r>
        <w:rPr>
          <w:b/>
        </w:rPr>
        <w:t xml:space="preserve">Ecuación 14.</w:t>
      </w:r>
      <w:r>
        <w:t xml:space="preserve"> Estimadores con T fija.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p>
                <m:e>
                  <m:r>
                    <m:t>T</m:t>
                  </m:r>
                </m:e>
                <m:sup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sup>
              </m:sSup>
            </m:den>
          </m:f>
        </m:oMath>
      </m:oMathPara>
    </w:p>
    <w:p>
      <w:pPr>
        <w:spacing w:before="0" w:after="160"/>
      </w:pPr>
      <w:r>
        <w:rPr>
          <w:b/>
        </w:rPr>
        <w:t xml:space="preserve">Ecuación 15.</w:t>
      </w:r>
      <w:r>
        <w:t xml:space="preserve"> Estimador de β con cierre en la última falla (T = tₙ), tal como lo implementa el toolkit.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/>
      <w:r>
        <w:rPr>
          <w:b/>
        </w:rPr>
        <w:t xml:space="preserve">Fórmulas y origen: tendencia.</w:t>
      </w:r>
      <w:r>
        <w:t xml:space="preserve"> El estadístico de Laplace compara el promedio de los tiempos de falla con el punto medio de la ventana. Si la tasa de fallas fuera constante, U se distribuye aproximadamente normal estándar.</w:t>
      </w:r>
    </w:p>
    <w:p>
      <w:pPr>
        <w:spacing w:before="0" w:after="160"/>
      </w:pPr>
      <w:r>
        <w:rPr>
          <w:b/>
        </w:rPr>
        <w:t xml:space="preserve">Ecuación 16.</w:t>
      </w:r>
      <w:r>
        <w:t xml:space="preserve"> Estadístico de Laplace.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t>T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12</m:t>
                      </m:r>
                      <m:r>
                        <m:t>N</m:t>
                      </m:r>
                    </m:den>
                  </m:f>
                </m:e>
              </m:rad>
            </m:den>
          </m:f>
        </m:oMath>
      </m:oMathPara>
    </w:p>
    <w:p>
      <w:pPr/>
      <w:r>
        <w:t xml:space="preserve">Si |U| es menor que 1,645, al 90 % no se rechaza tasa constante. Con U positivo hay deterioro (las fallas se acercan) y con U negativo hay mejora. La proyección usa las mismas expresiones: las fallas esperadas a un tiempo dado son W(t) y el MTBF instantáneo proyectado sale de la Ecuación 13 evaluada en ese tiempo.</w:t>
      </w:r>
    </w:p>
    <w:p>
      <w:pPr/>
      <w:r>
        <w:rPr>
          <w:b/>
        </w:rPr>
        <w:t xml:space="preserve">Fórmulas y origen: confiabilidad desde una edad t₀.</w:t>
      </w:r>
      <w:r>
        <w:t xml:space="preserve"> Respondiendo a la pregunta “¿desde qué tiempo funciona?”, la confiabilidad de una misión de x horas que parte a la edad t₀ es la probabilidad de cero fallas en el intervalo (t₀, t₀ + x]. En un proceso de Poisson no homogéneo esa probabilidad es exp(−[W(t₀ + x) − W(t₀)]) (Ver Ecuación 17). Con t₀ = 0 se obtiene R(t) = exp(−λtᵝ), la expresión de la lámina. Con β mayor que 1, partir a una edad avanzada siempre da menos confiabilidad que partir de cero.</w:t>
      </w:r>
    </w:p>
    <w:p>
      <w:pPr>
        <w:spacing w:before="0" w:after="160"/>
      </w:pPr>
      <w:r>
        <w:rPr>
          <w:b/>
        </w:rPr>
        <w:t xml:space="preserve">Ecuación 17.</w:t>
      </w:r>
      <w:r>
        <w:t xml:space="preserve"> Confiabilidad de la misión x que parte a la edad t₀.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endChr m:val="}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β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β</m:t>
                      </m:r>
                    </m:sup>
                  </m:sSubSup>
                </m:e>
              </m:d>
            </m:e>
          </m:d>
        </m:oMath>
      </m:oMathPara>
    </w:p>
    <w:p>
      <w:pPr/>
      <w:r>
        <w:t xml:space="preserve">Las fallas esperadas durante la misión son λ[(t₀ + x)ᵝ − t₀ᵝ]. La predicción de falla futura de la lámina entrega la edad en que el número esperado de fallas sube en una unidad, con n(t₀) = λt₀ᵝ (Ver Ecuación 18). Como complemento, la mediana del tiempo a la próxima falla sale de igualar R(x | t₀) a 0,5 (Ver Ecuación 19).</w:t>
      </w:r>
    </w:p>
    <w:p>
      <w:pPr>
        <w:spacing w:before="0" w:after="160"/>
      </w:pPr>
      <w:r>
        <w:rPr>
          <w:b/>
        </w:rPr>
        <w:t xml:space="preserve">Ecuación 18.</w:t>
      </w:r>
      <w:r>
        <w:t xml:space="preserve"> Edad esperada de la próxima falla.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  <m:r>
                <m:t>i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β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horas hasta la próxima falla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i</m:t>
              </m:r>
              <m:r>
                <m:t>g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</m:oMath>
      </m:oMathPara>
    </w:p>
    <w:p>
      <w:pPr>
        <w:spacing w:before="0" w:after="160"/>
      </w:pPr>
      <w:r>
        <w:rPr>
          <w:b/>
        </w:rPr>
        <w:t xml:space="preserve">Ecuación 19.</w:t>
      </w:r>
      <w:r>
        <w:t xml:space="preserve"> Mediana del tiempo a la próxima falla, medida desde t₀.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50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β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</m:oMath>
      </m:oMathPara>
    </w:p>
    <w:p>
      <w:pPr/>
      <w:r>
        <w:rPr>
          <w:b/>
        </w:rPr>
        <w:t xml:space="preserve">Fórmulas y origen: disponibilidad (RAM).</w:t>
      </w:r>
      <w:r>
        <w:t xml:space="preserve"> Se aplican las definiciones de disponibilidad del módulo 6, pero con el MTBF instantáneo evaluado en t₀ (Ver Ecuación 20). Esto supone que el MTBF es constante durante la misión, razonable si x es pequeño frente a t₀, y no contabiliza mantenimiento preventivo. Si t₀ supera el tiempo observado T, el toolkit lo advierte, porque entonces el modelo se extrapola más allá de los datos.</w:t>
      </w:r>
    </w:p>
    <w:p>
      <w:pPr>
        <w:spacing w:before="0" w:after="160"/>
      </w:pPr>
      <w:r>
        <w:rPr>
          <w:b/>
        </w:rPr>
        <w:t xml:space="preserve">Ecuación 20.</w:t>
      </w:r>
      <w:r>
        <w:t xml:space="preserve"> Disponibilidad con el MTBF instantáneo a t₀, con Tₗₒg la demora logística y administrativa.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s</m:t>
                  </m:r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g</m:t>
                  </m:r>
                </m:sub>
              </m:sSub>
            </m:den>
          </m:f>
        </m:oMath>
      </m:oMathPara>
    </w:p>
    <w:p>
      <w:pPr/>
      <w:r>
        <w:rPr>
          <w:b/>
        </w:rPr>
        <w:t xml:space="preserve">Ejemplo.</w:t>
      </w:r>
      <w:r>
        <w:t xml:space="preserve"> Doce fallas acumuladas (620; 1.480; 2.310; 3.050; 3.990; 4.420; 5.180; 5.610; 6.240; 6.610; 7.050 y 7.380 h), cierre a T = 8.760 h, t₀ = 8.760 h, misión de 720 h, MTTR de 14 h, demora logística de 26 h y meta de disponibilidad de 97 % (Ver Tabla 7).</w:t>
      </w:r>
    </w:p>
    <w:p>
      <w:pPr>
        <w:keepNext/>
        <w:spacing w:before="160" w:after="60"/>
      </w:pPr>
      <w:r>
        <w:rPr>
          <w:b/>
        </w:rPr>
        <w:t xml:space="preserve">Tabla 7.</w:t>
      </w:r>
      <w:r>
        <w:t xml:space="preserve"> Resultados del ejemplo, módulo 5.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35"/>
        <w:gridCol w:w="4690"/>
        <w:gridCol w:w="3133"/>
      </w:tblGrid>
      <w:tr>
        <w:trPr>
          <w:tblHeader/>
          <w:cantSplit/>
        </w:trPr>
        <w:tc>
          <w:tcPr>
            <w:tcW w:w="1535" w:type="dxa"/>
            <w:shd w:val="clear" w:color="auto" w:fill="F2F2F2"/>
          </w:tcPr>
          <w:p>
            <w:pPr/>
            <w:r>
              <w:t xml:space="preserve">Bloque</w:t>
            </w:r>
          </w:p>
        </w:tc>
        <w:tc>
          <w:tcPr>
            <w:tcW w:w="4690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3133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Ajuste</w:t>
            </w:r>
          </w:p>
        </w:tc>
        <w:tc>
          <w:tcPr>
            <w:tcW w:w="4690" w:type="dxa"/>
          </w:tcPr>
          <w:p>
            <w:pPr/>
            <w:r>
              <w:t xml:space="preserve">β</w:t>
            </w:r>
          </w:p>
        </w:tc>
        <w:tc>
          <w:tcPr>
            <w:tcW w:w="3133" w:type="dxa"/>
          </w:tcPr>
          <w:p>
            <w:pPr/>
            <w:r>
              <w:t xml:space="preserve">1,169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Ajuste</w:t>
            </w:r>
          </w:p>
        </w:tc>
        <w:tc>
          <w:tcPr>
            <w:tcW w:w="4690" w:type="dxa"/>
          </w:tcPr>
          <w:p>
            <w:pPr/>
            <w:r>
              <w:t xml:space="preserve">λ</w:t>
            </w:r>
          </w:p>
        </w:tc>
        <w:tc>
          <w:tcPr>
            <w:tcW w:w="3133" w:type="dxa"/>
          </w:tcPr>
          <w:p>
            <w:pPr/>
            <w:r>
              <w:t xml:space="preserve">2,954 × 10⁻⁴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Ajuste</w:t>
            </w:r>
          </w:p>
        </w:tc>
        <w:tc>
          <w:tcPr>
            <w:tcW w:w="4690" w:type="dxa"/>
          </w:tcPr>
          <w:p>
            <w:pPr/>
            <w:r>
              <w:t xml:space="preserve">MTBF acumulado</w:t>
            </w:r>
          </w:p>
        </w:tc>
        <w:tc>
          <w:tcPr>
            <w:tcW w:w="3133" w:type="dxa"/>
          </w:tcPr>
          <w:p>
            <w:pPr/>
            <w:r>
              <w:t xml:space="preserve">730 h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Ajuste</w:t>
            </w:r>
          </w:p>
        </w:tc>
        <w:tc>
          <w:tcPr>
            <w:tcW w:w="4690" w:type="dxa"/>
          </w:tcPr>
          <w:p>
            <w:pPr/>
            <w:r>
              <w:t xml:space="preserve">MTBF instantáneo</w:t>
            </w:r>
          </w:p>
        </w:tc>
        <w:tc>
          <w:tcPr>
            <w:tcW w:w="3133" w:type="dxa"/>
          </w:tcPr>
          <w:p>
            <w:pPr/>
            <w:r>
              <w:t xml:space="preserve">624,47 h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Tendencia</w:t>
            </w:r>
          </w:p>
        </w:tc>
        <w:tc>
          <w:tcPr>
            <w:tcW w:w="4690" w:type="dxa"/>
          </w:tcPr>
          <w:p>
            <w:pPr/>
            <w:r>
              <w:t xml:space="preserve">Laplace U</w:t>
            </w:r>
          </w:p>
        </w:tc>
        <w:tc>
          <w:tcPr>
            <w:tcW w:w="3133" w:type="dxa"/>
          </w:tcPr>
          <w:p>
            <w:pPr/>
            <w:r>
              <w:t xml:space="preserve">0,158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Proyección</w:t>
            </w:r>
          </w:p>
        </w:tc>
        <w:tc>
          <w:tcPr>
            <w:tcW w:w="4690" w:type="dxa"/>
          </w:tcPr>
          <w:p>
            <w:pPr/>
            <w:r>
              <w:t xml:space="preserve">Fallas esperadas a 17.520 h</w:t>
            </w:r>
          </w:p>
        </w:tc>
        <w:tc>
          <w:tcPr>
            <w:tcW w:w="3133" w:type="dxa"/>
          </w:tcPr>
          <w:p>
            <w:pPr/>
            <w:r>
              <w:t xml:space="preserve">26,98 (14,98 adicionales)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Proyección</w:t>
            </w:r>
          </w:p>
        </w:tc>
        <w:tc>
          <w:tcPr>
            <w:tcW w:w="4690" w:type="dxa"/>
          </w:tcPr>
          <w:p>
            <w:pPr/>
            <w:r>
              <w:t xml:space="preserve">MTBF instantáneo a 17.520 h</w:t>
            </w:r>
          </w:p>
        </w:tc>
        <w:tc>
          <w:tcPr>
            <w:tcW w:w="3133" w:type="dxa"/>
          </w:tcPr>
          <w:p>
            <w:pPr/>
            <w:r>
              <w:t xml:space="preserve">555,45 h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Misión</w:t>
            </w:r>
          </w:p>
        </w:tc>
        <w:tc>
          <w:tcPr>
            <w:tcW w:w="4690" w:type="dxa"/>
          </w:tcPr>
          <w:p>
            <w:pPr/>
            <w:r>
              <w:t xml:space="preserve">Confiabilidad desde t₀ = 8.760 h</w:t>
            </w:r>
          </w:p>
        </w:tc>
        <w:tc>
          <w:tcPr>
            <w:tcW w:w="3133" w:type="dxa"/>
          </w:tcPr>
          <w:p>
            <w:pPr/>
            <w:r>
              <w:t xml:space="preserve">31,32 %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Misión</w:t>
            </w:r>
          </w:p>
        </w:tc>
        <w:tc>
          <w:tcPr>
            <w:tcW w:w="4690" w:type="dxa"/>
          </w:tcPr>
          <w:p>
            <w:pPr/>
            <w:r>
              <w:t xml:space="preserve">Confiabilidad desde cero (referencia)</w:t>
            </w:r>
          </w:p>
        </w:tc>
        <w:tc>
          <w:tcPr>
            <w:tcW w:w="3133" w:type="dxa"/>
          </w:tcPr>
          <w:p>
            <w:pPr/>
            <w:r>
              <w:t xml:space="preserve">52,38 %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Misión</w:t>
            </w:r>
          </w:p>
        </w:tc>
        <w:tc>
          <w:tcPr>
            <w:tcW w:w="4690" w:type="dxa"/>
          </w:tcPr>
          <w:p>
            <w:pPr/>
            <w:r>
              <w:t xml:space="preserve">Fallas esperadas en la misión</w:t>
            </w:r>
          </w:p>
        </w:tc>
        <w:tc>
          <w:tcPr>
            <w:tcW w:w="3133" w:type="dxa"/>
          </w:tcPr>
          <w:p>
            <w:pPr/>
            <w:r>
              <w:t xml:space="preserve">1,16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Misión</w:t>
            </w:r>
          </w:p>
        </w:tc>
        <w:tc>
          <w:tcPr>
            <w:tcW w:w="4690" w:type="dxa"/>
          </w:tcPr>
          <w:p>
            <w:pPr/>
            <w:r>
              <w:t xml:space="preserve">Edad de la próxima falla</w:t>
            </w:r>
          </w:p>
        </w:tc>
        <w:tc>
          <w:tcPr>
            <w:tcW w:w="3133" w:type="dxa"/>
          </w:tcPr>
          <w:p>
            <w:pPr/>
            <w:r>
              <w:t xml:space="preserve">9.380,8 h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Misión</w:t>
            </w:r>
          </w:p>
        </w:tc>
        <w:tc>
          <w:tcPr>
            <w:tcW w:w="4690" w:type="dxa"/>
          </w:tcPr>
          <w:p>
            <w:pPr/>
            <w:r>
              <w:t xml:space="preserve">Horas hasta la próxima falla</w:t>
            </w:r>
          </w:p>
        </w:tc>
        <w:tc>
          <w:tcPr>
            <w:tcW w:w="3133" w:type="dxa"/>
          </w:tcPr>
          <w:p>
            <w:pPr/>
            <w:r>
              <w:t xml:space="preserve">620,83 h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Misión</w:t>
            </w:r>
          </w:p>
        </w:tc>
        <w:tc>
          <w:tcPr>
            <w:tcW w:w="4690" w:type="dxa"/>
          </w:tcPr>
          <w:p>
            <w:pPr/>
            <w:r>
              <w:t xml:space="preserve">Mediana a la próxima falla</w:t>
            </w:r>
          </w:p>
        </w:tc>
        <w:tc>
          <w:tcPr>
            <w:tcW w:w="3133" w:type="dxa"/>
          </w:tcPr>
          <w:p>
            <w:pPr/>
            <w:r>
              <w:t xml:space="preserve">431,08 h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RAM</w:t>
            </w:r>
          </w:p>
        </w:tc>
        <w:tc>
          <w:tcPr>
            <w:tcW w:w="4690" w:type="dxa"/>
          </w:tcPr>
          <w:p>
            <w:pPr/>
            <w:r>
              <w:t xml:space="preserve">Aᵢ</w:t>
            </w:r>
          </w:p>
        </w:tc>
        <w:tc>
          <w:tcPr>
            <w:tcW w:w="3133" w:type="dxa"/>
          </w:tcPr>
          <w:p>
            <w:pPr/>
            <w:r>
              <w:t xml:space="preserve">97,807 %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RAM</w:t>
            </w:r>
          </w:p>
        </w:tc>
        <w:tc>
          <w:tcPr>
            <w:tcW w:w="4690" w:type="dxa"/>
          </w:tcPr>
          <w:p>
            <w:pPr/>
            <w:r>
              <w:t xml:space="preserve">A₀</w:t>
            </w:r>
          </w:p>
        </w:tc>
        <w:tc>
          <w:tcPr>
            <w:tcW w:w="3133" w:type="dxa"/>
          </w:tcPr>
          <w:p>
            <w:pPr/>
            <w:r>
              <w:t xml:space="preserve">93,980 %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RAM</w:t>
            </w:r>
          </w:p>
        </w:tc>
        <w:tc>
          <w:tcPr>
            <w:tcW w:w="4690" w:type="dxa"/>
          </w:tcPr>
          <w:p>
            <w:pPr/>
            <w:r>
              <w:t xml:space="preserve">A₀ con MTBF acumulado (referencia)</w:t>
            </w:r>
          </w:p>
        </w:tc>
        <w:tc>
          <w:tcPr>
            <w:tcW w:w="3133" w:type="dxa"/>
          </w:tcPr>
          <w:p>
            <w:pPr/>
            <w:r>
              <w:t xml:space="preserve">94,805 %</w:t>
            </w:r>
          </w:p>
        </w:tc>
      </w:tr>
      <w:tr>
        <w:trPr>
          <w:cantSplit/>
        </w:trPr>
        <w:tc>
          <w:tcPr>
            <w:tcW w:w="1535" w:type="dxa"/>
          </w:tcPr>
          <w:p>
            <w:pPr/>
            <w:r>
              <w:t xml:space="preserve">RAM</w:t>
            </w:r>
          </w:p>
        </w:tc>
        <w:tc>
          <w:tcPr>
            <w:tcW w:w="4690" w:type="dxa"/>
          </w:tcPr>
          <w:p>
            <w:pPr/>
            <w:r>
              <w:t xml:space="preserve">MDT máximo para la meta de 97 %</w:t>
            </w:r>
          </w:p>
        </w:tc>
        <w:tc>
          <w:tcPr>
            <w:tcW w:w="3133" w:type="dxa"/>
          </w:tcPr>
          <w:p>
            <w:pPr/>
            <w:r>
              <w:t xml:space="preserve">19,31 h</w:t>
            </w:r>
          </w:p>
        </w:tc>
      </w:tr>
    </w:tbl>
    <w:p>
      <w:pPr>
        <w:spacing w:before="160"/>
      </w:pPr>
      <w:r>
        <w:rPr>
          <w:b/>
        </w:rPr>
        <w:t xml:space="preserve">Lectura.</w:t>
      </w:r>
      <w:r>
        <w:t xml:space="preserve"> El valor de β (1,17) sugiere deterioro, pero con |U| = 0,158 no se rechaza tasa de falla constante al 90 %. Por lo tanto, la diferencia de 21,1 puntos porcentuales entre la confiabilidad desde t₀ y desde cero depende de un β que estadísticamente no se distingue de 1, y debe leerse como indicativa. En disponibilidad, A₀ de 93,98 % queda bajo la meta de 97 %: el MDT total de 40 h debería bajar a 19,3 h o el MTBF subir. Con el MTBF acumulado se habría informado 94,81 %, que sobrestima la condición actual.</w:t>
      </w:r>
    </w:p>
    <w:p>
      <w:pPr>
        <w:pStyle w:val="Heading2"/>
      </w:pPr>
      <w:r>
        <w:t xml:space="preserve">6. Disponibilidad</w:t>
      </w:r>
    </w:p>
    <w:p>
      <w:pPr/>
      <w:r>
        <w:t xml:space="preserve">Entrega la disponibilidad inherente y la operacional, las horas de indisponibilidad al año y el MDT máximo (o el MTBF mínimo) que permite alcanzar una meta.</w:t>
      </w:r>
    </w:p>
    <w:p>
      <w:pPr/>
      <w:r>
        <w:rPr>
          <w:b/>
        </w:rPr>
        <w:t xml:space="preserve">Datos de entrada.</w:t>
      </w:r>
      <w:r>
        <w:t xml:space="preserve"> MTBF, MTTR correctivo, demora logística y administrativa, y disponibilidad meta.</w:t>
      </w:r>
    </w:p>
    <w:p>
      <w:pPr/>
      <w:r>
        <w:rPr>
          <w:b/>
        </w:rPr>
        <w:t xml:space="preserve">Fórmulas y origen.</w:t>
      </w:r>
      <w:r>
        <w:t xml:space="preserve"> Son las definiciones de disponibilidad en régimen estacionario: tiempo operativo sobre tiempo total. Aᵢ considera solo la reparación activa; A₀ suma la espera de repuestos, permisos y cuadrilla, que suele ser la parte grande (Ver Ecuación 21). Las condiciones para cumplir una meta salen de despejar A₀ (Ver Ecuación 22).</w:t>
      </w:r>
    </w:p>
    <w:p>
      <w:pPr>
        <w:spacing w:before="0" w:after="160"/>
      </w:pPr>
      <w:r>
        <w:rPr>
          <w:b/>
        </w:rPr>
        <w:t xml:space="preserve">Ecuación 21.</w:t>
      </w:r>
      <w:r>
        <w:t xml:space="preserve"> Disponibilidad inherente y operacional.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</m:t>
          </m:r>
          <m:r>
            <m:rPr>
              <m:sty m:val="p"/>
            </m:rPr>
            <m:t>D</m:t>
          </m:r>
          <m:r>
            <m:rPr>
              <m:sty m:val="p"/>
            </m:rP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o</m:t>
              </m:r>
              <m:r>
                <m:t>g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T</m:t>
              </m:r>
            </m:den>
          </m:f>
        </m:oMath>
      </m:oMathPara>
    </w:p>
    <w:p>
      <w:pPr>
        <w:spacing w:before="0" w:after="160"/>
      </w:pPr>
      <w:r>
        <w:rPr>
          <w:b/>
        </w:rPr>
        <w:t xml:space="preserve">Ecuación 22.</w:t>
      </w:r>
      <w:r>
        <w:t xml:space="preserve"> MDT máximo y MTBF mínimo para una meta A, y horas de indisponibilidad al año.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T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T</m:t>
              </m:r>
              <m:r>
                <m:t> 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a</m:t>
              </m:r>
              <m:r>
                <m:t>b</m:t>
              </m:r>
              <m:r>
                <m:t>a</m:t>
              </m:r>
              <m:r>
                <m:t>j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r>
            <m:t>8760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/>
      <w:r>
        <w:rPr>
          <w:b/>
        </w:rPr>
        <w:t xml:space="preserve">Ejemplo.</w:t>
      </w:r>
      <w:r>
        <w:t xml:space="preserve"> MTBF de 2.190 h, MTTR de 14 h, demora logística de 26 h y meta de 97 % (Ver Tabla 8).</w:t>
      </w:r>
    </w:p>
    <w:p>
      <w:pPr>
        <w:keepNext/>
        <w:spacing w:before="160" w:after="60"/>
      </w:pPr>
      <w:r>
        <w:rPr>
          <w:b/>
        </w:rPr>
        <w:t xml:space="preserve">Tabla 8.</w:t>
      </w:r>
      <w:r>
        <w:t xml:space="preserve"> Resultados del ejemplo, módulo 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73"/>
        <w:gridCol w:w="2086"/>
      </w:tblGrid>
      <w:tr>
        <w:trPr>
          <w:tblHeader/>
          <w:cantSplit/>
        </w:trPr>
        <w:tc>
          <w:tcPr>
            <w:tcW w:w="7273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2086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rPr>
          <w:cantSplit/>
        </w:trPr>
        <w:tc>
          <w:tcPr>
            <w:tcW w:w="7273" w:type="dxa"/>
          </w:tcPr>
          <w:p>
            <w:pPr/>
            <w:r>
              <w:t xml:space="preserve">Aᵢ</w:t>
            </w:r>
          </w:p>
        </w:tc>
        <w:tc>
          <w:tcPr>
            <w:tcW w:w="2086" w:type="dxa"/>
          </w:tcPr>
          <w:p>
            <w:pPr/>
            <w:r>
              <w:t xml:space="preserve">99,365 %</w:t>
            </w:r>
          </w:p>
        </w:tc>
      </w:tr>
      <w:tr>
        <w:trPr>
          <w:cantSplit/>
        </w:trPr>
        <w:tc>
          <w:tcPr>
            <w:tcW w:w="7273" w:type="dxa"/>
          </w:tcPr>
          <w:p>
            <w:pPr/>
            <w:r>
              <w:t xml:space="preserve">A₀</w:t>
            </w:r>
          </w:p>
        </w:tc>
        <w:tc>
          <w:tcPr>
            <w:tcW w:w="2086" w:type="dxa"/>
          </w:tcPr>
          <w:p>
            <w:pPr/>
            <w:r>
              <w:t xml:space="preserve">98,206 %</w:t>
            </w:r>
          </w:p>
        </w:tc>
      </w:tr>
      <w:tr>
        <w:trPr>
          <w:cantSplit/>
        </w:trPr>
        <w:tc>
          <w:tcPr>
            <w:tcW w:w="7273" w:type="dxa"/>
          </w:tcPr>
          <w:p>
            <w:pPr/>
            <w:r>
              <w:t xml:space="preserve">Indisponibilidad por año</w:t>
            </w:r>
          </w:p>
        </w:tc>
        <w:tc>
          <w:tcPr>
            <w:tcW w:w="2086" w:type="dxa"/>
          </w:tcPr>
          <w:p>
            <w:pPr/>
            <w:r>
              <w:t xml:space="preserve">157,1 h</w:t>
            </w:r>
          </w:p>
        </w:tc>
      </w:tr>
      <w:tr>
        <w:trPr>
          <w:cantSplit/>
        </w:trPr>
        <w:tc>
          <w:tcPr>
            <w:tcW w:w="7273" w:type="dxa"/>
          </w:tcPr>
          <w:p>
            <w:pPr/>
            <w:r>
              <w:t xml:space="preserve">MDT total</w:t>
            </w:r>
          </w:p>
        </w:tc>
        <w:tc>
          <w:tcPr>
            <w:tcW w:w="2086" w:type="dxa"/>
          </w:tcPr>
          <w:p>
            <w:pPr/>
            <w:r>
              <w:t xml:space="preserve">40 h</w:t>
            </w:r>
          </w:p>
        </w:tc>
      </w:tr>
      <w:tr>
        <w:trPr>
          <w:cantSplit/>
        </w:trPr>
        <w:tc>
          <w:tcPr>
            <w:tcW w:w="7273" w:type="dxa"/>
          </w:tcPr>
          <w:p>
            <w:pPr/>
            <w:r>
              <w:t xml:space="preserve">MDT máximo para la meta de 97 %</w:t>
            </w:r>
          </w:p>
        </w:tc>
        <w:tc>
          <w:tcPr>
            <w:tcW w:w="2086" w:type="dxa"/>
          </w:tcPr>
          <w:p>
            <w:pPr/>
            <w:r>
              <w:t xml:space="preserve">67,73 h</w:t>
            </w:r>
          </w:p>
        </w:tc>
      </w:tr>
      <w:tr>
        <w:trPr>
          <w:cantSplit/>
        </w:trPr>
        <w:tc>
          <w:tcPr>
            <w:tcW w:w="7273" w:type="dxa"/>
          </w:tcPr>
          <w:p>
            <w:pPr/>
            <w:r>
              <w:t xml:space="preserve">MTBF mínimo para la meta de 97 %</w:t>
            </w:r>
          </w:p>
        </w:tc>
        <w:tc>
          <w:tcPr>
            <w:tcW w:w="2086" w:type="dxa"/>
          </w:tcPr>
          <w:p>
            <w:pPr/>
            <w:r>
              <w:t xml:space="preserve">1.293,3 h</w:t>
            </w:r>
          </w:p>
        </w:tc>
      </w:tr>
    </w:tbl>
    <w:p>
      <w:pPr>
        <w:spacing w:before="160"/>
      </w:pPr>
      <w:r>
        <w:rPr>
          <w:b/>
        </w:rPr>
        <w:t xml:space="preserve">Lectura.</w:t>
      </w:r>
      <w:r>
        <w:t xml:space="preserve"> Se cumple la meta con una holgura de 27,7 h de MDT. Además, la espera logística (26 h) pesa más que la reparación misma (14 h), por lo que la palanca de mejora está en repuestos y permisos y no en la cuadrilla.</w:t>
      </w:r>
    </w:p>
    <w:p>
      <w:pPr>
        <w:pStyle w:val="Heading2"/>
      </w:pPr>
      <w:r>
        <w:t xml:space="preserve">7. Redundancia activa m de n</w:t>
      </w:r>
    </w:p>
    <w:p>
      <w:pPr/>
      <w:r>
        <w:t xml:space="preserve">Calcula la confiabilidad, el MTBF y la disponibilidad de un arreglo de n unidades en línea donde se necesitan m para operar, con y sin reparación.</w:t>
      </w:r>
    </w:p>
    <w:p>
      <w:pPr/>
      <w:r>
        <w:rPr>
          <w:b/>
        </w:rPr>
        <w:t xml:space="preserve">Datos de entrada.</w:t>
      </w:r>
      <w:r>
        <w:t xml:space="preserve"> n instaladas, m requeridas, MTBF y MTTR por unidad y tiempo de misión t.</w:t>
      </w:r>
    </w:p>
    <w:p>
      <w:pPr/>
      <w:r>
        <w:rPr>
          <w:b/>
        </w:rPr>
        <w:t xml:space="preserve">Fórmulas y origen.</w:t>
      </w:r>
      <w:r>
        <w:t xml:space="preserve"> Sin reparación, la confiabilidad es la suma binomial de los casos en que sobreviven al menos m unidades (Ver Ecuación 23). Con reparación, el toolkit usa la aproximación de tasa de falla efectiva que el propio toolkit atribuye a MIL-HDBK-338, con λ = 1/MTBF y μ = 1/MTTR, válida cuando μ es mucho mayor que λ (Ver Ecuación 24). Como verificación, en un arreglo 2 de 3 da un MTBF de μ/(6λ²). La disponibilidad del arreglo también es binomial, usando la disponibilidad de una unidad (Ver Ecuación 25). Se asume unidades idénticas e independientes, conmutación perfecta y cuadrilla capaz de atender cada unidad caída sin cola.</w:t>
      </w:r>
    </w:p>
    <w:p>
      <w:pPr>
        <w:spacing w:before="0" w:after="160"/>
      </w:pPr>
      <w:r>
        <w:rPr>
          <w:b/>
        </w:rPr>
        <w:t xml:space="preserve">Ecuación 23.</w:t>
      </w:r>
      <w:r>
        <w:t xml:space="preserve"> Confiabilidad del arreglo sin reparación, con R = exp(−λt), y su MTBF.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  <m:r>
                <m:t>i</m:t>
              </m:r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</m:nary>
          <m:sSup>
            <m:e>
              <m:r>
                <m:t>R</m:t>
              </m:r>
            </m:e>
            <m:sup>
              <m:r>
                <m:t>k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s</m:t>
              </m:r>
              <m:r>
                <m:t>i</m:t>
              </m:r>
              <m:r>
                <m:t>n</m:t>
              </m:r>
              <m:r>
                <m:t> </m:t>
              </m:r>
              <m:r>
                <m:t>r</m:t>
              </m:r>
              <m:r>
                <m:t>e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i</m:t>
                  </m:r>
                </m:den>
              </m:f>
            </m:e>
          </m:nary>
        </m:oMath>
      </m:oMathPara>
    </w:p>
    <w:p>
      <w:pPr>
        <w:spacing w:before="0" w:after="160"/>
      </w:pPr>
      <w:r>
        <w:rPr>
          <w:b/>
        </w:rPr>
        <w:t xml:space="preserve">Ecuación 24.</w:t>
      </w:r>
      <w:r>
        <w:t xml:space="preserve"> Tasa de falla efectiva con reparación y MTBF del arreglo.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t> 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sSup>
                <m:e>
                  <m:r>
                    <m:t>μ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a</m:t>
              </m:r>
              <m:r>
                <m:t>r</m:t>
              </m:r>
              <m:r>
                <m:t>r</m:t>
              </m:r>
              <m:r>
                <m:t>e</m:t>
              </m:r>
              <m:r>
                <m:t>g</m:t>
              </m:r>
              <m:r>
                <m:t>l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t>e</m:t>
                  </m:r>
                  <m:r>
                    <m:t>f</m:t>
                  </m:r>
                </m:sub>
              </m:sSub>
            </m:den>
          </m:f>
        </m:oMath>
      </m:oMathPara>
    </w:p>
    <w:p>
      <w:pPr>
        <w:spacing w:before="0" w:after="160"/>
      </w:pPr>
      <w:r>
        <w:rPr>
          <w:b/>
        </w:rPr>
        <w:t xml:space="preserve">Ecuación 25.</w:t>
      </w:r>
      <w:r>
        <w:t xml:space="preserve"> Disponibilidad del arreglo, con A = MTBF / (MTBF + MTTR).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t>i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</m:nary>
          <m:sSup>
            <m:e>
              <m:r>
                <m:t>A</m:t>
              </m:r>
            </m:e>
            <m:sup>
              <m:r>
                <m:t>k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p>
      <w:pPr/>
      <w:r>
        <w:rPr>
          <w:b/>
        </w:rPr>
        <w:t xml:space="preserve">Ejemplo.</w:t>
      </w:r>
      <w:r>
        <w:t xml:space="preserve"> Tres unidades instaladas, dos requeridas, MTBF de 2.190 h y MTTR de 40 h por unidad, misión de 720 h (Ver Tabla 9).</w:t>
      </w:r>
    </w:p>
    <w:p>
      <w:pPr>
        <w:keepNext/>
        <w:spacing w:before="160" w:after="60"/>
      </w:pPr>
      <w:r>
        <w:rPr>
          <w:b/>
        </w:rPr>
        <w:t xml:space="preserve">Tabla 9.</w:t>
      </w:r>
      <w:r>
        <w:t xml:space="preserve"> Resultados del ejemplo, módulo 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014"/>
        <w:gridCol w:w="2664"/>
        <w:gridCol w:w="1680"/>
      </w:tblGrid>
      <w:tr>
        <w:trPr>
          <w:tblHeader/>
          <w:cantSplit/>
        </w:trPr>
        <w:tc>
          <w:tcPr>
            <w:tcW w:w="5014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2664" w:type="dxa"/>
            <w:shd w:val="clear" w:color="auto" w:fill="F2F2F2"/>
          </w:tcPr>
          <w:p>
            <w:pPr/>
            <w:r>
              <w:t xml:space="preserve">Arreglo 2 de 3</w:t>
            </w:r>
          </w:p>
        </w:tc>
        <w:tc>
          <w:tcPr>
            <w:tcW w:w="1680" w:type="dxa"/>
            <w:shd w:val="clear" w:color="auto" w:fill="F2F2F2"/>
          </w:tcPr>
          <w:p>
            <w:pPr/>
            <w:r>
              <w:t xml:space="preserve">Una unidad</w:t>
            </w:r>
          </w:p>
        </w:tc>
      </w:tr>
      <w:tr>
        <w:trPr>
          <w:cantSplit/>
        </w:trPr>
        <w:tc>
          <w:tcPr>
            <w:tcW w:w="5014" w:type="dxa"/>
          </w:tcPr>
          <w:p>
            <w:pPr/>
            <w:r>
              <w:t xml:space="preserve">Tasa de falla efectiva con reparación</w:t>
            </w:r>
          </w:p>
        </w:tc>
        <w:tc>
          <w:tcPr>
            <w:tcW w:w="2664" w:type="dxa"/>
          </w:tcPr>
          <w:p>
            <w:pPr/>
            <w:r>
              <w:t xml:space="preserve">5,004 × 10⁻⁵ 1/h</w:t>
            </w:r>
          </w:p>
        </w:tc>
        <w:tc>
          <w:tcPr>
            <w:tcW w:w="1680" w:type="dxa"/>
          </w:tcPr>
          <w:p>
            <w:pPr/>
            <w:r>
              <w:t xml:space="preserve">—</w:t>
            </w:r>
          </w:p>
        </w:tc>
      </w:tr>
      <w:tr>
        <w:trPr>
          <w:cantSplit/>
        </w:trPr>
        <w:tc>
          <w:tcPr>
            <w:tcW w:w="5014" w:type="dxa"/>
          </w:tcPr>
          <w:p>
            <w:pPr/>
            <w:r>
              <w:t xml:space="preserve">MTBF con reparación</w:t>
            </w:r>
          </w:p>
        </w:tc>
        <w:tc>
          <w:tcPr>
            <w:tcW w:w="2664" w:type="dxa"/>
          </w:tcPr>
          <w:p>
            <w:pPr/>
            <w:r>
              <w:t xml:space="preserve">19.984 h</w:t>
            </w:r>
          </w:p>
        </w:tc>
        <w:tc>
          <w:tcPr>
            <w:tcW w:w="1680" w:type="dxa"/>
          </w:tcPr>
          <w:p>
            <w:pPr/>
            <w:r>
              <w:t xml:space="preserve">2.190 h</w:t>
            </w:r>
          </w:p>
        </w:tc>
      </w:tr>
      <w:tr>
        <w:trPr>
          <w:cantSplit/>
        </w:trPr>
        <w:tc>
          <w:tcPr>
            <w:tcW w:w="5014" w:type="dxa"/>
          </w:tcPr>
          <w:p>
            <w:pPr/>
            <w:r>
              <w:t xml:space="preserve">MTBF sin reparación</w:t>
            </w:r>
          </w:p>
        </w:tc>
        <w:tc>
          <w:tcPr>
            <w:tcW w:w="2664" w:type="dxa"/>
          </w:tcPr>
          <w:p>
            <w:pPr/>
            <w:r>
              <w:t xml:space="preserve">1.825 h</w:t>
            </w:r>
          </w:p>
        </w:tc>
        <w:tc>
          <w:tcPr>
            <w:tcW w:w="1680" w:type="dxa"/>
          </w:tcPr>
          <w:p>
            <w:pPr/>
            <w:r>
              <w:t xml:space="preserve">2.190 h</w:t>
            </w:r>
          </w:p>
        </w:tc>
      </w:tr>
      <w:tr>
        <w:trPr>
          <w:cantSplit/>
        </w:trPr>
        <w:tc>
          <w:tcPr>
            <w:tcW w:w="5014" w:type="dxa"/>
          </w:tcPr>
          <w:p>
            <w:pPr/>
            <w:r>
              <w:t xml:space="preserve">Confiabilidad a 720 h</w:t>
            </w:r>
          </w:p>
        </w:tc>
        <w:tc>
          <w:tcPr>
            <w:tcW w:w="2664" w:type="dxa"/>
          </w:tcPr>
          <w:p>
            <w:pPr/>
            <w:r>
              <w:t xml:space="preserve">80,85 %</w:t>
            </w:r>
          </w:p>
        </w:tc>
        <w:tc>
          <w:tcPr>
            <w:tcW w:w="1680" w:type="dxa"/>
          </w:tcPr>
          <w:p>
            <w:pPr/>
            <w:r>
              <w:t xml:space="preserve">71,98 %</w:t>
            </w:r>
          </w:p>
        </w:tc>
      </w:tr>
      <w:tr>
        <w:trPr>
          <w:cantSplit/>
        </w:trPr>
        <w:tc>
          <w:tcPr>
            <w:tcW w:w="5014" w:type="dxa"/>
          </w:tcPr>
          <w:p>
            <w:pPr/>
            <w:r>
              <w:t xml:space="preserve">Disponibilidad</w:t>
            </w:r>
          </w:p>
        </w:tc>
        <w:tc>
          <w:tcPr>
            <w:tcW w:w="2664" w:type="dxa"/>
          </w:tcPr>
          <w:p>
            <w:pPr/>
            <w:r>
              <w:t xml:space="preserve">99,905 %</w:t>
            </w:r>
          </w:p>
        </w:tc>
        <w:tc>
          <w:tcPr>
            <w:tcW w:w="1680" w:type="dxa"/>
          </w:tcPr>
          <w:p>
            <w:pPr/>
            <w:r>
              <w:t xml:space="preserve">98,206 %</w:t>
            </w:r>
          </w:p>
        </w:tc>
      </w:tr>
    </w:tbl>
    <w:p>
      <w:pPr>
        <w:spacing w:before="160"/>
      </w:pPr>
      <w:r>
        <w:rPr>
          <w:b/>
        </w:rPr>
        <w:t xml:space="preserve">Lectura.</w:t>
      </w:r>
      <w:r>
        <w:t xml:space="preserve"> La reparación es lo que hace rendir la redundancia. Con una cuadrilla que llega en 40 h, el MTBF del arreglo es 9,1 veces el de una unidad; sin reparación, un arreglo 2 de 3 cae a 0,83 veces. Con MTTR largos la aproximación resulta optimista y el resultado debe tomarse con cautela.</w:t>
      </w:r>
    </w:p>
    <w:p>
      <w:pPr>
        <w:pStyle w:val="Heading2"/>
      </w:pPr>
      <w:r>
        <w:t xml:space="preserve">8. Repuestos por Poisson</w:t>
      </w:r>
    </w:p>
    <w:p>
      <w:pPr/>
      <w:r>
        <w:t xml:space="preserve">Calcula cuántos repuestos mantener para cubrir la demanda de un periodo con la confianza pedida, e informa la probabilidad de quiebre de stock.</w:t>
      </w:r>
    </w:p>
    <w:p>
      <w:pPr/>
      <w:r>
        <w:rPr>
          <w:b/>
        </w:rPr>
        <w:t xml:space="preserve">Datos de entrada.</w:t>
      </w:r>
      <w:r>
        <w:t xml:space="preserve"> Unidades en servicio n, MTBF del ítem, periodo de cobertura T y confianza C. El periodo de cobertura debe ser el lead time real del repuesto, no el año calendario.</w:t>
      </w:r>
    </w:p>
    <w:p>
      <w:pPr/>
      <w:r>
        <w:rPr>
          <w:b/>
        </w:rPr>
        <w:t xml:space="preserve">Fórmulas y origen.</w:t>
      </w:r>
      <w:r>
        <w:t xml:space="preserve"> Con fallas independientes y tasa constante, la demanda de repuestos en el periodo sigue una distribución de Poisson. Se asume ítem no reparable dentro del periodo y reposición solo al final. El stock mínimo es el menor k cuya probabilidad acumulada alcanza la confianza pedida (Ver Ecuación 26).</w:t>
      </w:r>
    </w:p>
    <w:p>
      <w:pPr>
        <w:spacing w:before="0" w:after="160"/>
      </w:pPr>
      <w:r>
        <w:rPr>
          <w:b/>
        </w:rPr>
        <w:t xml:space="preserve">Ecuación 26.</w:t>
      </w:r>
      <w:r>
        <w:t xml:space="preserve"> Demanda esperada y stock mínimo.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 </m:t>
              </m:r>
              <m:r>
                <m:t>T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endChr m:val="}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r>
                <m:t>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</m:sup>
                      </m:sSup>
                      <m:r>
                        <m:t> </m:t>
                      </m:r>
                      <m:sSubSup>
                        <m:e>
                          <m:r>
                            <m:t>λ</m:t>
                          </m:r>
                        </m:e>
                        <m:sub>
                          <m:r>
                            <m:t>d</m:t>
                          </m:r>
                        </m:sub>
                        <m:sup>
                          <m:r>
                            <m:t> </m:t>
                          </m:r>
                          <m:r>
                            <m:t>i</m:t>
                          </m:r>
                        </m:sup>
                      </m:sSubSup>
                    </m:num>
                    <m:den>
                      <m:r>
                        <m:t>i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 </m:t>
              </m:r>
              <m:r>
                <m:rPr>
                  <m:sty m:val="p"/>
                </m:rPr>
                <m:t>≥</m:t>
              </m:r>
              <m:r>
                <m:t> </m:t>
              </m:r>
              <m:r>
                <m:t>C</m:t>
              </m:r>
            </m:e>
          </m:d>
        </m:oMath>
      </m:oMathPara>
    </w:p>
    <w:p>
      <w:pPr/>
      <w:r>
        <w:rPr>
          <w:b/>
        </w:rPr>
        <w:t xml:space="preserve">Ejemplo.</w:t>
      </w:r>
      <w:r>
        <w:t xml:space="preserve"> Seis unidades en servicio, MTBF de 17.520 h, cobertura de 8.760 h y confianza de 95 % (Ver Tabla 10).</w:t>
      </w:r>
    </w:p>
    <w:p>
      <w:pPr>
        <w:keepNext/>
        <w:spacing w:before="160" w:after="60"/>
      </w:pPr>
      <w:r>
        <w:rPr>
          <w:b/>
        </w:rPr>
        <w:t xml:space="preserve">Tabla 10.</w:t>
      </w:r>
      <w:r>
        <w:t xml:space="preserve"> Cobertura acumulada según el stock, módulo 8 (demanda esperada de 3 ítems).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30"/>
        <w:gridCol w:w="6029"/>
      </w:tblGrid>
      <w:tr>
        <w:trPr>
          <w:tblHeader/>
          <w:cantSplit/>
        </w:trPr>
        <w:tc>
          <w:tcPr>
            <w:tcW w:w="3330" w:type="dxa"/>
            <w:shd w:val="clear" w:color="auto" w:fill="F2F2F2"/>
          </w:tcPr>
          <w:p>
            <w:pPr/>
            <w:r>
              <w:t xml:space="preserve">Repuestos en stock</w:t>
            </w:r>
          </w:p>
        </w:tc>
        <w:tc>
          <w:tcPr>
            <w:tcW w:w="6029" w:type="dxa"/>
            <w:shd w:val="clear" w:color="auto" w:fill="F2F2F2"/>
          </w:tcPr>
          <w:p>
            <w:pPr/>
            <w:r>
              <w:t xml:space="preserve">Probabilidad acumulada de cobertura</w:t>
            </w:r>
          </w:p>
        </w:tc>
      </w:tr>
      <w:tr>
        <w:trPr>
          <w:cantSplit/>
        </w:trPr>
        <w:tc>
          <w:tcPr>
            <w:tcW w:w="3330" w:type="dxa"/>
          </w:tcPr>
          <w:p>
            <w:pPr/>
            <w:r>
              <w:t xml:space="preserve">4</w:t>
            </w:r>
          </w:p>
        </w:tc>
        <w:tc>
          <w:tcPr>
            <w:tcW w:w="6029" w:type="dxa"/>
          </w:tcPr>
          <w:p>
            <w:pPr/>
            <w:r>
              <w:t xml:space="preserve">81,53 %</w:t>
            </w:r>
          </w:p>
        </w:tc>
      </w:tr>
      <w:tr>
        <w:trPr>
          <w:cantSplit/>
        </w:trPr>
        <w:tc>
          <w:tcPr>
            <w:tcW w:w="3330" w:type="dxa"/>
          </w:tcPr>
          <w:p>
            <w:pPr/>
            <w:r>
              <w:t xml:space="preserve">5</w:t>
            </w:r>
          </w:p>
        </w:tc>
        <w:tc>
          <w:tcPr>
            <w:tcW w:w="6029" w:type="dxa"/>
          </w:tcPr>
          <w:p>
            <w:pPr/>
            <w:r>
              <w:t xml:space="preserve">91,61 %</w:t>
            </w:r>
          </w:p>
        </w:tc>
      </w:tr>
      <w:tr>
        <w:trPr>
          <w:cantSplit/>
        </w:trPr>
        <w:tc>
          <w:tcPr>
            <w:tcW w:w="3330" w:type="dxa"/>
          </w:tcPr>
          <w:p>
            <w:pPr/>
            <w:r>
              <w:t xml:space="preserve">6</w:t>
            </w:r>
          </w:p>
        </w:tc>
        <w:tc>
          <w:tcPr>
            <w:tcW w:w="6029" w:type="dxa"/>
          </w:tcPr>
          <w:p>
            <w:pPr/>
            <w:r>
              <w:t xml:space="preserve">96,65 %</w:t>
            </w:r>
          </w:p>
        </w:tc>
      </w:tr>
      <w:tr>
        <w:trPr>
          <w:cantSplit/>
        </w:trPr>
        <w:tc>
          <w:tcPr>
            <w:tcW w:w="3330" w:type="dxa"/>
          </w:tcPr>
          <w:p>
            <w:pPr/>
            <w:r>
              <w:t xml:space="preserve">7</w:t>
            </w:r>
          </w:p>
        </w:tc>
        <w:tc>
          <w:tcPr>
            <w:tcW w:w="6029" w:type="dxa"/>
          </w:tcPr>
          <w:p>
            <w:pPr/>
            <w:r>
              <w:t xml:space="preserve">98,81 %</w:t>
            </w:r>
          </w:p>
        </w:tc>
      </w:tr>
    </w:tbl>
    <w:p>
      <w:pPr>
        <w:spacing w:before="160"/>
      </w:pPr>
      <w:r>
        <w:rPr>
          <w:b/>
        </w:rPr>
        <w:t xml:space="preserve">Lectura.</w:t>
      </w:r>
      <w:r>
        <w:t xml:space="preserve"> Se requieren 6 repuestos, con 96,65 % de cobertura y 3,35 % de probabilidad de quiebre. Sin ningún repuesto, la probabilidad de quiebre en el periodo es 95,02 %. El séptimo repuesto agrega solo 2,2 puntos porcentuales, por lo que el último escalón de stock es el más caro por el beneficio que entrega.</w:t>
      </w:r>
    </w:p>
    <w:p>
      <w:pPr>
        <w:pStyle w:val="Heading2"/>
      </w:pPr>
      <w:r>
        <w:t xml:space="preserve">9. Mantenibilidad lognormal</w:t>
      </w:r>
    </w:p>
    <w:p>
      <w:pPr/>
      <w:r>
        <w:t xml:space="preserve">Entrega el MTTR, la mediana y el tiempo máximo de reparación a partir de los tiempos de intervención registrados, ajustados a una distribución lognormal.</w:t>
      </w:r>
    </w:p>
    <w:p>
      <w:pPr/>
      <w:r>
        <w:rPr>
          <w:b/>
        </w:rPr>
        <w:t xml:space="preserve">Datos de entrada.</w:t>
      </w:r>
      <w:r>
        <w:t xml:space="preserve"> Los tiempos de reparación en horas (al menos tres) y el percentil P para el tiempo máximo Mmax.</w:t>
      </w:r>
    </w:p>
    <w:p>
      <w:pPr/>
      <w:r>
        <w:rPr>
          <w:b/>
        </w:rPr>
        <w:t xml:space="preserve">Fórmulas y origen.</w:t>
      </w:r>
      <w:r>
        <w:t xml:space="preserve"> La lognormal es el modelo usual de tiempos de reparación en mantenimiento correctivo: muchas intervenciones cortas y una cola de casos largos. Se calculan la media y la desviación estándar muestral de ln(t) (Ver Ecuación 27) y desde ellas el MTTR, la mediana y Mmax (Ver Ecuación 28). Si los registros incluyen espera de repuestos, lo que se obtiene es tiempo de indisponibilidad (MDT) y no MTTR.</w:t>
      </w:r>
    </w:p>
    <w:p>
      <w:pPr>
        <w:spacing w:before="0" w:after="160"/>
      </w:pPr>
      <w:r>
        <w:rPr>
          <w:b/>
        </w:rPr>
        <w:t xml:space="preserve">Ecuación 27.</w:t>
      </w:r>
      <w:r>
        <w:t xml:space="preserve"> Parámetros de la distribución de ln(t), con n intervenciones.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rPr>
                  <m:sty m:val="p"/>
                </m:rPr>
                <m:t>ln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ln</m:t>
              </m:r>
            </m:e>
          </m:nary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ln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p>
      <w:pPr>
        <w:spacing w:before="0" w:after="160"/>
      </w:pPr>
      <w:r>
        <w:rPr>
          <w:b/>
        </w:rPr>
        <w:t xml:space="preserve">Ecuación 28.</w:t>
      </w:r>
      <w:r>
        <w:t xml:space="preserve"> MTTR, mediana y tiempo máximo al percentil P, con z_P el cuantil normal estándar.</w:t>
      </w:r>
    </w:p>
    <w:p>
      <w:pPr>
        <w:pStyle w:val="Normal"/>
        <w:keepNext/>
        <w:spacing w:before="60" w:after="40"/>
        <w:jc w:val="center"/>
      </w:pPr>
      <m:oMathPara xmlns:m="http://schemas.openxmlformats.org/officeDocument/2006/math"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ln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ln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ln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ln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ln</m:t>
                  </m:r>
                </m:sub>
              </m:sSub>
            </m:e>
          </m:d>
        </m:oMath>
      </m:oMathPara>
    </w:p>
    <w:p>
      <w:pPr/>
      <w:r>
        <w:rPr>
          <w:b/>
        </w:rPr>
        <w:t xml:space="preserve">Ejemplo.</w:t>
      </w:r>
      <w:r>
        <w:t xml:space="preserve"> Quince intervenciones entre 1,5 h y 24 h (2,5; 4; 1,5; 8; 3; 12; 6; 2; 18; 5; 3,5; 9; 24; 7 y 4,5 h) y percentil de 95 % (Ver Tabla 11).</w:t>
      </w:r>
    </w:p>
    <w:p>
      <w:pPr>
        <w:keepNext/>
        <w:spacing w:before="160" w:after="60"/>
      </w:pPr>
      <w:r>
        <w:rPr>
          <w:b/>
        </w:rPr>
        <w:t xml:space="preserve">Tabla 11.</w:t>
      </w:r>
      <w:r>
        <w:t xml:space="preserve"> Resultados del ejemplo, módulo 9.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308"/>
        <w:gridCol w:w="3051"/>
      </w:tblGrid>
      <w:tr>
        <w:trPr>
          <w:tblHeader/>
          <w:cantSplit/>
        </w:trPr>
        <w:tc>
          <w:tcPr>
            <w:tcW w:w="6308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3051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rPr>
          <w:cantSplit/>
        </w:trPr>
        <w:tc>
          <w:tcPr>
            <w:tcW w:w="6308" w:type="dxa"/>
          </w:tcPr>
          <w:p>
            <w:pPr/>
            <w:r>
              <w:t xml:space="preserve">MTTR lognormal</w:t>
            </w:r>
          </w:p>
        </w:tc>
        <w:tc>
          <w:tcPr>
            <w:tcW w:w="3051" w:type="dxa"/>
          </w:tcPr>
          <w:p>
            <w:pPr/>
            <w:r>
              <w:t xml:space="preserve">7,433 h</w:t>
            </w:r>
          </w:p>
        </w:tc>
      </w:tr>
      <w:tr>
        <w:trPr>
          <w:cantSplit/>
        </w:trPr>
        <w:tc>
          <w:tcPr>
            <w:tcW w:w="6308" w:type="dxa"/>
          </w:tcPr>
          <w:p>
            <w:pPr/>
            <w:r>
              <w:t xml:space="preserve">Mediana</w:t>
            </w:r>
          </w:p>
        </w:tc>
        <w:tc>
          <w:tcPr>
            <w:tcW w:w="3051" w:type="dxa"/>
          </w:tcPr>
          <w:p>
            <w:pPr/>
            <w:r>
              <w:t xml:space="preserve">5,45 h</w:t>
            </w:r>
          </w:p>
        </w:tc>
      </w:tr>
      <w:tr>
        <w:trPr>
          <w:cantSplit/>
        </w:trPr>
        <w:tc>
          <w:tcPr>
            <w:tcW w:w="6308" w:type="dxa"/>
          </w:tcPr>
          <w:p>
            <w:pPr/>
            <w:r>
              <w:t xml:space="preserve">Mmax al 95 %</w:t>
            </w:r>
          </w:p>
        </w:tc>
        <w:tc>
          <w:tcPr>
            <w:tcW w:w="3051" w:type="dxa"/>
          </w:tcPr>
          <w:p>
            <w:pPr/>
            <w:r>
              <w:t xml:space="preserve">19,91 h</w:t>
            </w:r>
          </w:p>
        </w:tc>
      </w:tr>
      <w:tr>
        <w:trPr>
          <w:cantSplit/>
        </w:trPr>
        <w:tc>
          <w:tcPr>
            <w:tcW w:w="6308" w:type="dxa"/>
          </w:tcPr>
          <w:p>
            <w:pPr/>
            <w:r>
              <w:t xml:space="preserve">σ de ln(t)</w:t>
            </w:r>
          </w:p>
        </w:tc>
        <w:tc>
          <w:tcPr>
            <w:tcW w:w="3051" w:type="dxa"/>
          </w:tcPr>
          <w:p>
            <w:pPr/>
            <w:r>
              <w:t xml:space="preserve">0,788</w:t>
            </w:r>
          </w:p>
        </w:tc>
      </w:tr>
      <w:tr>
        <w:trPr>
          <w:cantSplit/>
        </w:trPr>
        <w:tc>
          <w:tcPr>
            <w:tcW w:w="6308" w:type="dxa"/>
          </w:tcPr>
          <w:p>
            <w:pPr/>
            <w:r>
              <w:t xml:space="preserve">Media aritmética</w:t>
            </w:r>
          </w:p>
        </w:tc>
        <w:tc>
          <w:tcPr>
            <w:tcW w:w="3051" w:type="dxa"/>
          </w:tcPr>
          <w:p>
            <w:pPr/>
            <w:r>
              <w:t xml:space="preserve">7,333 h</w:t>
            </w:r>
          </w:p>
        </w:tc>
      </w:tr>
    </w:tbl>
    <w:p>
      <w:pPr>
        <w:spacing w:before="160"/>
      </w:pPr>
      <w:r>
        <w:rPr>
          <w:b/>
        </w:rPr>
        <w:t xml:space="preserve">Lectura.</w:t>
      </w:r>
      <w:r>
        <w:t xml:space="preserve"> La mitad de las intervenciones termina antes de 5,45 h, pero el MTTR sube a 7,43 h por la cola de casos largos. La ventana de mantenimiento se dimensiona con Mmax (19,9 h) y no con el promedio: usar el promedio deja 5 % de las intervenciones fuera de ventana. Este MTTR es el que se lleva a los módulos 5 y 6 con el botón del propio módulo.</w:t>
      </w:r>
    </w:p>
    <w:p>
      <w:pPr>
        <w:pStyle w:val="Heading2"/>
      </w:pPr>
      <w:r>
        <w:t xml:space="preserve">Flujo RAM entre módulos</w:t>
      </w:r>
    </w:p>
    <w:p>
      <w:pPr/>
      <w:r>
        <w:t xml:space="preserve">El análisis RAM se arma encadenando tres módulos: el MTBF instantáneo del módulo 5, el MTTR del módulo 9 y la disponibilidad del módulo 6 (Ver Figura 1).</w:t>
      </w:r>
    </w:p>
    <w:p>
      <w:pPr/>
      <w:r>
        <w:drawing>
          <wp:inline distT="0" distB="0" distL="0" distR="0">
            <wp:extent cx="5486400" cy="2563585"/>
            <wp:docPr id="1" name="image1" descr="flujo RAM · 3 entradas, 1 disponibilidad, 1 decis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lujo RAM · 3 entradas, 1 disponibilidad, 1 decisió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flujo RAM · 3 entradas, 1 disponibilidad, 1 decisión</w:t>
      </w:r>
    </w:p>
    <w:p>
      <w:pPr>
        <w:spacing w:before="60" w:after="160"/>
      </w:pPr>
      <w:r>
        <w:rPr>
          <w:b/>
        </w:rPr>
        <w:t xml:space="preserve">Figura 1.</w:t>
      </w:r>
      <w:r>
        <w:t xml:space="preserve"> Flujo RAM entre módulos. Cada flecha es un dato que el módulo de origen entrega al de destino.</w:t>
      </w:r>
    </w:p>
    <w:p>
      <w:pPr>
        <w:pStyle w:val="ListParagraph"/>
        <w:numPr>
          <w:ilvl w:val="0"/>
          <w:numId w:val="3"/>
        </w:numPr>
      </w:pPr>
      <w:r>
        <w:t xml:space="preserve">En el módulo 5, ingresar los tiempos de falla y fijar t₀ (la edad actual del equipo). Se obtienen el MTBF instantáneo a t₀ y la confiabilidad de la misión.</w:t>
      </w:r>
    </w:p>
    <w:p>
      <w:pPr>
        <w:pStyle w:val="ListParagraph"/>
        <w:numPr>
          <w:ilvl w:val="0"/>
          <w:numId w:val="3"/>
        </w:numPr>
      </w:pPr>
      <w:r>
        <w:t xml:space="preserve">En el módulo 9, ingresar los tiempos de reparación y usar el botón “Usar este MTTR en Crow-AMSAA y Disponibilidad”.</w:t>
      </w:r>
    </w:p>
    <w:p>
      <w:pPr>
        <w:pStyle w:val="ListParagraph"/>
        <w:numPr>
          <w:ilvl w:val="0"/>
          <w:numId w:val="3"/>
        </w:numPr>
      </w:pPr>
      <w:r>
        <w:t xml:space="preserve">En el módulo 5, completar la demora logística y la meta, y usar el botón “Llevar MTBF(t₀), MTTR y demora a Disponibilidad”.</w:t>
      </w:r>
    </w:p>
    <w:p>
      <w:pPr>
        <w:pStyle w:val="ListParagraph"/>
        <w:numPr>
          <w:ilvl w:val="0"/>
          <w:numId w:val="3"/>
        </w:numPr>
      </w:pPr>
      <w:r>
        <w:t xml:space="preserve">En el módulo 6, revisar A₀ y el MDT máximo. Si la meta no se cumple, evaluar redundancia (módulo 7) y repuestos (módulo 8).</w:t>
      </w:r>
    </w:p>
    <w:p>
      <w:pPr/>
      <w:r>
        <w:t xml:space="preserve">Los botones copian los valores de un módulo a otro sin digitarlos a mano. Conviene verificar que el MTBF que entra a la disponibilidad sea el instantáneo a la edad actual y no el acumulado, porque el acumulado mezcla todo el periodo y distorsiona A₀ cuando β es distinto de 1.</w:t>
      </w:r>
    </w:p>
    <w:p>
      <w:pPr>
        <w:pStyle w:val="Heading2"/>
      </w:pPr>
      <w:r>
        <w:t xml:space="preserve">Referencias, límites y puntos a revisar</w:t>
      </w:r>
    </w:p>
    <w:p>
      <w:pPr/>
      <w:r>
        <w:t xml:space="preserve">El toolkit implementa métodos estándar y sus resultados valen tanto como el dato de entrada. Esta sección reúne los límites de cada método, tres puntos del código que conviene revisar antes de firmar un informe y las fuentes.</w:t>
      </w:r>
    </w:p>
    <w:p>
      <w:pPr/>
      <w:r>
        <w:rPr>
          <w:b/>
        </w:rPr>
        <w:t xml:space="preserve">Límites del método.</w:t>
      </w:r>
    </w:p>
    <w:p>
      <w:pPr>
        <w:pStyle w:val="ListParagraph"/>
        <w:numPr>
          <w:ilvl w:val="0"/>
          <w:numId w:val="4"/>
        </w:numPr>
      </w:pPr>
      <w:r>
        <w:t xml:space="preserve">Exponencial y MTBF de campo: tasa de falla constante. Con β mayor que 1, el promedio no describe el riesgo de hoy.</w:t>
      </w:r>
    </w:p>
    <w:p>
      <w:pPr>
        <w:pStyle w:val="ListParagraph"/>
        <w:numPr>
          <w:ilvl w:val="0"/>
          <w:numId w:val="4"/>
        </w:numPr>
      </w:pPr>
      <w:r>
        <w:t xml:space="preserve">Weibull: con menos de 7 fallas el intervalo real de β es amplio; el valor es indicativo.</w:t>
      </w:r>
    </w:p>
    <w:p>
      <w:pPr>
        <w:pStyle w:val="ListParagraph"/>
        <w:numPr>
          <w:ilvl w:val="0"/>
          <w:numId w:val="4"/>
        </w:numPr>
      </w:pPr>
      <w:r>
        <w:t xml:space="preserve">Crow-AMSAA: reparación mínima, origen de tiempo común para los datos, T y t₀. Si t₀ supera T, el resultado es una extrapolación.</w:t>
      </w:r>
    </w:p>
    <w:p>
      <w:pPr>
        <w:pStyle w:val="ListParagraph"/>
        <w:numPr>
          <w:ilvl w:val="0"/>
          <w:numId w:val="4"/>
        </w:numPr>
      </w:pPr>
      <w:r>
        <w:t xml:space="preserve">Redundancia con reparación: aproximación válida si μ es mucho mayor que λ; con MTTR largos resulta optimista.</w:t>
      </w:r>
    </w:p>
    <w:p>
      <w:pPr>
        <w:pStyle w:val="ListParagraph"/>
        <w:numPr>
          <w:ilvl w:val="0"/>
          <w:numId w:val="4"/>
        </w:numPr>
      </w:pPr>
      <w:r>
        <w:t xml:space="preserve">Repuestos: el periodo de cobertura es el lead time real del repuesto.</w:t>
      </w:r>
    </w:p>
    <w:p>
      <w:pPr>
        <w:pStyle w:val="ListParagraph"/>
        <w:numPr>
          <w:ilvl w:val="0"/>
          <w:numId w:val="4"/>
        </w:numPr>
      </w:pPr>
      <w:r>
        <w:t xml:space="preserve">Mantenibilidad: los tiempos deben ser de reparación activa; con espera logística incluida se obtiene MDT.</w:t>
      </w:r>
    </w:p>
    <w:p>
      <w:pPr/>
      <w:r>
        <w:rPr>
          <w:b/>
        </w:rPr>
        <w:t xml:space="preserve">Puntos a revisar en el código.</w:t>
      </w:r>
      <w:r>
        <w:t xml:space="preserve"> Se detectaron al contrastar el toolkit con las fuentes (Ver Tabla 12). Ninguno cambia las conclusiones cualitativas del ejemplo, pero sí las cifras.</w:t>
      </w:r>
    </w:p>
    <w:p>
      <w:pPr>
        <w:keepNext/>
        <w:spacing w:before="160" w:after="60"/>
      </w:pPr>
      <w:r>
        <w:rPr>
          <w:b/>
        </w:rPr>
        <w:t xml:space="preserve">Tabla 12.</w:t>
      </w:r>
      <w:r>
        <w:t xml:space="preserve"> Diferencias entre el toolkit y las fuentes consultadas.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3"/>
        <w:gridCol w:w="2587"/>
        <w:gridCol w:w="4920"/>
      </w:tblGrid>
      <w:tr>
        <w:trPr>
          <w:tblHeader/>
          <w:cantSplit/>
        </w:trPr>
        <w:tc>
          <w:tcPr>
            <w:tcW w:w="1853" w:type="dxa"/>
            <w:shd w:val="clear" w:color="auto" w:fill="F2F2F2"/>
          </w:tcPr>
          <w:p>
            <w:pPr/>
            <w:r>
              <w:t xml:space="preserve">Punto</w:t>
            </w:r>
          </w:p>
        </w:tc>
        <w:tc>
          <w:tcPr>
            <w:tcW w:w="2587" w:type="dxa"/>
            <w:shd w:val="clear" w:color="auto" w:fill="F2F2F2"/>
          </w:tcPr>
          <w:p>
            <w:pPr/>
            <w:r>
              <w:t xml:space="preserve">Qué hace el toolkit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Qué indican las fuentes o qué conviene hacer</w:t>
            </w:r>
          </w:p>
        </w:tc>
      </w:tr>
      <w:tr>
        <w:trPr>
          <w:cantSplit/>
        </w:trPr>
        <w:tc>
          <w:tcPr>
            <w:tcW w:w="1853" w:type="dxa"/>
          </w:tcPr>
          <w:p>
            <w:pPr/>
            <w:r>
              <w:t xml:space="preserve">β de Crow-AMSAA con cierre en la última falla</w:t>
            </w:r>
          </w:p>
        </w:tc>
        <w:tc>
          <w:tcPr>
            <w:tcW w:w="2587" w:type="dxa"/>
          </w:tcPr>
          <w:p>
            <w:pPr/>
            <w:r>
              <w:t xml:space="preserve">Usa (N − 1) / Σ ln(T/tᵢ), con i &lt; N (Ecuación 15)</w:t>
            </w:r>
          </w:p>
        </w:tc>
        <w:tc>
          <w:tcPr>
            <w:tcW w:w="4920" w:type="dxa"/>
          </w:tcPr>
          <w:p>
            <w:pPr/>
            <w:r>
              <w:t xml:space="preserve">La máxima verosimilitud usa N en el numerador, y el estimador insesgado multiplica esa MLE por (N − 2)/N (ReliaSoft). Con N = 12, el toolkit queda 8 % bajo la MLE y 10 % sobre el insesgado</w:t>
            </w:r>
          </w:p>
        </w:tc>
      </w:tr>
      <w:tr>
        <w:trPr>
          <w:cantSplit/>
        </w:trPr>
        <w:tc>
          <w:tcPr>
            <w:tcW w:w="1853" w:type="dxa"/>
          </w:tcPr>
          <w:p>
            <w:pPr/>
            <w:r>
              <w:t xml:space="preserve">Laplace con cierre en la última falla</w:t>
            </w:r>
          </w:p>
        </w:tc>
        <w:tc>
          <w:tcPr>
            <w:tcW w:w="2587" w:type="dxa"/>
          </w:tcPr>
          <w:p>
            <w:pPr/>
            <w:r>
              <w:t xml:space="preserve">Aplica la misma fórmula que con T fija (Ecuación 16)</w:t>
            </w:r>
          </w:p>
        </w:tc>
        <w:tc>
          <w:tcPr>
            <w:tcW w:w="4920" w:type="dxa"/>
          </w:tcPr>
          <w:p>
            <w:pPr/>
            <w:r>
              <w:t xml:space="preserve">Confirmar en MIL-HDBK-189C la forma recomendada para ensayos terminados por falla</w:t>
            </w:r>
          </w:p>
        </w:tc>
      </w:tr>
      <w:tr>
        <w:trPr>
          <w:cantSplit/>
        </w:trPr>
        <w:tc>
          <w:tcPr>
            <w:tcW w:w="1853" w:type="dxa"/>
          </w:tcPr>
          <w:p>
            <w:pPr/>
            <w:r>
              <w:t xml:space="preserve">Rótulo RRX en el módulo Weibull</w:t>
            </w:r>
          </w:p>
        </w:tc>
        <w:tc>
          <w:tcPr>
            <w:tcW w:w="2587" w:type="dxa"/>
          </w:tcPr>
          <w:p>
            <w:pPr/>
            <w:r>
              <w:t xml:space="preserve">Ajusta y sobre ln t por mínimos cuadrados (Ecuación 7)</w:t>
            </w:r>
          </w:p>
        </w:tc>
        <w:tc>
          <w:tcPr>
            <w:tcW w:w="4920" w:type="dxa"/>
          </w:tcPr>
          <w:p>
            <w:pPr/>
            <w:r>
              <w:t xml:space="preserve">En la convención usual eso es regresión sobre Y (RRY), y RRX regresa ln t sobre y. Conviene corregir el rótulo o el cálculo, porque β puede variar algo entre ambos</w:t>
            </w:r>
          </w:p>
        </w:tc>
      </w:tr>
    </w:tbl>
    <w:p>
      <w:pPr>
        <w:spacing w:before="160"/>
      </w:pPr>
      <w:r>
        <w:rPr>
          <w:b/>
        </w:rPr>
        <w:t xml:space="preserve">Fuentes consultadas y citadas.</w:t>
      </w:r>
    </w:p>
    <w:p>
      <w:pPr>
        <w:pStyle w:val="ListParagraph"/>
        <w:numPr>
          <w:ilvl w:val="0"/>
          <w:numId w:val="5"/>
        </w:numPr>
      </w:pPr>
      <w:hyperlink w:history="1" r:id="rId4">
        <w:r>
          <w:rPr>
            <w:rStyle w:val="Hyperlink"/>
          </w:rPr>
          <w:t xml:space="preserve">ReliaSoft: Unbiasing Beta for the Crow-AMSAA (NHPP) Model</w:t>
        </w:r>
      </w:hyperlink>
      <w:r>
        <w:t xml:space="preserve">, factor (n − 2)/n del estimador insesgado con cierre por falla.</w:t>
      </w:r>
    </w:p>
    <w:p>
      <w:pPr>
        <w:pStyle w:val="ListParagraph"/>
        <w:numPr>
          <w:ilvl w:val="0"/>
          <w:numId w:val="5"/>
        </w:numPr>
      </w:pPr>
      <w:hyperlink w:history="1" r:id="rId5">
        <w:r>
          <w:rPr>
            <w:rStyle w:val="Hyperlink"/>
          </w:rPr>
          <w:t xml:space="preserve">JMP: Crow-AMSAA</w:t>
        </w:r>
      </w:hyperlink>
      <w:r>
        <w:t xml:space="preserve">, intensidad, número esperado de fallas y MTBF del modelo.</w:t>
      </w:r>
    </w:p>
    <w:p>
      <w:pPr>
        <w:pStyle w:val="ListParagraph"/>
        <w:numPr>
          <w:ilvl w:val="0"/>
          <w:numId w:val="5"/>
        </w:numPr>
      </w:pPr>
      <w:hyperlink w:history="1" r:id="rId6">
        <w:r>
          <w:rPr>
            <w:rStyle w:val="Hyperlink"/>
          </w:rPr>
          <w:t xml:space="preserve">Reliability Analytics: k out of n configurations</w:t>
        </w:r>
      </w:hyperlink>
      <w:r>
        <w:t xml:space="preserve">, confiabilidad binomial de un arreglo m de n.</w:t>
      </w:r>
    </w:p>
    <w:p>
      <w:pPr>
        <w:pStyle w:val="ListParagraph"/>
        <w:numPr>
          <w:ilvl w:val="0"/>
          <w:numId w:val="5"/>
        </w:numPr>
      </w:pPr>
      <w:r>
        <w:t xml:space="preserve">UNAB (2024). Módulo Análisis Costo Ciclo de Vida, lámina Modelo de envejecimiento (Crow-AMSAA, predicción de falla futura).</w:t>
      </w:r>
    </w:p>
    <w:p>
      <w:pPr/>
      <w:r>
        <w:t xml:space="preserve">Las siguientes referencias se citan por título y año, sin haber sido abiertas para este manual, y conviene confirmarlas antes de usarlas en un documento formal: MIL-HDBK-189C (2011), Reliability Growth Management; MIL-HDBK-338B (1998), Electronic Reliability Design Handbook; Weibull, W. (1951), A statistical distribution function of wide applicability; Johnson, L. G. (1964), The Statistical Treatment of Fatigue Experiments; Benard, A. y Bos-Levenbach, E. C. (1953), The plotting of observations on probability paper; Epstein, B. y Sobel, M. (1953), Life testing.</w:t>
      </w:r>
    </w:p>
    <w:sectPr>
      <w:pgSz w:w="11906" w:h="16838"/>
      <w:pgMar w:top="1247" w:right="1247" w:bottom="1247" w:left="124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00000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help.reliasoft.com/articles/content/hotwire/issue141/hottopics141.htm" TargetMode="External"/><Relationship Id="rId5" Type="http://schemas.openxmlformats.org/officeDocument/2006/relationships/hyperlink" Target="https://www.jmp.com/support/help/en/19.1/jmp/crow-amsaa.shtml" TargetMode="External"/><Relationship Id="rId6" Type="http://schemas.openxmlformats.org/officeDocument/2006/relationships/hyperlink" Target="https://reliabilityanalytics.com/blog/?p=43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simplificado — Toolkit de Confiabilidad IPM</dc:title>
  <dc:description>Claude Docs node/b1713699-2c96@19 docx-w7</dc:description>
  <cp:revision>19</cp:revision>
</cp:coreProperties>
</file>