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PLAN DE PILOTOS</w:t>
      </w:r>
    </w:p>
    <w:p>
      <w:pPr>
        <w:spacing w:after="60"/>
      </w:pPr>
      <w:r>
        <w:rPr>
          <w:color w:val="404040"/>
          <w:sz w:val="28"/>
          <w:szCs w:val="28"/>
        </w:rPr>
        <w:t xml:space="preserve">Confiabilidad orientada a decisiones</w:t>
      </w:r>
    </w:p>
    <w:p>
      <w:pPr>
        <w:pBdr>
          <w:bottom w:val="single" w:color="404040" w:sz="8" w:space="6"/>
        </w:pBdr>
        <w:spacing w:after="240"/>
      </w:pPr>
      <w:r>
        <w:rPr>
          <w:color w:val="595959"/>
          <w:sz w:val="18"/>
          <w:szCs w:val="18"/>
        </w:rPr>
        <w:t xml:space="preserve">Documento de trabajo personal  ·  Hugo Villegas B.  ·  Ingeniería y Planificación del Mantenimiento  ·  Octubre 2026  ·  v1</w:t>
      </w:r>
    </w:p>
    <w:p>
      <w:pPr>
        <w:pStyle w:val="Heading1"/>
      </w:pPr>
      <w:r>
        <w:t xml:space="preserve">1. Propósito</w:t>
      </w:r>
    </w:p>
    <w:p>
      <w:pPr>
        <w:spacing w:after="120" w:line="276"/>
      </w:pPr>
      <w:r>
        <w:t xml:space="preserve">El presente documento ordena tres pilotos cuyo objetivo es demostrar que los análisis de confiabilidad que se generan en IPM pueden traducirse en decisiones ejecutadas y en resultados medibles. Ahora bien, el criterio de éxito no es la calidad del análisis, sino que exista una acción con responsable, fecha y un indicador que muestre el antes y el después.</w:t>
      </w:r>
    </w:p>
    <w:p>
      <w:pPr>
        <w:pBdr>
          <w:left w:val="single" w:color="404040" w:sz="18" w:space="10"/>
        </w:pBdr>
        <w:spacing w:after="160" w:before="120"/>
        <w:ind w:left="360"/>
      </w:pPr>
      <w:r>
        <w:rPr>
          <w:i/>
          <w:iCs/>
          <w:color w:val="262626"/>
        </w:rPr>
        <w:t xml:space="preserve">Un análisis sin dueño de la acción es un informe, no una solución.</w:t>
      </w:r>
    </w:p>
    <w:p>
      <w:pPr>
        <w:spacing w:after="120" w:line="276"/>
      </w:pPr>
      <w:r>
        <w:t xml:space="preserve">Por lo anterior, cada piloto se evalúa con los criterios globales indicados a continuación (Ver Tabla 1).</w:t>
      </w:r>
    </w:p>
    <w:p>
      <w:pPr>
        <w:keepNext/>
        <w:spacing w:after="80" w:before="120"/>
      </w:pPr>
      <w:r>
        <w:rPr>
          <w:b/>
          <w:bCs/>
          <w:sz w:val="18"/>
          <w:szCs w:val="18"/>
        </w:rPr>
        <w:t xml:space="preserve">Tabla 1. </w:t>
      </w:r>
      <w:r>
        <w:rPr>
          <w:i/>
          <w:iCs/>
          <w:sz w:val="18"/>
          <w:szCs w:val="18"/>
        </w:rPr>
        <w:t xml:space="preserve">Criterios de éxito globales del portafolio a 90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038"/>
        <w:gridCol w:w="2200"/>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Criterio</w:t>
            </w:r>
          </w:p>
        </w:tc>
        <w:tc>
          <w:tcPr>
            <w:tcW w:type="dxa" w:w="40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Qué se mide</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Meta sugerida</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Decisiones tomadas por terceros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Decisiones tomadas por una jefatura o equipo a partir del análisis (no por IPM)</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Al menos 1 por piloto</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Acciones con dueño</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Acciones registradas con responsable, fecha y evidencia de cierre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100 % de las acciones</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Resultado medido</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Efecto cuantificado antes/después</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Al menos 1 piloto al día 90</w:t>
            </w:r>
          </w:p>
        </w:tc>
      </w:tr>
      <w:tr>
        <w:trPr>
          <w:cantSplit/>
        </w:trPr>
        <w:tc>
          <w:tcPr>
            <w:tcW w:type="dxa" w:w="3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Crédito a terreno</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Cierre comunicado reconociendo al equipo de planta</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Cada cierre</w:t>
            </w:r>
          </w:p>
        </w:tc>
      </w:tr>
    </w:tbl>
    <w:p>
      <w:pPr>
        <w:pStyle w:val="Heading1"/>
      </w:pPr>
      <w:r>
        <w:t xml:space="preserve">2. Portafolio de pilotos</w:t>
      </w:r>
    </w:p>
    <w:p>
      <w:pPr>
        <w:spacing w:after="120" w:line="276"/>
      </w:pPr>
      <w:r>
        <w:t xml:space="preserve">Se definen tres pilotos complementarios: uno de cierre rápido con respaldo ya existente, uno de mejora de desempeño de un equipo y uno de optimización de planes que libera horas hombre a terreno (Ver Tabla 2).</w:t>
      </w:r>
    </w:p>
    <w:p>
      <w:pPr>
        <w:keepNext/>
        <w:spacing w:after="80" w:before="120"/>
      </w:pPr>
      <w:r>
        <w:rPr>
          <w:b/>
          <w:bCs/>
          <w:sz w:val="18"/>
          <w:szCs w:val="18"/>
        </w:rPr>
        <w:t xml:space="preserve">Tabla 2. </w:t>
      </w:r>
      <w:r>
        <w:rPr>
          <w:i/>
          <w:iCs/>
          <w:sz w:val="18"/>
          <w:szCs w:val="18"/>
        </w:rPr>
        <w:t xml:space="preserve">Resumen del portafolio.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700"/>
        <w:gridCol w:w="1800"/>
        <w:gridCol w:w="1238"/>
        <w:gridCol w:w="90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Piloto</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Pregunta de decisión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Dueño de la decisión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Indicador principal</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Horizonte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Esfuerzo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P1. Cierre RCA AJAX 1 (ECA)</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¿Qué acciones del RCA se ejecutan, quién las ejecuta y cuándo?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Gabriel / Alberto (acordado en reunión)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de acciones cerradas en plazo</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4 a 8 sem. asignación; seguimiento continuo</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Bajo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P2. Bad actor de detenciones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¿Qué se hace con el equipo de peor desempeño: rediseño, cambio de estrategia, reparación mayor o aceptar el riesgo?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Jefe de planta + Gabriel</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β Crow-AMSAA, MTBF, costo correctivo</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3 a 6 meses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Medio-alto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P3. Tareas sin valor (planes eléctricos)</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¿Qué tareas se mantienen, modifican, pasan a CBM, se eliminan o se agregan?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Gabriel / supervisión eléctrica</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HH/año liberadas; % tareas justificadas</w:t>
            </w:r>
          </w:p>
        </w:tc>
        <w:tc>
          <w:tcPr>
            <w:tcW w:type="dxa" w:w="1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2 a 3 meses hasta SAP PM</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Medio</w:t>
            </w:r>
          </w:p>
        </w:tc>
      </w:tr>
    </w:tbl>
    <w:p>
      <w:pPr>
        <w:pStyle w:val="Heading2"/>
      </w:pPr>
      <w:r>
        <w:t xml:space="preserve">2.1 Secuencia y lógica</w:t>
      </w:r>
    </w:p>
    <w:p>
      <w:pPr>
        <w:pStyle w:val="ListParagraph"/>
        <w:numPr>
          <w:ilvl w:val="0"/>
          <w:numId w:val="2"/>
        </w:numPr>
        <w:spacing w:after="60"/>
      </w:pPr>
      <w:r>
        <w:rPr>
          <w:b/>
          <w:bCs/>
        </w:rPr>
        <w:t xml:space="preserve">P1 primero. </w:t>
      </w:r>
      <w:r>
        <w:t xml:space="preserve">El respaldo de gerencia ya existe; cerrarlo demuestra que IPM termina lo que empieza y da credibilidad para lo siguiente.</w:t>
      </w:r>
    </w:p>
    <w:p>
      <w:pPr>
        <w:pStyle w:val="ListParagraph"/>
        <w:numPr>
          <w:ilvl w:val="0"/>
          <w:numId w:val="2"/>
        </w:numPr>
        <w:spacing w:after="60"/>
      </w:pPr>
      <w:r>
        <w:rPr>
          <w:b/>
          <w:bCs/>
        </w:rPr>
        <w:t xml:space="preserve">P3 en paralelo. </w:t>
      </w:r>
      <w:r>
        <w:t xml:space="preserve">Está alineado a la meta de planes eléctricos, de modo que no es carga adicional. Además genera aliados en terreno, porque les libera horas de trabajo sin valor.</w:t>
      </w:r>
    </w:p>
    <w:p>
      <w:pPr>
        <w:pStyle w:val="ListParagraph"/>
        <w:numPr>
          <w:ilvl w:val="0"/>
          <w:numId w:val="2"/>
        </w:numPr>
        <w:spacing w:after="60"/>
      </w:pPr>
      <w:r>
        <w:rPr>
          <w:b/>
          <w:bCs/>
        </w:rPr>
        <w:t xml:space="preserve">P2 después de seleccionar el equipo con datos. </w:t>
      </w:r>
      <w:r>
        <w:t xml:space="preserve">Es el piloto que más tiempo requiere para demostrar efecto, por lo que conviene iniciarlo con una selección sólida y un jefe de planta receptivo.</w:t>
      </w:r>
    </w:p>
    <w:p>
      <w:pPr>
        <w:spacing w:after="120" w:line="276"/>
      </w:pPr>
      <w:r>
        <w:rPr>
          <w:i/>
          <w:iCs/>
        </w:rPr>
        <w:t xml:space="preserve">Como criterio, no se abre P2 en terreno hasta que P1 tenga responsables asignados formalmente.</w:t>
      </w:r>
    </w:p>
    <w:p>
      <w:pPr>
        <w:pStyle w:val="Heading1"/>
      </w:pPr>
      <w:r>
        <w:t xml:space="preserve">3. Piloto P1 — Cierre del RCA AJAX 1 (ECA)</w:t>
      </w:r>
    </w:p>
    <w:p>
      <w:pPr>
        <w:pStyle w:val="Heading2"/>
      </w:pPr>
      <w:r>
        <w:t xml:space="preserve">3.1 Situación actual</w:t>
      </w:r>
    </w:p>
    <w:p>
      <w:pPr>
        <w:spacing w:after="120" w:line="276"/>
      </w:pPr>
      <w:r>
        <w:t xml:space="preserve">Se elaboró el RCA PROACT RCA-ECA-AJAX1-2026-01 por fundición de biela del AJAX DPC-2804 N°1 (Arenal/ECA). En reunión con Mauricio Oyarzo, Alberto Damianovic, Gabriel Díaz y Carlos Miranda se acordó avanzar; sin embargo, el plan de acción no se ha bajado a responsables ni plazos.</w:t>
      </w:r>
    </w:p>
    <w:p>
      <w:pPr>
        <w:pStyle w:val="Heading2"/>
      </w:pPr>
      <w:r>
        <w:t xml:space="preserve">3.2 Pregunta de decisión</w:t>
      </w:r>
    </w:p>
    <w:p>
      <w:pPr>
        <w:spacing w:after="120" w:line="276"/>
      </w:pPr>
      <w:r>
        <w:t xml:space="preserve">¿Qué acciones del RCA se ejecutan, quién es responsable de cada una y en qué fecha se compromete su cierre?</w:t>
      </w:r>
    </w:p>
    <w:p>
      <w:pPr>
        <w:pStyle w:val="Heading2"/>
      </w:pPr>
      <w:r>
        <w:t xml:space="preserve">3.3 Pasos</w:t>
      </w:r>
    </w:p>
    <w:p>
      <w:pPr>
        <w:pStyle w:val="ListParagraph"/>
        <w:numPr>
          <w:ilvl w:val="0"/>
          <w:numId w:val="3"/>
        </w:numPr>
        <w:spacing w:after="60"/>
      </w:pPr>
      <w:r>
        <w:t xml:space="preserve">Reordenar las acciones del RCA por nivel de raíz PROACT (física, humana, latente). Las latentes (procedimientos, criterios, sistemas de gestión) evitan la recurrencia en otras unidades; las físicas son las de cierre más rápido.</w:t>
      </w:r>
    </w:p>
    <w:p>
      <w:pPr>
        <w:pStyle w:val="ListParagraph"/>
        <w:numPr>
          <w:ilvl w:val="0"/>
          <w:numId w:val="3"/>
        </w:numPr>
        <w:spacing w:after="60"/>
      </w:pPr>
      <w:r>
        <w:t xml:space="preserve">Proponer un responsable tentativo y una fecha para cada acción antes de la reunión. Se llega con la propuesta hecha, no con la pregunta abierta.</w:t>
      </w:r>
    </w:p>
    <w:p>
      <w:pPr>
        <w:pStyle w:val="ListParagraph"/>
        <w:numPr>
          <w:ilvl w:val="0"/>
          <w:numId w:val="3"/>
        </w:numPr>
        <w:spacing w:after="60"/>
      </w:pPr>
      <w:r>
        <w:t xml:space="preserve">Validar con supervisión y mantenedores de ECA la factibilidad de cada acción (recursos, repuestos, ventanas de detención).</w:t>
      </w:r>
    </w:p>
    <w:p>
      <w:pPr>
        <w:pStyle w:val="ListParagraph"/>
        <w:numPr>
          <w:ilvl w:val="0"/>
          <w:numId w:val="3"/>
        </w:numPr>
        <w:spacing w:after="60"/>
      </w:pPr>
      <w:r>
        <w:t xml:space="preserve">Reunión de 30 min con Gabriel para confirmar responsables. Enviar acta con la tabla de acciones el mismo día.</w:t>
      </w:r>
    </w:p>
    <w:p>
      <w:pPr>
        <w:pStyle w:val="ListParagraph"/>
        <w:numPr>
          <w:ilvl w:val="0"/>
          <w:numId w:val="3"/>
        </w:numPr>
        <w:spacing w:after="60"/>
      </w:pPr>
      <w:r>
        <w:t xml:space="preserve">Seguimiento quincenal; estado visible en el informe mensual IPM.</w:t>
      </w:r>
    </w:p>
    <w:p>
      <w:pPr>
        <w:pStyle w:val="ListParagraph"/>
        <w:numPr>
          <w:ilvl w:val="0"/>
          <w:numId w:val="3"/>
        </w:numPr>
        <w:spacing w:after="60"/>
      </w:pPr>
      <w:r>
        <w:t xml:space="preserve">Verificar efectividad: para cada raíz, definir cómo se sabrá que la acción funcionó, no solo que se ejecutó.</w:t>
      </w:r>
    </w:p>
    <w:p>
      <w:pPr>
        <w:pStyle w:val="Heading2"/>
      </w:pPr>
      <w:r>
        <w:t xml:space="preserve">3.4 Registro de acciones</w:t>
      </w:r>
    </w:p>
    <w:p>
      <w:pPr>
        <w:spacing w:after="120" w:line="276"/>
      </w:pPr>
      <w:r>
        <w:t xml:space="preserve">La tabla se completa a partir del RCA (Ver Tabla 3).</w:t>
      </w:r>
    </w:p>
    <w:p>
      <w:pPr>
        <w:keepNext/>
        <w:spacing w:after="80" w:before="120"/>
      </w:pPr>
      <w:r>
        <w:rPr>
          <w:b/>
          <w:bCs/>
          <w:sz w:val="18"/>
          <w:szCs w:val="18"/>
        </w:rPr>
        <w:t xml:space="preserve">Tabla 3. </w:t>
      </w:r>
      <w:r>
        <w:rPr>
          <w:i/>
          <w:iCs/>
          <w:sz w:val="18"/>
          <w:szCs w:val="18"/>
        </w:rPr>
        <w:t xml:space="preserve">Plan de acción RCA AJAX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500"/>
        <w:gridCol w:w="1100"/>
        <w:gridCol w:w="1500"/>
        <w:gridCol w:w="1200"/>
        <w:gridCol w:w="1788"/>
        <w:gridCol w:w="1100"/>
      </w:tblGrid>
      <w:tr>
        <w:trPr>
          <w:tblHeader/>
        </w:trPr>
        <w:tc>
          <w:tcPr>
            <w:tcW w:type="dxa" w:w="45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N°</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Acción</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Raíz (F/H/L)</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Responsable</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Fecha</w:t>
            </w:r>
          </w:p>
        </w:tc>
        <w:tc>
          <w:tcPr>
            <w:tcW w:type="dxa" w:w="178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Evidencia de cierre</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Estado</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1</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2</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3</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4</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6</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78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bl>
    <w:p>
      <w:pPr>
        <w:pStyle w:val="Heading2"/>
      </w:pPr>
      <w:r>
        <w:t xml:space="preserve">3.5 Indicadores</w:t>
      </w:r>
    </w:p>
    <w:p>
      <w:pPr>
        <w:pStyle w:val="ListParagraph"/>
        <w:numPr>
          <w:ilvl w:val="0"/>
          <w:numId w:val="2"/>
        </w:numPr>
        <w:spacing w:after="60"/>
      </w:pPr>
      <w:r>
        <w:t xml:space="preserve">% de acciones cerradas en plazo (meta sugerida: 80 % de las acciones vencidas al día 90).</w:t>
      </w:r>
    </w:p>
    <w:p>
      <w:pPr>
        <w:pStyle w:val="ListParagraph"/>
        <w:numPr>
          <w:ilvl w:val="0"/>
          <w:numId w:val="2"/>
        </w:numPr>
        <w:spacing w:after="60"/>
      </w:pPr>
      <w:r>
        <w:t xml:space="preserve">Recurrencia del modo de falla en la flota AJAX: 0 eventos.</w:t>
      </w:r>
    </w:p>
    <w:p>
      <w:pPr>
        <w:pStyle w:val="ListParagraph"/>
        <w:numPr>
          <w:ilvl w:val="0"/>
          <w:numId w:val="2"/>
        </w:numPr>
        <w:spacing w:after="60"/>
      </w:pPr>
      <w:r>
        <w:t xml:space="preserve">N° de acciones latentes extendidas a otras unidades AJAX.</w:t>
      </w:r>
    </w:p>
    <w:p>
      <w:pPr>
        <w:pStyle w:val="Heading2"/>
      </w:pPr>
      <w:r>
        <w:t xml:space="preserve">3.6 Riesgos y mitigación</w:t>
      </w:r>
    </w:p>
    <w:p>
      <w:pPr>
        <w:keepNext/>
        <w:spacing w:after="80" w:before="120"/>
      </w:pPr>
      <w:r>
        <w:rPr>
          <w:b/>
          <w:bCs/>
          <w:sz w:val="18"/>
          <w:szCs w:val="18"/>
        </w:rPr>
        <w:t xml:space="preserve">Tabla 4. </w:t>
      </w:r>
      <w:r>
        <w:rPr>
          <w:i/>
          <w:iCs/>
          <w:sz w:val="18"/>
          <w:szCs w:val="18"/>
        </w:rPr>
        <w:t xml:space="preserve">Riesgos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Riesgo</w:t>
            </w:r>
          </w:p>
        </w:tc>
        <w:tc>
          <w:tcPr>
            <w:tcW w:type="dxa" w:w="56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Mitigación</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Acciones sin presupuesto o sin ventana de detención</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Separar acciones de costo cero de las que requieren OT o compra; cerrar primero las de costo cero.</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Responsables que no aceptan la asignación</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La asignación la formaliza Gabriel, no IPM. IPM propone y hace seguimiento.</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El plan se diluye después del acta</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Estado del plan en el informe mensual IPM; revisión quincenal fija en calendario.</w:t>
            </w:r>
          </w:p>
        </w:tc>
      </w:tr>
    </w:tbl>
    <w:p>
      <w:pPr>
        <w:pStyle w:val="Heading1"/>
      </w:pPr>
      <w:r>
        <w:t xml:space="preserve">4. Piloto P2 — Bad actor de detenciones</w:t>
      </w:r>
    </w:p>
    <w:p>
      <w:pPr>
        <w:pStyle w:val="Heading2"/>
      </w:pPr>
      <w:r>
        <w:t xml:space="preserve">4.1 Selección del equipo</w:t>
      </w:r>
    </w:p>
    <w:p>
      <w:pPr>
        <w:spacing w:after="120" w:line="276"/>
      </w:pPr>
      <w:r>
        <w:t xml:space="preserve">El equipo se selecciona con un puntaje simple de 1 a 3 por criterio, eligiendo el de mayor puntaje total (Ver Tabla 5). Ahora bien, un equipo con muchas fallas pero con alta redundancia puede tener menor prioridad que uno con menos fallas en una estación sin respaldo; por ello se incluye el impacto sistémico.</w:t>
      </w:r>
    </w:p>
    <w:p>
      <w:pPr>
        <w:keepNext/>
        <w:spacing w:after="80" w:before="120"/>
      </w:pPr>
      <w:r>
        <w:rPr>
          <w:b/>
          <w:bCs/>
          <w:sz w:val="18"/>
          <w:szCs w:val="18"/>
        </w:rPr>
        <w:t xml:space="preserve">Tabla 5. </w:t>
      </w:r>
      <w:r>
        <w:rPr>
          <w:i/>
          <w:iCs/>
          <w:sz w:val="18"/>
          <w:szCs w:val="18"/>
        </w:rPr>
        <w:t xml:space="preserve">Criterios de selección del bad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38"/>
        <w:gridCol w:w="3200"/>
      </w:tblGrid>
      <w:tr>
        <w:trPr>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Criterio</w:t>
            </w:r>
          </w:p>
        </w:tc>
        <w:tc>
          <w:tcPr>
            <w:tcW w:type="dxa" w:w="45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Qué se evalúa</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Fuente</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Frecuencia</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N° de fallas reales en 12 a 24 meses, excluyendo paradas por decisión operativa (OPS) y mantención programada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INFOR_DT / Consulta de Detenciones</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Tendencia</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β Crow-AMSAA &gt; 1 con test de Laplace significativo</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Analizador TBF/TTR</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Severidad</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Horas totales de reparación (N × MTTR)</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INFOR_DT</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Costo</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Costo correctivo directo en el período</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SAP KSB1 / IW38</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Impacto sistémico</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Efecto en la capacidad de la estación según redundancia</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Disponibilidad sistémica (COPT)</w:t>
            </w:r>
          </w:p>
        </w:tc>
      </w:tr>
      <w:tr>
        <w:trPr>
          <w:cantSplit/>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Accionabilidad</w:t>
            </w:r>
          </w:p>
        </w:tc>
        <w:tc>
          <w:tcPr>
            <w:tcW w:type="dxa" w:w="45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Modos de falla dominantes identificables, no dispersos</w:t>
            </w:r>
          </w:p>
        </w:tc>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Avisos IW69 / FMECA</w:t>
            </w:r>
          </w:p>
        </w:tc>
      </w:tr>
    </w:tbl>
    <w:p>
      <w:pPr>
        <w:spacing w:after="60"/>
      </w:pPr>
    </w:p>
    <w:p>
      <w:pPr>
        <w:keepNext/>
        <w:spacing w:after="80" w:before="120"/>
      </w:pPr>
      <w:r>
        <w:rPr>
          <w:b/>
          <w:bCs/>
          <w:sz w:val="18"/>
          <w:szCs w:val="18"/>
        </w:rPr>
        <w:t xml:space="preserve">Tabla 6. </w:t>
      </w:r>
      <w:r>
        <w:rPr>
          <w:i/>
          <w:iCs/>
          <w:sz w:val="18"/>
          <w:szCs w:val="18"/>
        </w:rPr>
        <w:t xml:space="preserve">Matriz de puntaje (1 = bajo, 3 = alto).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300"/>
        <w:gridCol w:w="1300"/>
        <w:gridCol w:w="1300"/>
        <w:gridCol w:w="1300"/>
        <w:gridCol w:w="1300"/>
        <w:gridCol w:w="1300"/>
      </w:tblGrid>
      <w:tr>
        <w:trPr>
          <w:tblHeader/>
        </w:trPr>
        <w:tc>
          <w:tcPr>
            <w:tcW w:type="dxa" w:w="1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Equipo / planta</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Frec.</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Tend.</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Sever.</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Costo</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Imp. sist.</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Total</w:t>
            </w:r>
          </w:p>
        </w:tc>
      </w:tr>
      <w:tr>
        <w:trPr>
          <w:cantSplit/>
        </w:trPr>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bl>
    <w:p>
      <w:pPr>
        <w:spacing w:after="120" w:line="276"/>
      </w:pPr>
      <w:r>
        <w:rPr>
          <w:i/>
          <w:iCs/>
          <w:sz w:val="18"/>
          <w:szCs w:val="18"/>
        </w:rPr>
        <w:t xml:space="preserve">Nota: la accionabilidad se usa como filtro final entre los dos o tres primeros, no como puntaje.</w:t>
      </w:r>
    </w:p>
    <w:p>
      <w:pPr>
        <w:pStyle w:val="Heading2"/>
      </w:pPr>
      <w:r>
        <w:t xml:space="preserve">4.2 Línea base</w:t>
      </w:r>
    </w:p>
    <w:p>
      <w:pPr>
        <w:keepNext/>
        <w:spacing w:after="80" w:before="120"/>
      </w:pPr>
      <w:r>
        <w:rPr>
          <w:b/>
          <w:bCs/>
          <w:sz w:val="18"/>
          <w:szCs w:val="18"/>
        </w:rPr>
        <w:t xml:space="preserve">Tabla 7. </w:t>
      </w:r>
      <w:r>
        <w:rPr>
          <w:i/>
          <w:iCs/>
          <w:sz w:val="18"/>
          <w:szCs w:val="18"/>
        </w:rPr>
        <w:t xml:space="preserve">Línea base del equipo seleccionado.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638"/>
        <w:gridCol w:w="1800"/>
      </w:tblGrid>
      <w:tr>
        <w:trPr>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Indicador</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Valor línea base</w:t>
            </w:r>
          </w:p>
        </w:tc>
        <w:tc>
          <w:tcPr>
            <w:tcW w:type="dxa" w:w="26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Fuente</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Fecha de corte</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N° de fallas (12 meses)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INFOR_DT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MTBF / MTTR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Analizador TBF/TTR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β Crow-AMSAA (IC 90 %)</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Analizador TBF/TTR</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Disponibilidad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INFOR_DT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Costo correctivo (12 meses)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SAP KSB1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Costo de indisponibilidad</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Matriz de decisión económica</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bl>
    <w:p>
      <w:pPr>
        <w:pStyle w:val="Heading2"/>
      </w:pPr>
      <w:r>
        <w:t xml:space="preserve">4.3 Pasos</w:t>
      </w:r>
    </w:p>
    <w:p>
      <w:pPr>
        <w:pStyle w:val="ListParagraph"/>
        <w:numPr>
          <w:ilvl w:val="0"/>
          <w:numId w:val="4"/>
        </w:numPr>
        <w:spacing w:after="60"/>
      </w:pPr>
      <w:r>
        <w:t xml:space="preserve">Pareto de modos de falla del equipo seleccionado.</w:t>
      </w:r>
    </w:p>
    <w:p>
      <w:pPr>
        <w:pStyle w:val="ListParagraph"/>
        <w:numPr>
          <w:ilvl w:val="0"/>
          <w:numId w:val="4"/>
        </w:numPr>
        <w:spacing w:after="60"/>
      </w:pPr>
      <w:r>
        <w:t xml:space="preserve">Taller corto (60 a 90 min) con mantenedores y operador del equipo para validar modos y causas. Ellos aportan el mecanismo físico que el dato no muestra, y la conclusión pasa a ser del equipo.</w:t>
      </w:r>
    </w:p>
    <w:p>
      <w:pPr>
        <w:pStyle w:val="ListParagraph"/>
        <w:numPr>
          <w:ilvl w:val="0"/>
          <w:numId w:val="4"/>
        </w:numPr>
        <w:spacing w:after="60"/>
      </w:pPr>
      <w:r>
        <w:t xml:space="preserve">Ficha de decisión con tres opciones valorizadas, incluida "no hacer nada" (Ver plantilla, sección 8).</w:t>
      </w:r>
    </w:p>
    <w:p>
      <w:pPr>
        <w:pStyle w:val="ListParagraph"/>
        <w:numPr>
          <w:ilvl w:val="0"/>
          <w:numId w:val="4"/>
        </w:numPr>
        <w:spacing w:after="60"/>
      </w:pPr>
      <w:r>
        <w:t xml:space="preserve">Presentación al jefe de planta y Gabriel; decisión registrada con responsable y fecha.</w:t>
      </w:r>
    </w:p>
    <w:p>
      <w:pPr>
        <w:pStyle w:val="ListParagraph"/>
        <w:numPr>
          <w:ilvl w:val="0"/>
          <w:numId w:val="4"/>
        </w:numPr>
        <w:spacing w:after="60"/>
      </w:pPr>
      <w:r>
        <w:t xml:space="preserve">Ejecución y seguimiento mensual en el gráfico Crow-AMSAA acumulado.</w:t>
      </w:r>
    </w:p>
    <w:p>
      <w:pPr>
        <w:pStyle w:val="Heading2"/>
      </w:pPr>
      <w:r>
        <w:t xml:space="preserve">4.4 Indicador de éxito</w:t>
      </w:r>
    </w:p>
    <w:p>
      <w:pPr>
        <w:spacing w:after="120" w:line="276"/>
      </w:pPr>
      <w:r>
        <w:t xml:space="preserve">Se busca un cambio de pendiente en el gráfico Crow-AMSAA acumulado posterior a la intervención (β posterior menor que β anterior) y un MTBF instantáneo creciente. Ahora bien, con pocas fallas en 90 días el efecto puede no ser estadísticamente demostrable; en ese caso se reportan indicadores adelantados (acciones ejecutadas, condición del equipo) y se mantiene la medición hasta el sexto mes.</w:t>
      </w:r>
    </w:p>
    <w:p>
      <w:pPr>
        <w:pStyle w:val="Heading2"/>
      </w:pPr>
      <w:r>
        <w:t xml:space="preserve">4.5 Riesgos y mitigación</w:t>
      </w:r>
    </w:p>
    <w:p>
      <w:pPr>
        <w:keepNext/>
        <w:spacing w:after="80" w:before="120"/>
      </w:pPr>
      <w:r>
        <w:rPr>
          <w:b/>
          <w:bCs/>
          <w:sz w:val="18"/>
          <w:szCs w:val="18"/>
        </w:rPr>
        <w:t xml:space="preserve">Tabla 8. </w:t>
      </w:r>
      <w:r>
        <w:rPr>
          <w:i/>
          <w:iCs/>
          <w:sz w:val="18"/>
          <w:szCs w:val="18"/>
        </w:rPr>
        <w:t xml:space="preserve">Riesgos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Riesgo</w:t>
            </w:r>
          </w:p>
        </w:tc>
        <w:tc>
          <w:tcPr>
            <w:tcW w:type="dxa" w:w="56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Mitigación</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Confundir falla con parada por decisión operativa</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Aplicar la clasificación de tiempos (falla, OPS, programada) antes de calcular.</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Jefe de planta que percibe el análisis como auditoría</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Partir por su dolor, no por el análisis; elegir una planta con jefatura receptiva para el primer caso.</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Opciones sin valorización creíble</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Tratar el costo por falla como distribución, no como valor puntual; validar supuestos con planta.</w:t>
            </w:r>
          </w:p>
        </w:tc>
      </w:tr>
    </w:tbl>
    <w:p>
      <w:pPr>
        <w:pStyle w:val="Heading1"/>
      </w:pPr>
      <w:r>
        <w:t xml:space="preserve">5. Piloto P3 — Tareas sin valor en planes eléctricos</w:t>
      </w:r>
    </w:p>
    <w:p>
      <w:pPr>
        <w:pStyle w:val="Heading2"/>
      </w:pPr>
      <w:r>
        <w:t xml:space="preserve">5.1 Alcance</w:t>
      </w:r>
    </w:p>
    <w:p>
      <w:pPr>
        <w:spacing w:after="120" w:line="276"/>
      </w:pPr>
      <w:r>
        <w:t xml:space="preserve">Planes de mantenimiento eléctrico de equipos críticos, dentro de la meta de desempeño (hitos 70/100/110 % hasta carga en SAP PM). El piloto aprovecha esa meta: no es trabajo adicional, sino otra forma de presentar el resultado, en horas liberadas y riesgo cubierto.</w:t>
      </w:r>
    </w:p>
    <w:p>
      <w:pPr>
        <w:pStyle w:val="Heading2"/>
      </w:pPr>
      <w:r>
        <w:t xml:space="preserve">5.2 Criterio de clasificación</w:t>
      </w:r>
    </w:p>
    <w:p>
      <w:pPr>
        <w:spacing w:after="120" w:line="276"/>
      </w:pPr>
      <w:r>
        <w:t xml:space="preserve">Cada tarea se clasifica en una de cinco categorías (Ver Tabla 9).</w:t>
      </w:r>
    </w:p>
    <w:p>
      <w:pPr>
        <w:keepNext/>
        <w:spacing w:after="80" w:before="120"/>
      </w:pPr>
      <w:r>
        <w:rPr>
          <w:b/>
          <w:bCs/>
          <w:sz w:val="18"/>
          <w:szCs w:val="18"/>
        </w:rPr>
        <w:t xml:space="preserve">Tabla 9. </w:t>
      </w:r>
      <w:r>
        <w:rPr>
          <w:i/>
          <w:iCs/>
          <w:sz w:val="18"/>
          <w:szCs w:val="18"/>
        </w:rPr>
        <w:t xml:space="preserve">Categorías de clasificación de tareas.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Categoría</w:t>
            </w:r>
          </w:p>
        </w:tc>
        <w:tc>
          <w:tcPr>
            <w:tcW w:type="dxa" w:w="74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Criterio</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Mantener</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Cubre un modo de falla crítico y la tarea efectivamente lo detecta o previene.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Modificar frecuencia</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El historial de órdenes preventivas sin hallazgos (o con hallazgos frecuentes) justifica ampliar (o reducir) el intervalo.</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Pasar a CBM</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El modo de falla entrega una señal medible previa (termografía, resistencia de aislamiento, vibración, análisis de aceite) y conviene intervenir por condición.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Eliminar</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No cubre un modo de falla identificado, duplica otra tarea o proviene del fabricante sin respaldo en la historia.</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Agregar</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Modo de falla crítico sin tarea que lo cubra (brecha detectada).</w:t>
            </w:r>
          </w:p>
        </w:tc>
      </w:tr>
    </w:tbl>
    <w:p>
      <w:pPr>
        <w:pStyle w:val="Heading2"/>
      </w:pPr>
      <w:r>
        <w:t xml:space="preserve">5.3 Evidencia</w:t>
      </w:r>
    </w:p>
    <w:p>
      <w:pPr>
        <w:pStyle w:val="ListParagraph"/>
        <w:numPr>
          <w:ilvl w:val="0"/>
          <w:numId w:val="2"/>
        </w:numPr>
        <w:spacing w:after="60"/>
      </w:pPr>
      <w:r>
        <w:t xml:space="preserve">Tasa de hallazgos por tarea a partir de órdenes preventivas cerradas y avisos asociados (IW38 / IW69).</w:t>
      </w:r>
    </w:p>
    <w:p>
      <w:pPr>
        <w:pStyle w:val="ListParagraph"/>
        <w:numPr>
          <w:ilvl w:val="0"/>
          <w:numId w:val="2"/>
        </w:numPr>
        <w:spacing w:after="60"/>
      </w:pPr>
      <w:r>
        <w:t xml:space="preserve">Vínculo tarea–modo de falla (FMECA); toda tarea sin modo de falla asociado queda en revisión.</w:t>
      </w:r>
    </w:p>
    <w:p>
      <w:pPr>
        <w:pStyle w:val="ListParagraph"/>
        <w:numPr>
          <w:ilvl w:val="0"/>
          <w:numId w:val="2"/>
        </w:numPr>
        <w:spacing w:after="60"/>
      </w:pPr>
      <w:r>
        <w:t xml:space="preserve">Justificación documentada por cada cambio, para dejar trazabilidad ante auditoría.</w:t>
      </w:r>
    </w:p>
    <w:p>
      <w:pPr>
        <w:pStyle w:val="Heading2"/>
      </w:pPr>
      <w:r>
        <w:t xml:space="preserve">5.4 Involucramiento de terreno</w:t>
      </w:r>
    </w:p>
    <w:p>
      <w:pPr>
        <w:spacing w:after="120" w:line="276"/>
      </w:pPr>
      <w:r>
        <w:t xml:space="preserve">La clasificación se revisa con supervisión y técnicos eléctricos antes de proponerla. El mensaje es liberar horas de tareas sin valor para dedicarlas a las que sí lo tienen, no recortar mantenimiento.</w:t>
      </w:r>
    </w:p>
    <w:p>
      <w:pPr>
        <w:pStyle w:val="Heading2"/>
      </w:pPr>
      <w:r>
        <w:t xml:space="preserve">5.5 Indicadores</w:t>
      </w:r>
    </w:p>
    <w:p>
      <w:pPr>
        <w:keepNext/>
        <w:spacing w:after="80" w:before="120"/>
      </w:pPr>
      <w:r>
        <w:rPr>
          <w:b/>
          <w:bCs/>
          <w:sz w:val="18"/>
          <w:szCs w:val="18"/>
        </w:rPr>
        <w:t xml:space="preserve">Tabla 10. </w:t>
      </w:r>
      <w:r>
        <w:rPr>
          <w:i/>
          <w:iCs/>
          <w:sz w:val="18"/>
          <w:szCs w:val="18"/>
        </w:rPr>
        <w:t xml:space="preserve">Indicadores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83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Indicador</w:t>
            </w:r>
          </w:p>
        </w:tc>
        <w:tc>
          <w:tcPr>
            <w:tcW w:type="dxa" w:w="2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Línea base</w:t>
            </w:r>
          </w:p>
        </w:tc>
        <w:tc>
          <w:tcPr>
            <w:tcW w:type="dxa" w:w="28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Resultado</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HH/año liberadas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N° de tareas por categoría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 de tareas con justificación documentada</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N° de tareas nuevas por brechas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bl>
    <w:p>
      <w:pPr>
        <w:pStyle w:val="Heading2"/>
      </w:pPr>
      <w:r>
        <w:t xml:space="preserve">5.6 Riesgos y mitigación</w:t>
      </w:r>
    </w:p>
    <w:p>
      <w:pPr>
        <w:keepNext/>
        <w:spacing w:after="80" w:before="120"/>
      </w:pPr>
      <w:r>
        <w:rPr>
          <w:b/>
          <w:bCs/>
          <w:sz w:val="18"/>
          <w:szCs w:val="18"/>
        </w:rPr>
        <w:t xml:space="preserve">Tabla 11. </w:t>
      </w:r>
      <w:r>
        <w:rPr>
          <w:i/>
          <w:iCs/>
          <w:sz w:val="18"/>
          <w:szCs w:val="18"/>
        </w:rPr>
        <w:t xml:space="preserve">Riesgos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Riesgo</w:t>
            </w:r>
          </w:p>
        </w:tc>
        <w:tc>
          <w:tcPr>
            <w:tcW w:type="dxa" w:w="56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Mitigación</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Resistencia a eliminar ("siempre se ha hecho")</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Partir por ampliar frecuencia antes que eliminar; revisar efecto en 6 a 12 meses.</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Historial de OT incompleto o mal registrado</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Complementar con criterio de supervisión y dejar la tarea en "revisión", no en "eliminar".</w:t>
            </w:r>
          </w:p>
        </w:tc>
      </w:tr>
      <w:tr>
        <w:trPr>
          <w:cantSplit/>
        </w:trPr>
        <w:tc>
          <w:tcPr>
            <w:tcW w:type="dxa" w:w="40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Cambios sin trazabilidad</w:t>
            </w:r>
          </w:p>
        </w:tc>
        <w:tc>
          <w:tcPr>
            <w:tcW w:type="dxa" w:w="5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Registrar justificación por tarea antes de la carga en SAP PM.</w:t>
            </w:r>
          </w:p>
        </w:tc>
      </w:tr>
    </w:tbl>
    <w:p>
      <w:pPr>
        <w:pStyle w:val="Heading1"/>
      </w:pPr>
      <w:r>
        <w:t xml:space="preserve">6. Cronograma a 90 días</w:t>
      </w:r>
    </w:p>
    <w:p>
      <w:pPr>
        <w:spacing w:after="120" w:line="276"/>
      </w:pPr>
      <w:r>
        <w:t xml:space="preserve">El cronograma considera inicio el lunes 26 de octubre de 2026 y cierre el viernes 22 de enero de 2027 (Ver Tabla 12). El bloque de fin de año se asume de bajo ritmo.</w:t>
      </w:r>
    </w:p>
    <w:p>
      <w:pPr>
        <w:keepNext/>
        <w:spacing w:after="80" w:before="120"/>
      </w:pPr>
      <w:r>
        <w:rPr>
          <w:b/>
          <w:bCs/>
          <w:sz w:val="18"/>
          <w:szCs w:val="18"/>
        </w:rPr>
        <w:t xml:space="preserve">Tabla 12. </w:t>
      </w:r>
      <w:r>
        <w:rPr>
          <w:i/>
          <w:iCs/>
          <w:sz w:val="18"/>
          <w:szCs w:val="18"/>
        </w:rPr>
        <w:t xml:space="preserve">Cronograma por bloques de dos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46"/>
        <w:gridCol w:w="2746"/>
        <w:gridCol w:w="2746"/>
      </w:tblGrid>
      <w:tr>
        <w:trPr>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Semanas</w:t>
            </w:r>
          </w:p>
        </w:tc>
        <w:tc>
          <w:tcPr>
            <w:tcW w:type="dxa" w:w="2746"/>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P1 — RCA AJAX 1</w:t>
            </w:r>
          </w:p>
        </w:tc>
        <w:tc>
          <w:tcPr>
            <w:tcW w:type="dxa" w:w="2746"/>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P2 — Bad actor</w:t>
            </w:r>
          </w:p>
        </w:tc>
        <w:tc>
          <w:tcPr>
            <w:tcW w:type="dxa" w:w="2746"/>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7"/>
                <w:szCs w:val="17"/>
              </w:rPr>
              <w:t xml:space="preserve">P3 — Tareas sin valor</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S1–2</w:t>
            </w:r>
          </w:p>
          <w:p>
            <w:pPr>
              <w:spacing w:after="40"/>
            </w:pPr>
            <w:r>
              <w:rPr>
                <w:b/>
                <w:bCs/>
                <w:sz w:val="17"/>
                <w:szCs w:val="17"/>
              </w:rPr>
              <w:t xml:space="preserve">26 oct – 6 nov</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Reordenar acciones por raíz; propuesta de responsables; reunión con Gabriel</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Cargar datos y aplicar matriz de selección</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Definir equipos del alcance; extraer historial de OT</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S3–4</w:t>
            </w:r>
          </w:p>
          <w:p>
            <w:pPr>
              <w:spacing w:after="40"/>
            </w:pPr>
            <w:r>
              <w:rPr>
                <w:b/>
                <w:bCs/>
                <w:sz w:val="17"/>
                <w:szCs w:val="17"/>
              </w:rPr>
              <w:t xml:space="preserve">9 – 20 nov</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Acta y asignación formal; validación en ECA</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Elegir equipo; levantar línea base</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Calcular tasa de hallazgos; clasificación preliminar</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S5–6</w:t>
            </w:r>
          </w:p>
          <w:p>
            <w:pPr>
              <w:spacing w:after="40"/>
            </w:pPr>
            <w:r>
              <w:rPr>
                <w:b/>
                <w:bCs/>
                <w:sz w:val="17"/>
                <w:szCs w:val="17"/>
              </w:rPr>
              <w:t xml:space="preserve">23 nov – 4 dic</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Primer seguimiento quincenal</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Taller con terreno; Pareto de modos de falla</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Revisión con supervisión eléctrica</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S7–8</w:t>
            </w:r>
          </w:p>
          <w:p>
            <w:pPr>
              <w:spacing w:after="40"/>
            </w:pPr>
            <w:r>
              <w:rPr>
                <w:b/>
                <w:bCs/>
                <w:sz w:val="17"/>
                <w:szCs w:val="17"/>
              </w:rPr>
              <w:t xml:space="preserve">7 – 18 dic</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Seguimiento</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Ficha de decisión valorizada; presentación</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Propuesta final; aprobación</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S9–10</w:t>
            </w:r>
          </w:p>
          <w:p>
            <w:pPr>
              <w:spacing w:after="40"/>
            </w:pPr>
            <w:r>
              <w:rPr>
                <w:b/>
                <w:bCs/>
                <w:sz w:val="17"/>
                <w:szCs w:val="17"/>
              </w:rPr>
              <w:t xml:space="preserve">21 dic – 1 ene</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Seguimiento (bajo ritmo)</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Inicio de acciones</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Preparación de carga en SAP PM</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S11–13</w:t>
            </w:r>
          </w:p>
          <w:p>
            <w:pPr>
              <w:spacing w:after="40"/>
            </w:pPr>
            <w:r>
              <w:rPr>
                <w:b/>
                <w:bCs/>
                <w:sz w:val="17"/>
                <w:szCs w:val="17"/>
              </w:rPr>
              <w:t xml:space="preserve">4 – 22 ene</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Verificación de efectividad de acciones cerradas</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Primer control Crow-AMSAA</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Carga en SAP PM; cálculo de HH liberadas</w:t>
            </w:r>
          </w:p>
        </w:tc>
      </w:tr>
      <w:tr>
        <w:trPr>
          <w:cantSplit/>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7"/>
                <w:szCs w:val="17"/>
              </w:rPr>
              <w:t xml:space="preserve">Cierre</w:t>
            </w:r>
          </w:p>
          <w:p>
            <w:pPr>
              <w:spacing w:after="40"/>
            </w:pPr>
            <w:r>
              <w:rPr>
                <w:b/>
                <w:bCs/>
                <w:sz w:val="17"/>
                <w:szCs w:val="17"/>
              </w:rPr>
              <w:t xml:space="preserve">22 ene</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Informe de resultados de los tres pilotos y comunicación con crédito a cada equipo de planta</w:t>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c>
          <w:tcPr>
            <w:tcW w:type="dxa" w:w="274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7"/>
                <w:szCs w:val="17"/>
              </w:rPr>
              <w:t xml:space="preserve"/>
            </w:r>
          </w:p>
        </w:tc>
      </w:tr>
    </w:tbl>
    <w:p>
      <w:pPr>
        <w:pStyle w:val="Heading1"/>
      </w:pPr>
      <w:r>
        <w:t xml:space="preserve">7. Gobernanza y respaldo</w:t>
      </w:r>
    </w:p>
    <w:p>
      <w:pPr>
        <w:pStyle w:val="Heading2"/>
      </w:pPr>
      <w:r>
        <w:t xml:space="preserve">7.1 Conversación con Gabriel</w:t>
      </w:r>
    </w:p>
    <w:p>
      <w:pPr>
        <w:spacing w:after="120" w:line="276"/>
      </w:pPr>
      <w:r>
        <w:t xml:space="preserve">El objetivo es pasar de "avancemos en confiabilidad" a un respaldo explícito y acotado. Guion de referencia:</w:t>
      </w:r>
    </w:p>
    <w:p>
      <w:pPr>
        <w:pBdr>
          <w:left w:val="single" w:color="404040" w:sz="18" w:space="10"/>
        </w:pBdr>
        <w:spacing w:after="160" w:before="120"/>
        <w:ind w:left="360"/>
      </w:pPr>
      <w:r>
        <w:rPr>
          <w:i/>
          <w:iCs/>
          <w:color w:val="262626"/>
        </w:rPr>
        <w:t xml:space="preserve">Quiero probar que los análisis de confiabilidad terminen en decisiones ejecutadas. Propongo tres pilotos acotados a 90 días: cerrar el RCA del AJAX 1, atacar el equipo de peor desempeño y optimizar los planes eléctricos de la meta. Necesito tres cosas: que asignes formalmente los responsables del RCA, que me abras la puerta con el jefe de planta del bad actor y diez minutos en la reunión mensual para mostrar avance.</w:t>
      </w:r>
    </w:p>
    <w:p>
      <w:pPr>
        <w:pStyle w:val="Heading2"/>
      </w:pPr>
      <w:r>
        <w:t xml:space="preserve">7.2 Seguimiento</w:t>
      </w:r>
    </w:p>
    <w:p>
      <w:pPr>
        <w:pStyle w:val="ListParagraph"/>
        <w:numPr>
          <w:ilvl w:val="0"/>
          <w:numId w:val="2"/>
        </w:numPr>
        <w:spacing w:after="60"/>
      </w:pPr>
      <w:r>
        <w:t xml:space="preserve">Tabla de acciones (responsable, fecha, estado) incorporada al Dashboard del informe mensual IPM.</w:t>
      </w:r>
    </w:p>
    <w:p>
      <w:pPr>
        <w:pStyle w:val="ListParagraph"/>
        <w:numPr>
          <w:ilvl w:val="0"/>
          <w:numId w:val="2"/>
        </w:numPr>
        <w:spacing w:after="60"/>
      </w:pPr>
      <w:r>
        <w:t xml:space="preserve">Cadencia: quincenal para P1; mensual para P2 y P3.</w:t>
      </w:r>
    </w:p>
    <w:p>
      <w:pPr>
        <w:pStyle w:val="ListParagraph"/>
        <w:numPr>
          <w:ilvl w:val="0"/>
          <w:numId w:val="2"/>
        </w:numPr>
        <w:spacing w:after="60"/>
      </w:pPr>
      <w:r>
        <w:t xml:space="preserve">Lo que aparece en el informe mensual se hace; lo que no aparece, se olvida.</w:t>
      </w:r>
    </w:p>
    <w:p>
      <w:pPr>
        <w:pStyle w:val="Heading2"/>
      </w:pPr>
      <w:r>
        <w:t xml:space="preserve">7.3 Comunicación de resultados</w:t>
      </w:r>
    </w:p>
    <w:p>
      <w:pPr>
        <w:spacing w:after="120" w:line="276"/>
      </w:pPr>
      <w:r>
        <w:t xml:space="preserve">Cada resultado se comunica en formato antes/después de una lámina, con el crédito al equipo de planta. El éxito debe leerse como "del equipo de la planta, con apoyo de IPM", de modo que la siguiente planta quiera su propio piloto.</w:t>
      </w:r>
    </w:p>
    <w:p>
      <w:r>
        <w:br w:type="page"/>
      </w:r>
    </w:p>
    <w:p>
      <w:pPr>
        <w:pStyle w:val="Heading1"/>
      </w:pPr>
      <w:r>
        <w:t xml:space="preserve">8. Plantilla — Ficha de decisión</w:t>
      </w:r>
    </w:p>
    <w:p>
      <w:pPr>
        <w:spacing w:after="120" w:line="276"/>
      </w:pPr>
      <w:r>
        <w:t xml:space="preserve">Formato de una página para presentar cualquier análisis. Lo estadístico va en anexo (Ver Tabla 13).</w:t>
      </w:r>
    </w:p>
    <w:p>
      <w:pPr>
        <w:keepNext/>
        <w:spacing w:after="80" w:before="120"/>
      </w:pPr>
      <w:r>
        <w:rPr>
          <w:b/>
          <w:bCs/>
          <w:sz w:val="18"/>
          <w:szCs w:val="18"/>
        </w:rPr>
        <w:t xml:space="preserve">Tabla 13. </w:t>
      </w:r>
      <w:r>
        <w:rPr>
          <w:i/>
          <w:iCs/>
          <w:sz w:val="18"/>
          <w:szCs w:val="18"/>
        </w:rPr>
        <w:t xml:space="preserve">Ficha de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Equipo / planta</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Problema</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(En lenguaje de planta, una frase. Ej.: "el compresor X está fallando cada vez más seguido".)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Evidencia</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(Un gráfico, no diez.)</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Opción A</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Opción B</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Opción C — no hacer nada</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Costo y riesgo por opción</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(USD/año, producción diferida, riesgo HSE si aplica.)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Recomendación</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Quién decide</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Quién ejecuta y para cuándo</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90"/>
              <w:bottom w:type="dxa" w:w="60"/>
              <w:right w:type="dxa" w:w="90"/>
            </w:tcMar>
          </w:tcPr>
          <w:p>
            <w:pPr>
              <w:spacing w:after="40"/>
            </w:pPr>
            <w:r>
              <w:rPr>
                <w:b/>
                <w:bCs/>
                <w:sz w:val="18"/>
                <w:szCs w:val="18"/>
              </w:rPr>
              <w:t xml:space="preserve">Cómo se medirá el resultado</w:t>
            </w:r>
          </w:p>
        </w:tc>
        <w:tc>
          <w:tcPr>
            <w:tcW w:type="dxa" w:w="68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bl>
    <w:p>
      <w:pPr>
        <w:pStyle w:val="Heading1"/>
      </w:pPr>
      <w:r>
        <w:t xml:space="preserve">9. Checklist antes de presentar un análisis</w:t>
      </w:r>
    </w:p>
    <w:p>
      <w:pPr>
        <w:pStyle w:val="ListParagraph"/>
        <w:numPr>
          <w:ilvl w:val="0"/>
          <w:numId w:val="5"/>
        </w:numPr>
        <w:spacing w:after="60"/>
      </w:pPr>
      <w:r>
        <w:t xml:space="preserve">¿Qué decisión cambia este análisis y quién la toma?</w:t>
      </w:r>
    </w:p>
    <w:p>
      <w:pPr>
        <w:pStyle w:val="ListParagraph"/>
        <w:numPr>
          <w:ilvl w:val="0"/>
          <w:numId w:val="5"/>
        </w:numPr>
        <w:spacing w:after="60"/>
      </w:pPr>
      <w:r>
        <w:t xml:space="preserve">¿El problema está expresado en lenguaje de planta, sin jerga estadística en el cuerpo?</w:t>
      </w:r>
    </w:p>
    <w:p>
      <w:pPr>
        <w:pStyle w:val="ListParagraph"/>
        <w:numPr>
          <w:ilvl w:val="0"/>
          <w:numId w:val="5"/>
        </w:numPr>
        <w:spacing w:after="60"/>
      </w:pPr>
      <w:r>
        <w:t xml:space="preserve">¿Está valorizado en dinero o en riesgo?</w:t>
      </w:r>
    </w:p>
    <w:p>
      <w:pPr>
        <w:pStyle w:val="ListParagraph"/>
        <w:numPr>
          <w:ilvl w:val="0"/>
          <w:numId w:val="5"/>
        </w:numPr>
        <w:spacing w:after="60"/>
      </w:pPr>
      <w:r>
        <w:t xml:space="preserve">¿Lo validé con alguien de terreno antes de concluir?</w:t>
      </w:r>
    </w:p>
    <w:p>
      <w:pPr>
        <w:pStyle w:val="ListParagraph"/>
        <w:numPr>
          <w:ilvl w:val="0"/>
          <w:numId w:val="5"/>
        </w:numPr>
        <w:spacing w:after="60"/>
      </w:pPr>
      <w:r>
        <w:t xml:space="preserve">¿Hay opciones, incluida no hacer nada?</w:t>
      </w:r>
    </w:p>
    <w:p>
      <w:pPr>
        <w:pStyle w:val="ListParagraph"/>
        <w:numPr>
          <w:ilvl w:val="0"/>
          <w:numId w:val="5"/>
        </w:numPr>
        <w:spacing w:after="60"/>
      </w:pPr>
      <w:r>
        <w:t xml:space="preserve">¿Cada acción tiene responsable y fecha propuestos?</w:t>
      </w:r>
    </w:p>
    <w:p>
      <w:pPr>
        <w:pStyle w:val="ListParagraph"/>
        <w:numPr>
          <w:ilvl w:val="0"/>
          <w:numId w:val="5"/>
        </w:numPr>
        <w:spacing w:after="60"/>
      </w:pPr>
      <w:r>
        <w:t xml:space="preserve">¿Definí cómo se va a medir si funcionó?</w:t>
      </w:r>
    </w:p>
    <w:p>
      <w:pPr>
        <w:pStyle w:val="Heading1"/>
      </w:pPr>
      <w:r>
        <w:t xml:space="preserve">10. Bitácora de aprendizajes</w:t>
      </w:r>
    </w:p>
    <w:p>
      <w:pPr>
        <w:keepNext/>
        <w:spacing w:after="80" w:before="120"/>
      </w:pPr>
      <w:r>
        <w:rPr>
          <w:b/>
          <w:bCs/>
          <w:sz w:val="18"/>
          <w:szCs w:val="18"/>
        </w:rPr>
        <w:t xml:space="preserve">Tabla 14. </w:t>
      </w:r>
      <w:r>
        <w:rPr>
          <w:i/>
          <w:iCs/>
          <w:sz w:val="18"/>
          <w:szCs w:val="18"/>
        </w:rPr>
        <w:t xml:space="preserve">Registro de aprendizajes por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500"/>
        <w:gridCol w:w="2500"/>
        <w:gridCol w:w="2438"/>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Fecha</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Piloto</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Qué funcionó</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Qué no funcionó</w:t>
            </w:r>
          </w:p>
        </w:tc>
        <w:tc>
          <w:tcPr>
            <w:tcW w:type="dxa" w:w="2438"/>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tcPr>
          <w:p>
            <w:pPr>
              <w:spacing w:after="40"/>
            </w:pPr>
            <w:r>
              <w:rPr>
                <w:b/>
                <w:bCs/>
                <w:sz w:val="18"/>
                <w:szCs w:val="18"/>
              </w:rPr>
              <w:t xml:space="preserve">Ajuste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c>
          <w:tcPr>
            <w:tcW w:type="dxa" w:w="24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pPr>
            <w:r>
              <w:rPr>
                <w:b w:val="false"/>
                <w:bCs w:val="false"/>
                <w:sz w:val="18"/>
                <w:szCs w:val="18"/>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pilotos · uso personal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6A6A6" w:sz="4" w:space="4"/>
      </w:pBdr>
      <w:spacing w:after="120" w:before="280"/>
      <w:outlineLvl w:val="0"/>
    </w:pPr>
    <w:rPr>
      <w:rFonts w:ascii="Arial" w:cs="Arial" w:eastAsia="Arial" w:hAnsi="Arial"/>
      <w:b/>
      <w:bCs/>
      <w:color w:val="1A1A1A"/>
      <w:sz w:val="26"/>
      <w:szCs w:val="26"/>
    </w:rPr>
  </w:style>
  <w:style w:type="paragraph" w:styleId="Heading2">
    <w:name w:val="Heading 2"/>
    <w:basedOn w:val="Normal"/>
    <w:next w:val="Normal"/>
    <w:qFormat/>
    <w:pPr>
      <w:keepNext/>
      <w:spacing w:after="80" w:before="200"/>
      <w:outlineLvl w:val="1"/>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pilotos — Confiabilidad orientada a decisiones</dc:title>
  <dc:creator>Hugo Villegas B.</dc:creator>
  <cp:lastModifiedBy>Un-named</cp:lastModifiedBy>
  <cp:revision>1</cp:revision>
  <dcterms:created xsi:type="dcterms:W3CDTF">2026-10-24T15:50:26.196Z</dcterms:created>
  <dcterms:modified xsi:type="dcterms:W3CDTF">2026-10-24T15:50:26.196Z</dcterms:modified>
</cp:coreProperties>
</file>

<file path=docProps/custom.xml><?xml version="1.0" encoding="utf-8"?>
<Properties xmlns="http://schemas.openxmlformats.org/officeDocument/2006/custom-properties" xmlns:vt="http://schemas.openxmlformats.org/officeDocument/2006/docPropsVTypes"/>
</file>