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80" w:before="80" w:line="320"/>
        <w:jc w:val="center"/>
      </w:pPr>
      <w:r>
        <w:rPr>
          <w:rFonts w:ascii="Calibri" w:cs="Calibri" w:eastAsia="Calibri" w:hAnsi="Calibri"/>
          <w:b/>
          <w:bCs/>
          <w:color w:val="1B2845"/>
          <w:sz w:val="80"/>
          <w:szCs w:val="80"/>
        </w:rPr>
        <w:t xml:space="preserve">YoSOM</w:t>
      </w:r>
    </w:p>
    <w:p>
      <w:pPr>
        <w:spacing w:after="80" w:before="80" w:line="320"/>
        <w:jc w:val="center"/>
      </w:pPr>
      <w:r>
        <w:rPr>
          <w:rFonts w:ascii="Calibri" w:cs="Calibri" w:eastAsia="Calibri" w:hAnsi="Calibri"/>
          <w:b/>
          <w:bCs/>
          <w:color w:val="E85959"/>
          <w:sz w:val="32"/>
          <w:szCs w:val="32"/>
        </w:rPr>
        <w:t xml:space="preserve">A Two-Sided AI System for Yale SOM Dining</w:t>
      </w:r>
    </w:p>
    <w:p>
      <w:pPr>
        <w:spacing w:after="80" w:before="80" w:line="320"/>
        <w:jc w:val="center"/>
      </w:pPr>
      <w:r>
        <w:rPr>
          <w:rFonts w:ascii="Calibri" w:cs="Calibri" w:eastAsia="Calibri" w:hAnsi="Calibri"/>
          <w:i/>
          <w:iCs/>
          <w:color w:val="2A3759"/>
          <w:sz w:val="24"/>
          <w:szCs w:val="24"/>
        </w:rPr>
        <w:t xml:space="preserve">Aligning supply with student demand at Charley's Place and McNay Cafe</w:t>
      </w:r>
    </w:p>
    <w:p>
      <w:pPr>
        <w:spacing w:after="800"/>
      </w:pPr>
    </w:p>
    <w:p>
      <w:pPr>
        <w:spacing w:after="80" w:before="80" w:line="320"/>
        <w:jc w:val="center"/>
      </w:pPr>
      <w:r>
        <w:rPr>
          <w:rFonts w:ascii="Calibri" w:cs="Calibri" w:eastAsia="Calibri" w:hAnsi="Calibri"/>
          <w:b/>
          <w:bCs/>
          <w:color w:val="1B2845"/>
          <w:sz w:val="24"/>
          <w:szCs w:val="24"/>
        </w:rPr>
        <w:t xml:space="preserve">MGT 575 — Generative AI for Business</w:t>
      </w:r>
    </w:p>
    <w:p>
      <w:pPr>
        <w:spacing w:after="80" w:before="80" w:line="320"/>
        <w:jc w:val="center"/>
      </w:pPr>
      <w:r>
        <w:rPr>
          <w:rFonts w:ascii="Calibri" w:cs="Calibri" w:eastAsia="Calibri" w:hAnsi="Calibri"/>
          <w:color w:val="2A3759"/>
          <w:sz w:val="22"/>
          <w:szCs w:val="22"/>
        </w:rPr>
        <w:t xml:space="preserve">Final Project Report</w:t>
      </w:r>
    </w:p>
    <w:p>
      <w:pPr>
        <w:spacing w:after="300"/>
      </w:pPr>
    </w:p>
    <w:p>
      <w:pPr>
        <w:spacing w:after="80" w:before="80" w:line="320"/>
        <w:jc w:val="center"/>
      </w:pPr>
      <w:r>
        <w:rPr>
          <w:rFonts w:ascii="Calibri" w:cs="Calibri" w:eastAsia="Calibri" w:hAnsi="Calibri"/>
          <w:color w:val="1B2845"/>
          <w:sz w:val="22"/>
          <w:szCs w:val="22"/>
        </w:rPr>
        <w:t xml:space="preserve">Yu Guo · Hsin-Yuan Lee</w:t>
      </w:r>
    </w:p>
    <w:p>
      <w:pPr>
        <w:spacing w:after="80" w:before="80" w:line="320"/>
        <w:jc w:val="center"/>
      </w:pPr>
      <w:r>
        <w:rPr>
          <w:rFonts w:ascii="Calibri" w:cs="Calibri" w:eastAsia="Calibri" w:hAnsi="Calibri"/>
          <w:i/>
          <w:iCs/>
          <w:color w:val="8A8A93"/>
          <w:sz w:val="20"/>
          <w:szCs w:val="20"/>
        </w:rPr>
        <w:t xml:space="preserve">[Add other teammates here]</w:t>
      </w:r>
    </w:p>
    <w:p>
      <w:pPr>
        <w:spacing w:after="400"/>
      </w:pPr>
    </w:p>
    <w:p>
      <w:pPr>
        <w:spacing w:after="80" w:before="80" w:line="320"/>
        <w:jc w:val="center"/>
      </w:pPr>
      <w:r>
        <w:rPr>
          <w:rFonts w:ascii="Calibri" w:cs="Calibri" w:eastAsia="Calibri" w:hAnsi="Calibri"/>
          <w:color w:val="8A8A93"/>
          <w:sz w:val="20"/>
          <w:szCs w:val="20"/>
        </w:rPr>
        <w:t xml:space="preserve">Yale School of Management</w:t>
      </w:r>
    </w:p>
    <w:p>
      <w:pPr>
        <w:spacing w:after="80" w:before="80" w:line="320"/>
        <w:jc w:val="center"/>
      </w:pPr>
      <w:r>
        <w:rPr>
          <w:rFonts w:ascii="Calibri" w:cs="Calibri" w:eastAsia="Calibri" w:hAnsi="Calibri"/>
          <w:color w:val="8A8A93"/>
          <w:sz w:val="20"/>
          <w:szCs w:val="20"/>
        </w:rPr>
        <w:t xml:space="preserve">May 4, 2026</w:t>
      </w:r>
    </w:p>
    <w:p>
      <w:r>
        <w:br w:type="page"/>
      </w:r>
    </w:p>
    <w:p>
      <w:pPr>
        <w:pStyle w:val="Heading1"/>
        <w:spacing w:after="160" w:before="360"/>
      </w:pPr>
      <w:r>
        <w:rPr>
          <w:rFonts w:ascii="Calibri" w:cs="Calibri" w:eastAsia="Calibri" w:hAnsi="Calibri"/>
          <w:b/>
          <w:bCs/>
          <w:color w:val="1B2845"/>
          <w:sz w:val="32"/>
          <w:szCs w:val="32"/>
        </w:rPr>
        <w:t xml:space="preserve">Executive Summary</w:t>
      </w:r>
    </w:p>
    <w:p>
      <w:pPr>
        <w:spacing w:after="80" w:before="80" w:line="320"/>
        <w:jc w:val="both"/>
      </w:pPr>
      <w:r>
        <w:rPr>
          <w:rFonts w:ascii="Calibri" w:cs="Calibri" w:eastAsia="Calibri" w:hAnsi="Calibri"/>
        </w:rPr>
        <w:t xml:space="preserve">Yale SOM dining runs on guesswork. Charley's Place and McNay Cafe plan their menus, prep their kitchens, and manage their inventory based on instinct, last week's anecdotes, and whatever students happen to mention to staff. Students, in turn, feel like the menu just appears in front of them — they have no real channel to say what they want, and when they do speak up, they have no reason to believe anyone listened.</w:t>
      </w:r>
    </w:p>
    <w:p>
      <w:pPr>
        <w:spacing w:after="80" w:before="80" w:line="320"/>
        <w:jc w:val="both"/>
      </w:pPr>
      <w:r>
        <w:rPr>
          <w:rFonts w:ascii="Calibri" w:cs="Calibri" w:eastAsia="Calibri" w:hAnsi="Calibri"/>
        </w:rPr>
        <w:t xml:space="preserve">YoSOM is our attempt to close that loop. It is a two-sided generative-AI system. On one side, students open a mobile-first chatbot via QR code or link, share what they want to eat next week, vote on candidate ideas, and flag dietary needs — all in under a minute. On the other side, venue managers open a vendor-intelligence dashboard that turns those raw inputs into a daily ops brief: what to add, keep, or drop from next week's menu, an event-aware demand forecast, an estimated dollar impact, and a one-line voice-of-student headline.</w:t>
      </w:r>
    </w:p>
    <w:p>
      <w:pPr>
        <w:spacing w:after="80" w:before="80" w:line="320"/>
        <w:jc w:val="both"/>
      </w:pPr>
      <w:r>
        <w:rPr>
          <w:rFonts w:ascii="Calibri" w:cs="Calibri" w:eastAsia="Calibri" w:hAnsi="Calibri"/>
        </w:rPr>
        <w:t xml:space="preserve">Generative AI does the heavy lifting at three points: Claude Haiku 4.5 powers the conversational student interface and the post-session tag extraction; the same model also synthesizes the structured ops brief from aggregated signals plus our cost and event tables; and OpenAI's DALL-E 3 generates promotional posters for next-week menu features that vendors can post back into the student app. The rest of the system — Mongo aggregations, the three-input demand forecast, dietary-coverage checks — is plain TypeScript that the AI calls feed off of and write back into.</w:t>
      </w:r>
    </w:p>
    <w:p>
      <w:pPr>
        <w:spacing w:after="80" w:before="80" w:line="320"/>
        <w:jc w:val="both"/>
      </w:pPr>
      <w:r>
        <w:rPr>
          <w:rFonts w:ascii="Calibri" w:cs="Calibri" w:eastAsia="Calibri" w:hAnsi="Calibri"/>
        </w:rPr>
        <w:t xml:space="preserve">Working app: </w:t>
      </w:r>
      <w:hyperlink w:history="1" r:id="rIdjjkekbzk_swbsrtbyfxus">
        <w:r>
          <w:rPr>
            <w:rStyle w:val="Hyperlink"/>
            <w:rFonts w:ascii="Calibri" w:cs="Calibri" w:eastAsia="Calibri" w:hAnsi="Calibri"/>
          </w:rPr>
          <w:t xml:space="preserve">https://yosom.vercel.app</w:t>
        </w:r>
      </w:hyperlink>
      <w:r>
        <w:rPr>
          <w:rFonts w:ascii="Calibri" w:cs="Calibri" w:eastAsia="Calibri" w:hAnsi="Calibri"/>
        </w:rPr>
        <w:t xml:space="preserve"> (student) and </w:t>
      </w:r>
      <w:hyperlink w:history="1" r:id="rIdxarinultuvlknlqfjkbpj">
        <w:r>
          <w:rPr>
            <w:rStyle w:val="Hyperlink"/>
            <w:rFonts w:ascii="Calibri" w:cs="Calibri" w:eastAsia="Calibri" w:hAnsi="Calibri"/>
          </w:rPr>
          <w:t xml:space="preserve">https://yosom.vercel.app/manager</w:t>
        </w:r>
      </w:hyperlink>
      <w:r>
        <w:rPr>
          <w:rFonts w:ascii="Calibri" w:cs="Calibri" w:eastAsia="Calibri" w:hAnsi="Calibri"/>
        </w:rPr>
        <w:t xml:space="preserve"> (vendor). Source code: </w:t>
      </w:r>
      <w:hyperlink w:history="1" r:id="rIdbtgdrv0kkwhfgspbencyc">
        <w:r>
          <w:rPr>
            <w:rStyle w:val="Hyperlink"/>
            <w:rFonts w:ascii="Calibri" w:cs="Calibri" w:eastAsia="Calibri" w:hAnsi="Calibri"/>
          </w:rPr>
          <w:t xml:space="preserve">https://github.com/yuanlee218/YoSOM</w:t>
        </w:r>
      </w:hyperlink>
      <w:r>
        <w:rPr>
          <w:rFonts w:ascii="Calibri" w:cs="Calibri" w:eastAsia="Calibri" w:hAnsi="Calibri"/>
        </w:rPr>
        <w:t xml:space="preserve">. The repository includes a README, the manager-side standard operating procedure, dummy seed data, and a one-line setup guide so a new reader can run the demo locally in under five minutes.</w:t>
      </w:r>
    </w:p>
    <w:p>
      <w:r>
        <w:br w:type="page"/>
      </w:r>
    </w:p>
    <w:p>
      <w:pPr>
        <w:pStyle w:val="Heading1"/>
        <w:spacing w:after="160" w:before="360"/>
      </w:pPr>
      <w:r>
        <w:rPr>
          <w:rFonts w:ascii="Calibri" w:cs="Calibri" w:eastAsia="Calibri" w:hAnsi="Calibri"/>
          <w:b/>
          <w:bCs/>
          <w:color w:val="1B2845"/>
          <w:sz w:val="32"/>
          <w:szCs w:val="32"/>
        </w:rPr>
        <w:t xml:space="preserve">1. Introduction</w:t>
      </w:r>
    </w:p>
    <w:p>
      <w:pPr>
        <w:pStyle w:val="Heading2"/>
        <w:spacing w:after="120" w:before="280"/>
      </w:pPr>
      <w:r>
        <w:rPr>
          <w:rFonts w:ascii="Calibri" w:cs="Calibri" w:eastAsia="Calibri" w:hAnsi="Calibri"/>
          <w:b/>
          <w:bCs/>
          <w:color w:val="E85959"/>
          <w:sz w:val="26"/>
          <w:szCs w:val="26"/>
        </w:rPr>
        <w:t xml:space="preserve">1.1 Why this matters</w:t>
      </w:r>
    </w:p>
    <w:p>
      <w:pPr>
        <w:spacing w:after="80" w:before="80" w:line="320"/>
        <w:jc w:val="both"/>
      </w:pPr>
      <w:r>
        <w:rPr>
          <w:rFonts w:ascii="Calibri" w:cs="Calibri" w:eastAsia="Calibri" w:hAnsi="Calibri"/>
        </w:rPr>
        <w:t xml:space="preserve">Yale SOM has roughly 700 students who eat on campus most days. Charley's Place and McNay Cafe are the two main dining venues, and between them they serve thousands of meals a week. The economics are not trivial: dining services run on tight margins, food waste is a real cost, and student satisfaction is a soft-but-very-visible measure of how well the school is taking care of its community. Today, the venues plan menus largely on tradition and gut feel. There is no structured way for a student to say "I'd actually eat butter chicken twice a week if you'd put it on the menu," and there is no structured way for a manager to know that 12 students said exactly that this week.</w:t>
      </w:r>
    </w:p>
    <w:p>
      <w:pPr>
        <w:spacing w:after="80" w:before="80" w:line="320"/>
        <w:jc w:val="both"/>
      </w:pPr>
      <w:r>
        <w:rPr>
          <w:rFonts w:ascii="Calibri" w:cs="Calibri" w:eastAsia="Calibri" w:hAnsi="Calibri"/>
        </w:rPr>
        <w:t xml:space="preserve">Two specific pain points motivated us. First, a noticeable share of food prepared at peak hours gets tossed by closing time — anyone who has walked past Charley's at 2 PM has seen it. Second, when surveys do happen, they happen rarely and feel performative; students fill them out (or don't) and never see a result. The status quo costs the school money, costs students food they actually want to eat, and quietly erodes trust between the dining team and the people they serve.</w:t>
      </w:r>
    </w:p>
    <w:p>
      <w:pPr>
        <w:spacing w:after="80" w:before="80" w:line="320"/>
        <w:jc w:val="both"/>
      </w:pPr>
      <w:r>
        <w:rPr>
          <w:rFonts w:ascii="Calibri" w:cs="Calibri" w:eastAsia="Calibri" w:hAnsi="Calibri"/>
        </w:rPr>
        <w:t xml:space="preserve">We picked this problem because it sat squarely inside three overlapping circles: it is a real operational problem with a measurable downside, it has a natural conversational interface (telling someone what you want to eat is easy and fun in a way that filling out a Likert scale is not), and the underlying data — preferences, votes, free-text quotes — is exactly the kind of unstructured input that modern LLMs are good at turning into structured action.</w:t>
      </w:r>
    </w:p>
    <w:p>
      <w:pPr>
        <w:pStyle w:val="Heading2"/>
        <w:spacing w:after="120" w:before="280"/>
      </w:pPr>
      <w:r>
        <w:rPr>
          <w:rFonts w:ascii="Calibri" w:cs="Calibri" w:eastAsia="Calibri" w:hAnsi="Calibri"/>
          <w:b/>
          <w:bCs/>
          <w:color w:val="E85959"/>
          <w:sz w:val="26"/>
          <w:szCs w:val="26"/>
        </w:rPr>
        <w:t xml:space="preserve">1.2 Who it serves</w:t>
      </w:r>
    </w:p>
    <w:p>
      <w:pPr>
        <w:spacing w:after="80" w:before="80" w:line="320"/>
        <w:jc w:val="both"/>
      </w:pPr>
      <w:r>
        <w:rPr>
          <w:rFonts w:ascii="Calibri" w:cs="Calibri" w:eastAsia="Calibri" w:hAnsi="Calibri"/>
        </w:rPr>
        <w:t xml:space="preserve">There are two distinct user types and the product is shaped around the asymmetry between them.</w:t>
      </w:r>
    </w:p>
    <w:p>
      <w:pPr>
        <w:pStyle w:val="ListParagraph"/>
        <w:numPr>
          <w:ilvl w:val="0"/>
          <w:numId w:val="2"/>
        </w:numPr>
        <w:spacing w:after="40" w:before="40" w:line="300"/>
      </w:pPr>
      <w:r>
        <w:rPr>
          <w:rFonts w:ascii="Calibri" w:cs="Calibri" w:eastAsia="Calibri" w:hAnsi="Calibri"/>
          <w:b/>
          <w:bCs/>
        </w:rPr>
        <w:t xml:space="preserve">Students and faculty.</w:t>
      </w:r>
      <w:r>
        <w:rPr>
          <w:rFonts w:ascii="Calibri" w:cs="Calibri" w:eastAsia="Calibri" w:hAnsi="Calibri"/>
        </w:rPr>
        <w:t xml:space="preserve"> They are the supply of signal. We assume they have 90 seconds, a phone in their hand, and approximately zero patience for survey UX. The student-facing experience is therefore a chat: choose a venue, tap through preference chips, vote on four candidate items, optionally type whatever else is on their mind, and see a live feed of what other students are voting for. That last piece — the live feed — is the emotional payoff that makes the loop feel worth closing.</w:t>
      </w:r>
    </w:p>
    <w:p>
      <w:pPr>
        <w:pStyle w:val="ListParagraph"/>
        <w:numPr>
          <w:ilvl w:val="0"/>
          <w:numId w:val="2"/>
        </w:numPr>
        <w:spacing w:after="40" w:before="40" w:line="300"/>
      </w:pPr>
      <w:r>
        <w:rPr>
          <w:rFonts w:ascii="Calibri" w:cs="Calibri" w:eastAsia="Calibri" w:hAnsi="Calibri"/>
          <w:b/>
          <w:bCs/>
        </w:rPr>
        <w:t xml:space="preserve">Venue managers and dining staff.</w:t>
      </w:r>
      <w:r>
        <w:rPr>
          <w:rFonts w:ascii="Calibri" w:cs="Calibri" w:eastAsia="Calibri" w:hAnsi="Calibri"/>
        </w:rPr>
        <w:t xml:space="preserve"> They are the consumers of signal. We assume they have five focused minutes a day to triage food decisions, do not want to learn a new tool, and want a clear answer to "what should I prep more of, less of, or differently next week?" The manager-facing experience is therefore a desktop dashboard with a sidebar — Overview, Demand Forecast, AI Ops Brief, Raw Data, Posters — where the AI Ops Brief is the headline artifact and everything else exists to back up the brief's claims.</w:t>
      </w:r>
    </w:p>
    <w:p>
      <w:pPr>
        <w:spacing w:after="100"/>
      </w:pPr>
    </w:p>
    <w:p>
      <w:pPr>
        <w:pStyle w:val="Heading2"/>
        <w:spacing w:after="120" w:before="280"/>
      </w:pPr>
      <w:r>
        <w:rPr>
          <w:rFonts w:ascii="Calibri" w:cs="Calibri" w:eastAsia="Calibri" w:hAnsi="Calibri"/>
          <w:b/>
          <w:bCs/>
          <w:color w:val="E85959"/>
          <w:sz w:val="26"/>
          <w:szCs w:val="26"/>
        </w:rPr>
        <w:t xml:space="preserve">1.3 What the system does</w:t>
      </w:r>
    </w:p>
    <w:p>
      <w:pPr>
        <w:spacing w:after="80" w:before="80" w:line="320"/>
        <w:jc w:val="both"/>
      </w:pPr>
      <w:r>
        <w:rPr>
          <w:rFonts w:ascii="Calibri" w:cs="Calibri" w:eastAsia="Calibri" w:hAnsi="Calibri"/>
        </w:rPr>
        <w:t xml:space="preserve">Inputs and outputs in plain language. A student opens the app, picks Charley's or McNay, and is asked: which flavors, which proteins, which cuisines, which dietary tags? Then they vote on four candidate menu items and (optionally) type a more detailed answer to "what are you actually craving?" Each interaction writes a typed document to MongoDB: a Vote, a Preference, a Reaction, or a DeepTalk transcript with extracted tags.</w:t>
      </w:r>
    </w:p>
    <w:p>
      <w:pPr>
        <w:spacing w:after="80" w:before="80" w:line="320"/>
        <w:jc w:val="both"/>
      </w:pPr>
      <w:r>
        <w:rPr>
          <w:rFonts w:ascii="Calibri" w:cs="Calibri" w:eastAsia="Calibri" w:hAnsi="Calibri"/>
        </w:rPr>
        <w:t xml:space="preserve">On the manager side, those documents get aggregated and synthesized. The Overview page shows live KPIs (sessions, satisfaction pulse, predicted servings, free-text count) and several charts. The Forecast page takes a baseline daily-servings number from our cost table and applies three multipliers: a survey-signal multiplier from the net direction of votes, an event multiplier from the campus-events calendar (free-lunch days, ceremonies, networking receptions), and an exchange multiplier from the SOM students-away roster. Multiplied together over seven days, that becomes a forecast with confidence bands. The AI Ops Brief is where Claude actually composes prose: given the aggregated signals, the forecast, the cost table, and the event/exchange context, it returns a structured JSON brief with menu add/keep/drop recommendations, a forecast summary, a budget impact line, dietary flags, top quotes, and a one-line voice-of-student headline. The Raw Data page is the receipts. The Posters page calls OpenAI's image API to mock up promotional visuals that can be pushed back into the student app.</w:t>
      </w:r>
    </w:p>
    <w:p>
      <w:pPr>
        <w:pStyle w:val="Heading2"/>
        <w:spacing w:after="120" w:before="280"/>
      </w:pPr>
      <w:r>
        <w:rPr>
          <w:rFonts w:ascii="Calibri" w:cs="Calibri" w:eastAsia="Calibri" w:hAnsi="Calibri"/>
          <w:b/>
          <w:bCs/>
          <w:color w:val="E85959"/>
          <w:sz w:val="26"/>
          <w:szCs w:val="26"/>
        </w:rPr>
        <w:t xml:space="preserve">1.4 The generative-AI angle</w:t>
      </w:r>
    </w:p>
    <w:p>
      <w:pPr>
        <w:spacing w:after="80" w:before="80" w:line="320"/>
        <w:jc w:val="both"/>
      </w:pPr>
      <w:r>
        <w:rPr>
          <w:rFonts w:ascii="Calibri" w:cs="Calibri" w:eastAsia="Calibri" w:hAnsi="Calibri"/>
        </w:rPr>
        <w:t xml:space="preserve">Three places where we used generative AI rather than rules or simpler statistics, with the rationale for each:</w:t>
      </w:r>
    </w:p>
    <w:p>
      <w:pPr>
        <w:pStyle w:val="ListParagraph"/>
        <w:numPr>
          <w:ilvl w:val="0"/>
          <w:numId w:val="2"/>
        </w:numPr>
        <w:spacing w:after="40" w:before="40" w:line="300"/>
      </w:pPr>
      <w:r>
        <w:rPr>
          <w:rFonts w:ascii="Calibri" w:cs="Calibri" w:eastAsia="Calibri" w:hAnsi="Calibri"/>
          <w:b/>
          <w:bCs/>
        </w:rPr>
        <w:t xml:space="preserve">Claude Haiku 4.5 — student conversation glue and tag extraction.</w:t>
      </w:r>
      <w:r>
        <w:rPr>
          <w:rFonts w:ascii="Calibri" w:cs="Calibri" w:eastAsia="Calibri" w:hAnsi="Calibri"/>
        </w:rPr>
        <w:t xml:space="preserve"> A regex of food keywords could classify on-topic vs off-topic input, but it would feel mechanical and would miss real signal. A small LLM does this naturally and cheaply, and the post-session tag-extraction step turns every chat into a structured set of preference tags that downstream analytics can use.</w:t>
      </w:r>
    </w:p>
    <w:p>
      <w:pPr>
        <w:pStyle w:val="ListParagraph"/>
        <w:numPr>
          <w:ilvl w:val="0"/>
          <w:numId w:val="2"/>
        </w:numPr>
        <w:spacing w:after="40" w:before="40" w:line="300"/>
      </w:pPr>
      <w:r>
        <w:rPr>
          <w:rFonts w:ascii="Calibri" w:cs="Calibri" w:eastAsia="Calibri" w:hAnsi="Calibri"/>
          <w:b/>
          <w:bCs/>
        </w:rPr>
        <w:t xml:space="preserve">Claude Haiku 4.5 — ops brief generation.</w:t>
      </w:r>
      <w:r>
        <w:rPr>
          <w:rFonts w:ascii="Calibri" w:cs="Calibri" w:eastAsia="Calibri" w:hAnsi="Calibri"/>
        </w:rPr>
        <w:t xml:space="preserve"> The brief is the place where the system has to do real synthesis: turn 50 votes plus 12 quotes plus a forecast into three actionable recommendations a busy manager will read in a minute. This is the kind of work that is hard to specify with rules. We started with Claude Sonnet 4.6 for quality and switched to Haiku 4.5 because the latency difference (3-5x faster) mattered more for live demo UX than the marginal quality difference, and the schema is rigid enough that Haiku does not hallucinate.</w:t>
      </w:r>
    </w:p>
    <w:p>
      <w:pPr>
        <w:pStyle w:val="ListParagraph"/>
        <w:numPr>
          <w:ilvl w:val="0"/>
          <w:numId w:val="2"/>
        </w:numPr>
        <w:spacing w:after="40" w:before="40" w:line="300"/>
      </w:pPr>
      <w:r>
        <w:rPr>
          <w:rFonts w:ascii="Calibri" w:cs="Calibri" w:eastAsia="Calibri" w:hAnsi="Calibri"/>
          <w:b/>
          <w:bCs/>
        </w:rPr>
        <w:t xml:space="preserve">OpenAI DALL-E 3 — promotional poster generation.</w:t>
      </w:r>
      <w:r>
        <w:rPr>
          <w:rFonts w:ascii="Calibri" w:cs="Calibri" w:eastAsia="Calibri" w:hAnsi="Calibri"/>
        </w:rPr>
        <w:t xml:space="preserve"> Vendors don't have a designer on staff and do not want to learn Figma. A poster studio that turns "Spicy Tonkotsu Ramen at Charley's, playful vibe, Insta story format" into a print-ready PNG in 30 seconds is a meaningfully new capability that did not exist before image-gen models. We default to DALL-E 3 HD for cost and reliability, with gpt-image-1 available as an option for verified OpenAI orgs that need legible text on the poster.</w:t>
      </w:r>
    </w:p>
    <w:p>
      <w:pPr>
        <w:pStyle w:val="Heading2"/>
        <w:spacing w:after="120" w:before="280"/>
      </w:pPr>
      <w:r>
        <w:rPr>
          <w:rFonts w:ascii="Calibri" w:cs="Calibri" w:eastAsia="Calibri" w:hAnsi="Calibri"/>
          <w:b/>
          <w:bCs/>
          <w:color w:val="E85959"/>
          <w:sz w:val="26"/>
          <w:szCs w:val="26"/>
        </w:rPr>
        <w:t xml:space="preserve">1.5 Limitations of the status quo</w:t>
      </w:r>
    </w:p>
    <w:p>
      <w:pPr>
        <w:spacing w:after="80" w:before="80" w:line="320"/>
        <w:jc w:val="both"/>
      </w:pPr>
      <w:r>
        <w:rPr>
          <w:rFonts w:ascii="Calibri" w:cs="Calibri" w:eastAsia="Calibri" w:hAnsi="Calibri"/>
        </w:rPr>
        <w:t xml:space="preserve">Even with all the right APIs in place, several real constraints shaped what we could and couldn't ship:</w:t>
      </w:r>
    </w:p>
    <w:p>
      <w:pPr>
        <w:pStyle w:val="ListParagraph"/>
        <w:numPr>
          <w:ilvl w:val="0"/>
          <w:numId w:val="2"/>
        </w:numPr>
        <w:spacing w:after="40" w:before="40" w:line="300"/>
      </w:pPr>
      <w:r>
        <w:rPr>
          <w:rFonts w:ascii="Calibri" w:cs="Calibri" w:eastAsia="Calibri" w:hAnsi="Calibri"/>
        </w:rPr>
        <w:t xml:space="preserve">Cost. Every Claude or OpenAI call is a metered API request. We mitigated by caching the brief in memory for five minutes and by choosing Haiku over Sonnet, but at scale this would need a more aggressive caching layer.</w:t>
      </w:r>
    </w:p>
    <w:p>
      <w:pPr>
        <w:pStyle w:val="ListParagraph"/>
        <w:numPr>
          <w:ilvl w:val="0"/>
          <w:numId w:val="2"/>
        </w:numPr>
        <w:spacing w:after="40" w:before="40" w:line="300"/>
      </w:pPr>
      <w:r>
        <w:rPr>
          <w:rFonts w:ascii="Calibri" w:cs="Calibri" w:eastAsia="Calibri" w:hAnsi="Calibri"/>
        </w:rPr>
        <w:t xml:space="preserve">Trust. A manager reading "add butter chicken" needs to be able to click into the data and verify the AI's claim. We addressed this by building the Raw Data page as a parallel, audit-the-AI surface — every claim in the brief is checkable.</w:t>
      </w:r>
    </w:p>
    <w:p>
      <w:pPr>
        <w:pStyle w:val="ListParagraph"/>
        <w:numPr>
          <w:ilvl w:val="0"/>
          <w:numId w:val="2"/>
        </w:numPr>
        <w:spacing w:after="40" w:before="40" w:line="300"/>
      </w:pPr>
      <w:r>
        <w:rPr>
          <w:rFonts w:ascii="Calibri" w:cs="Calibri" w:eastAsia="Calibri" w:hAnsi="Calibri"/>
        </w:rPr>
        <w:t xml:space="preserve">Moderation. Open free-text is an attack surface. Yuan's classifier handles off-topic input in the chat, and the brief itself only sees aggregated signals plus a cost table, so a bad actor cannot easily inject content into the manager view.</w:t>
      </w:r>
    </w:p>
    <w:p>
      <w:pPr>
        <w:pStyle w:val="ListParagraph"/>
        <w:numPr>
          <w:ilvl w:val="0"/>
          <w:numId w:val="2"/>
        </w:numPr>
        <w:spacing w:after="40" w:before="40" w:line="300"/>
      </w:pPr>
      <w:r>
        <w:rPr>
          <w:rFonts w:ascii="Calibri" w:cs="Calibri" w:eastAsia="Calibri" w:hAnsi="Calibri"/>
        </w:rPr>
        <w:t xml:space="preserve">Data realism. We are working with one week of activity. Any time-series claim would be overstated, so the forecast is honestly an aggregate-then-project model rather than a learned predictor. The cost numbers are placeholders pending a partnership with SOM Dining.</w:t>
      </w:r>
    </w:p>
    <w:p>
      <w:pPr>
        <w:pStyle w:val="Heading2"/>
        <w:spacing w:after="120" w:before="280"/>
      </w:pPr>
      <w:r>
        <w:rPr>
          <w:rFonts w:ascii="Calibri" w:cs="Calibri" w:eastAsia="Calibri" w:hAnsi="Calibri"/>
          <w:b/>
          <w:bCs/>
          <w:color w:val="E85959"/>
          <w:sz w:val="26"/>
          <w:szCs w:val="26"/>
        </w:rPr>
        <w:t xml:space="preserve">1.6 Ethics, risk, and governance</w:t>
      </w:r>
    </w:p>
    <w:p>
      <w:pPr>
        <w:spacing w:after="80" w:before="80" w:line="320"/>
        <w:jc w:val="both"/>
      </w:pPr>
      <w:r>
        <w:rPr>
          <w:rFonts w:ascii="Calibri" w:cs="Calibri" w:eastAsia="Calibri" w:hAnsi="Calibri"/>
        </w:rPr>
        <w:t xml:space="preserve">We made three deliberate choices to keep the system on the right side of the obvious risks. First, sessions are anonymous: no Yale ID, no email, no name — just a random session cookie. Second, the AI's outputs are framed as recommendations, not directives — the manager always has the final call. Third, when we display student quotes in the brief, they are verbatim and anonymized, so the dining team gets the texture of student voice without us pretending we have the right to attach a name to a complaint. The biggest residual risk is the prompt-injection vector through free-text fields; in production we would add a Claude-Haiku-based moderation pass on the way in to the brief, not just on the way out to the chatbot.</w:t>
      </w:r>
    </w:p>
    <w:p>
      <w:r>
        <w:br w:type="page"/>
      </w:r>
    </w:p>
    <w:p>
      <w:pPr>
        <w:pStyle w:val="Heading1"/>
        <w:spacing w:after="160" w:before="360"/>
      </w:pPr>
      <w:r>
        <w:rPr>
          <w:rFonts w:ascii="Calibri" w:cs="Calibri" w:eastAsia="Calibri" w:hAnsi="Calibri"/>
          <w:b/>
          <w:bCs/>
          <w:color w:val="1B2845"/>
          <w:sz w:val="32"/>
          <w:szCs w:val="32"/>
        </w:rPr>
        <w:t xml:space="preserve">2. Implementation</w:t>
      </w:r>
    </w:p>
    <w:p>
      <w:pPr>
        <w:pStyle w:val="Heading2"/>
        <w:spacing w:after="120" w:before="280"/>
      </w:pPr>
      <w:r>
        <w:rPr>
          <w:rFonts w:ascii="Calibri" w:cs="Calibri" w:eastAsia="Calibri" w:hAnsi="Calibri"/>
          <w:b/>
          <w:bCs/>
          <w:color w:val="E85959"/>
          <w:sz w:val="26"/>
          <w:szCs w:val="26"/>
        </w:rPr>
        <w:t xml:space="preserve">2.1 System overview</w:t>
      </w:r>
    </w:p>
    <w:p>
      <w:pPr>
        <w:spacing w:after="80" w:before="80" w:line="320"/>
        <w:jc w:val="both"/>
      </w:pPr>
      <w:r>
        <w:rPr>
          <w:rFonts w:ascii="Calibri" w:cs="Calibri" w:eastAsia="Calibri" w:hAnsi="Calibri"/>
        </w:rPr>
        <w:t xml:space="preserve">The system is a single Next.js 14 application with two halves: a mobile-first student web app (built by Hsin-Yuan Lee) and a desktop-first vendor dashboard (built by Yu Guo). Both halves read from the same MongoDB Atlas cluster. Generative-AI calls are made server-side from Next.js API route handlers and React Server Components, never from the client, so API keys stay in environment variables on the server.</w:t>
      </w:r>
    </w:p>
    <w:p>
      <w:pPr>
        <w:spacing w:after="80" w:before="80" w:line="320"/>
        <w:jc w:val="both"/>
      </w:pPr>
      <w:r>
        <w:rPr>
          <w:rFonts w:ascii="Calibri" w:cs="Calibri" w:eastAsia="Calibri" w:hAnsi="Calibri"/>
        </w:rPr>
        <w:t xml:space="preserve">At a glance, the data flow is:</w:t>
      </w:r>
    </w:p>
    <w:p>
      <w:pPr>
        <w:spacing w:after="80" w:before="80" w:line="320"/>
        <w:jc w:val="center"/>
      </w:pPr>
      <w:r>
        <w:rPr>
          <w:rFonts w:ascii="Consolas" w:cs="Consolas" w:eastAsia="Consolas" w:hAnsi="Consolas"/>
          <w:b/>
          <w:bCs/>
          <w:color w:val="1B2845"/>
          <w:sz w:val="20"/>
          <w:szCs w:val="20"/>
        </w:rPr>
        <w:t xml:space="preserve">Student chat  →  MongoDB  →  Aggregator  →  Claude / DALL-E  →  Manager dashboard</w:t>
      </w:r>
    </w:p>
    <w:p>
      <w:pPr>
        <w:spacing w:after="200" w:before="60"/>
        <w:jc w:val="center"/>
      </w:pPr>
      <w:r>
        <w:rPr>
          <w:rFonts w:ascii="Calibri" w:cs="Calibri" w:eastAsia="Calibri" w:hAnsi="Calibri"/>
          <w:i/>
          <w:iCs/>
          <w:color w:val="8A8A93"/>
          <w:sz w:val="18"/>
          <w:szCs w:val="18"/>
        </w:rPr>
        <w:t xml:space="preserve">Figure 1. End-to-end data flow.</w:t>
      </w:r>
    </w:p>
    <w:p>
      <w:pPr>
        <w:spacing w:after="80" w:before="80" w:line="320"/>
        <w:jc w:val="both"/>
      </w:pPr>
      <w:r>
        <w:rPr>
          <w:rFonts w:ascii="Calibri" w:cs="Calibri" w:eastAsia="Calibri" w:hAnsi="Calibri"/>
        </w:rPr>
        <w:t xml:space="preserve">Each layer is intentionally simple. The student app writes typed documents (Session, Preference, Vote, Reaction, DeepTalk, MenuItem) directly to Mongo. The aggregator is a single TypeScript helper that does six Mongo aggregation pipelines in parallel and returns a unified </w:t>
      </w:r>
      <w:r>
        <w:rPr>
          <w:rFonts w:ascii="Consolas" w:cs="Consolas" w:eastAsia="Consolas" w:hAnsi="Consolas"/>
          <w:color w:val="2A3759"/>
          <w:sz w:val="20"/>
          <w:szCs w:val="20"/>
          <w:shd w:fill="F2EDE4" w:color="auto" w:val="clear"/>
        </w:rPr>
        <w:t xml:space="preserve">AggregatedStudentData</w:t>
      </w:r>
      <w:r>
        <w:rPr>
          <w:rFonts w:ascii="Calibri" w:cs="Calibri" w:eastAsia="Calibri" w:hAnsi="Calibri"/>
        </w:rPr>
        <w:t xml:space="preserve"> object. The Claude calls and image-gen calls are stateless — they read the aggregator's output (plus our cost and event tables) and return either a structured JSON brief or a base64 PNG. The dashboard renders server-side from those payloads.</w:t>
      </w:r>
    </w:p>
    <w:p>
      <w:pPr>
        <w:pStyle w:val="Heading2"/>
        <w:spacing w:after="120" w:before="280"/>
      </w:pPr>
      <w:r>
        <w:rPr>
          <w:rFonts w:ascii="Calibri" w:cs="Calibri" w:eastAsia="Calibri" w:hAnsi="Calibri"/>
          <w:b/>
          <w:bCs/>
          <w:color w:val="E85959"/>
          <w:sz w:val="26"/>
          <w:szCs w:val="26"/>
        </w:rPr>
        <w:t xml:space="preserve">2.2 Stack and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DDD8CC" w:sz="4"/>
              <w:left w:val="single" w:color="DDD8CC" w:sz="4"/>
              <w:bottom w:val="single" w:color="DDD8CC" w:sz="4"/>
              <w:right w:val="single" w:color="DDD8CC" w:sz="4"/>
            </w:tcBorders>
            <w:shd w:fill="1B2845" w:color="auto" w:val="clear"/>
            <w:tcMar>
              <w:top w:type="dxa" w:w="100"/>
              <w:left w:type="dxa" w:w="140"/>
              <w:bottom w:type="dxa" w:w="100"/>
              <w:right w:type="dxa" w:w="140"/>
            </w:tcMar>
          </w:tcPr>
          <w:p>
            <w:r>
              <w:rPr>
                <w:rFonts w:ascii="Calibri" w:cs="Calibri" w:eastAsia="Calibri" w:hAnsi="Calibri"/>
                <w:b/>
                <w:bCs/>
                <w:color w:val="FFFFFF"/>
                <w:sz w:val="20"/>
                <w:szCs w:val="20"/>
              </w:rPr>
              <w:t xml:space="preserve">Layer</w:t>
            </w:r>
          </w:p>
        </w:tc>
        <w:tc>
          <w:tcPr>
            <w:tcW w:type="dxa" w:w="3000"/>
            <w:tcBorders>
              <w:top w:val="single" w:color="DDD8CC" w:sz="4"/>
              <w:left w:val="single" w:color="DDD8CC" w:sz="4"/>
              <w:bottom w:val="single" w:color="DDD8CC" w:sz="4"/>
              <w:right w:val="single" w:color="DDD8CC" w:sz="4"/>
            </w:tcBorders>
            <w:shd w:fill="1B2845" w:color="auto" w:val="clear"/>
            <w:tcMar>
              <w:top w:type="dxa" w:w="100"/>
              <w:left w:type="dxa" w:w="140"/>
              <w:bottom w:type="dxa" w:w="100"/>
              <w:right w:type="dxa" w:w="140"/>
            </w:tcMar>
          </w:tcPr>
          <w:p>
            <w:r>
              <w:rPr>
                <w:rFonts w:ascii="Calibri" w:cs="Calibri" w:eastAsia="Calibri" w:hAnsi="Calibri"/>
                <w:b/>
                <w:bCs/>
                <w:color w:val="FFFFFF"/>
                <w:sz w:val="20"/>
                <w:szCs w:val="20"/>
              </w:rPr>
              <w:t xml:space="preserve">Choice</w:t>
            </w:r>
          </w:p>
        </w:tc>
        <w:tc>
          <w:tcPr>
            <w:tcW w:type="dxa" w:w="4560"/>
            <w:tcBorders>
              <w:top w:val="single" w:color="DDD8CC" w:sz="4"/>
              <w:left w:val="single" w:color="DDD8CC" w:sz="4"/>
              <w:bottom w:val="single" w:color="DDD8CC" w:sz="4"/>
              <w:right w:val="single" w:color="DDD8CC" w:sz="4"/>
            </w:tcBorders>
            <w:shd w:fill="1B2845" w:color="auto" w:val="clear"/>
            <w:tcMar>
              <w:top w:type="dxa" w:w="100"/>
              <w:left w:type="dxa" w:w="140"/>
              <w:bottom w:type="dxa" w:w="100"/>
              <w:right w:type="dxa" w:w="140"/>
            </w:tcMar>
          </w:tcPr>
          <w:p>
            <w:r>
              <w:rPr>
                <w:rFonts w:ascii="Calibri" w:cs="Calibri" w:eastAsia="Calibri" w:hAnsi="Calibri"/>
                <w:b/>
                <w:bCs/>
                <w:color w:val="FFFFFF"/>
                <w:sz w:val="20"/>
                <w:szCs w:val="20"/>
              </w:rPr>
              <w:t xml:space="preserve">Why</w:t>
            </w:r>
          </w:p>
        </w:tc>
      </w:tr>
      <w:tr>
        <w:tc>
          <w:tcPr>
            <w:tcW w:type="dxa" w:w="1800"/>
            <w:tcBorders>
              <w:top w:val="single" w:color="DDD8CC" w:sz="4"/>
              <w:left w:val="single" w:color="DDD8CC" w:sz="4"/>
              <w:bottom w:val="single" w:color="DDD8CC" w:sz="4"/>
              <w:right w:val="single" w:color="DDD8CC" w:sz="4"/>
            </w:tcBorders>
            <w:shd w:fill="FFFFFF" w:color="auto" w:val="clear"/>
            <w:tcMar>
              <w:top w:type="dxa" w:w="100"/>
              <w:left w:type="dxa" w:w="140"/>
              <w:bottom w:type="dxa" w:w="100"/>
              <w:right w:type="dxa" w:w="140"/>
            </w:tcMar>
          </w:tcPr>
          <w:p>
            <w:r>
              <w:rPr>
                <w:rFonts w:ascii="Calibri" w:cs="Calibri" w:eastAsia="Calibri" w:hAnsi="Calibri"/>
                <w:b w:val="false"/>
                <w:bCs w:val="false"/>
                <w:color w:val="1B2845"/>
                <w:sz w:val="20"/>
                <w:szCs w:val="20"/>
              </w:rPr>
              <w:t xml:space="preserve">Framework</w:t>
            </w:r>
          </w:p>
        </w:tc>
        <w:tc>
          <w:tcPr>
            <w:tcW w:type="dxa" w:w="3000"/>
            <w:tcBorders>
              <w:top w:val="single" w:color="DDD8CC" w:sz="4"/>
              <w:left w:val="single" w:color="DDD8CC" w:sz="4"/>
              <w:bottom w:val="single" w:color="DDD8CC" w:sz="4"/>
              <w:right w:val="single" w:color="DDD8CC" w:sz="4"/>
            </w:tcBorders>
            <w:shd w:fill="FFFFFF" w:color="auto" w:val="clear"/>
            <w:tcMar>
              <w:top w:type="dxa" w:w="100"/>
              <w:left w:type="dxa" w:w="140"/>
              <w:bottom w:type="dxa" w:w="100"/>
              <w:right w:type="dxa" w:w="140"/>
            </w:tcMar>
          </w:tcPr>
          <w:p>
            <w:r>
              <w:rPr>
                <w:rFonts w:ascii="Calibri" w:cs="Calibri" w:eastAsia="Calibri" w:hAnsi="Calibri"/>
                <w:b w:val="false"/>
                <w:bCs w:val="false"/>
                <w:color w:val="1B2845"/>
                <w:sz w:val="20"/>
                <w:szCs w:val="20"/>
              </w:rPr>
              <w:t xml:space="preserve">Next.js 14 (App Router) + TypeScript</w:t>
            </w:r>
          </w:p>
        </w:tc>
        <w:tc>
          <w:tcPr>
            <w:tcW w:type="dxa" w:w="4560"/>
            <w:tcBorders>
              <w:top w:val="single" w:color="DDD8CC" w:sz="4"/>
              <w:left w:val="single" w:color="DDD8CC" w:sz="4"/>
              <w:bottom w:val="single" w:color="DDD8CC" w:sz="4"/>
              <w:right w:val="single" w:color="DDD8CC" w:sz="4"/>
            </w:tcBorders>
            <w:shd w:fill="FFFFFF" w:color="auto" w:val="clear"/>
            <w:tcMar>
              <w:top w:type="dxa" w:w="100"/>
              <w:left w:type="dxa" w:w="140"/>
              <w:bottom w:type="dxa" w:w="100"/>
              <w:right w:type="dxa" w:w="140"/>
            </w:tcMar>
          </w:tcPr>
          <w:p>
            <w:r>
              <w:rPr>
                <w:rFonts w:ascii="Calibri" w:cs="Calibri" w:eastAsia="Calibri" w:hAnsi="Calibri"/>
                <w:b w:val="false"/>
                <w:bCs w:val="false"/>
                <w:color w:val="1B2845"/>
                <w:sz w:val="20"/>
                <w:szCs w:val="20"/>
              </w:rPr>
              <w:t xml:space="preserve">Server components for data-fetching pages; API routes for stateful operations; one deploy unit on Vercel.</w:t>
            </w:r>
          </w:p>
        </w:tc>
      </w:tr>
      <w:tr>
        <w:tc>
          <w:tcPr>
            <w:tcW w:type="dxa" w:w="1800"/>
            <w:tcBorders>
              <w:top w:val="single" w:color="DDD8CC" w:sz="4"/>
              <w:left w:val="single" w:color="DDD8CC" w:sz="4"/>
              <w:bottom w:val="single" w:color="DDD8CC" w:sz="4"/>
              <w:right w:val="single" w:color="DDD8CC" w:sz="4"/>
            </w:tcBorders>
            <w:shd w:fill="FFFFFF" w:color="auto" w:val="clear"/>
            <w:tcMar>
              <w:top w:type="dxa" w:w="100"/>
              <w:left w:type="dxa" w:w="140"/>
              <w:bottom w:type="dxa" w:w="100"/>
              <w:right w:type="dxa" w:w="140"/>
            </w:tcMar>
          </w:tcPr>
          <w:p>
            <w:r>
              <w:rPr>
                <w:rFonts w:ascii="Calibri" w:cs="Calibri" w:eastAsia="Calibri" w:hAnsi="Calibri"/>
                <w:b w:val="false"/>
                <w:bCs w:val="false"/>
                <w:color w:val="1B2845"/>
                <w:sz w:val="20"/>
                <w:szCs w:val="20"/>
              </w:rPr>
              <w:t xml:space="preserve">Database</w:t>
            </w:r>
          </w:p>
        </w:tc>
        <w:tc>
          <w:tcPr>
            <w:tcW w:type="dxa" w:w="3000"/>
            <w:tcBorders>
              <w:top w:val="single" w:color="DDD8CC" w:sz="4"/>
              <w:left w:val="single" w:color="DDD8CC" w:sz="4"/>
              <w:bottom w:val="single" w:color="DDD8CC" w:sz="4"/>
              <w:right w:val="single" w:color="DDD8CC" w:sz="4"/>
            </w:tcBorders>
            <w:shd w:fill="FFFFFF" w:color="auto" w:val="clear"/>
            <w:tcMar>
              <w:top w:type="dxa" w:w="100"/>
              <w:left w:type="dxa" w:w="140"/>
              <w:bottom w:type="dxa" w:w="100"/>
              <w:right w:type="dxa" w:w="140"/>
            </w:tcMar>
          </w:tcPr>
          <w:p>
            <w:r>
              <w:rPr>
                <w:rFonts w:ascii="Calibri" w:cs="Calibri" w:eastAsia="Calibri" w:hAnsi="Calibri"/>
                <w:b w:val="false"/>
                <w:bCs w:val="false"/>
                <w:color w:val="1B2845"/>
                <w:sz w:val="20"/>
                <w:szCs w:val="20"/>
              </w:rPr>
              <w:t xml:space="preserve">MongoDB Atlas, accessed via Mongoose 9</w:t>
            </w:r>
          </w:p>
        </w:tc>
        <w:tc>
          <w:tcPr>
            <w:tcW w:type="dxa" w:w="4560"/>
            <w:tcBorders>
              <w:top w:val="single" w:color="DDD8CC" w:sz="4"/>
              <w:left w:val="single" w:color="DDD8CC" w:sz="4"/>
              <w:bottom w:val="single" w:color="DDD8CC" w:sz="4"/>
              <w:right w:val="single" w:color="DDD8CC" w:sz="4"/>
            </w:tcBorders>
            <w:shd w:fill="FFFFFF" w:color="auto" w:val="clear"/>
            <w:tcMar>
              <w:top w:type="dxa" w:w="100"/>
              <w:left w:type="dxa" w:w="140"/>
              <w:bottom w:type="dxa" w:w="100"/>
              <w:right w:type="dxa" w:w="140"/>
            </w:tcMar>
          </w:tcPr>
          <w:p>
            <w:r>
              <w:rPr>
                <w:rFonts w:ascii="Calibri" w:cs="Calibri" w:eastAsia="Calibri" w:hAnsi="Calibri"/>
                <w:b w:val="false"/>
                <w:bCs w:val="false"/>
                <w:color w:val="1B2845"/>
                <w:sz w:val="20"/>
                <w:szCs w:val="20"/>
              </w:rPr>
              <w:t xml:space="preserve">Loose schemas for fast iteration; native JSON; free tier is plenty for the demo data volume.</w:t>
            </w:r>
          </w:p>
        </w:tc>
      </w:tr>
      <w:tr>
        <w:tc>
          <w:tcPr>
            <w:tcW w:type="dxa" w:w="1800"/>
            <w:tcBorders>
              <w:top w:val="single" w:color="DDD8CC" w:sz="4"/>
              <w:left w:val="single" w:color="DDD8CC" w:sz="4"/>
              <w:bottom w:val="single" w:color="DDD8CC" w:sz="4"/>
              <w:right w:val="single" w:color="DDD8CC" w:sz="4"/>
            </w:tcBorders>
            <w:shd w:fill="FFFFFF" w:color="auto" w:val="clear"/>
            <w:tcMar>
              <w:top w:type="dxa" w:w="100"/>
              <w:left w:type="dxa" w:w="140"/>
              <w:bottom w:type="dxa" w:w="100"/>
              <w:right w:type="dxa" w:w="140"/>
            </w:tcMar>
          </w:tcPr>
          <w:p>
            <w:r>
              <w:rPr>
                <w:rFonts w:ascii="Calibri" w:cs="Calibri" w:eastAsia="Calibri" w:hAnsi="Calibri"/>
                <w:b w:val="false"/>
                <w:bCs w:val="false"/>
                <w:color w:val="1B2845"/>
                <w:sz w:val="20"/>
                <w:szCs w:val="20"/>
              </w:rPr>
              <w:t xml:space="preserve">AI — text</w:t>
            </w:r>
          </w:p>
        </w:tc>
        <w:tc>
          <w:tcPr>
            <w:tcW w:type="dxa" w:w="3000"/>
            <w:tcBorders>
              <w:top w:val="single" w:color="DDD8CC" w:sz="4"/>
              <w:left w:val="single" w:color="DDD8CC" w:sz="4"/>
              <w:bottom w:val="single" w:color="DDD8CC" w:sz="4"/>
              <w:right w:val="single" w:color="DDD8CC" w:sz="4"/>
            </w:tcBorders>
            <w:shd w:fill="FFFFFF" w:color="auto" w:val="clear"/>
            <w:tcMar>
              <w:top w:type="dxa" w:w="100"/>
              <w:left w:type="dxa" w:w="140"/>
              <w:bottom w:type="dxa" w:w="100"/>
              <w:right w:type="dxa" w:w="140"/>
            </w:tcMar>
          </w:tcPr>
          <w:p>
            <w:r>
              <w:rPr>
                <w:rFonts w:ascii="Calibri" w:cs="Calibri" w:eastAsia="Calibri" w:hAnsi="Calibri"/>
                <w:b w:val="false"/>
                <w:bCs w:val="false"/>
                <w:color w:val="1B2845"/>
                <w:sz w:val="20"/>
                <w:szCs w:val="20"/>
              </w:rPr>
              <w:t xml:space="preserve">Anthropic SDK with Claude Haiku 4.5</w:t>
            </w:r>
          </w:p>
        </w:tc>
        <w:tc>
          <w:tcPr>
            <w:tcW w:type="dxa" w:w="4560"/>
            <w:tcBorders>
              <w:top w:val="single" w:color="DDD8CC" w:sz="4"/>
              <w:left w:val="single" w:color="DDD8CC" w:sz="4"/>
              <w:bottom w:val="single" w:color="DDD8CC" w:sz="4"/>
              <w:right w:val="single" w:color="DDD8CC" w:sz="4"/>
            </w:tcBorders>
            <w:shd w:fill="FFFFFF" w:color="auto" w:val="clear"/>
            <w:tcMar>
              <w:top w:type="dxa" w:w="100"/>
              <w:left w:type="dxa" w:w="140"/>
              <w:bottom w:type="dxa" w:w="100"/>
              <w:right w:type="dxa" w:w="140"/>
            </w:tcMar>
          </w:tcPr>
          <w:p>
            <w:r>
              <w:rPr>
                <w:rFonts w:ascii="Calibri" w:cs="Calibri" w:eastAsia="Calibri" w:hAnsi="Calibri"/>
                <w:b w:val="false"/>
                <w:bCs w:val="false"/>
                <w:color w:val="1B2845"/>
                <w:sz w:val="20"/>
                <w:szCs w:val="20"/>
              </w:rPr>
              <w:t xml:space="preserve">Cheap, fast, accurate enough for structured-JSON output and short conversational replies.</w:t>
            </w:r>
          </w:p>
        </w:tc>
      </w:tr>
      <w:tr>
        <w:tc>
          <w:tcPr>
            <w:tcW w:type="dxa" w:w="1800"/>
            <w:tcBorders>
              <w:top w:val="single" w:color="DDD8CC" w:sz="4"/>
              <w:left w:val="single" w:color="DDD8CC" w:sz="4"/>
              <w:bottom w:val="single" w:color="DDD8CC" w:sz="4"/>
              <w:right w:val="single" w:color="DDD8CC" w:sz="4"/>
            </w:tcBorders>
            <w:shd w:fill="FFFFFF" w:color="auto" w:val="clear"/>
            <w:tcMar>
              <w:top w:type="dxa" w:w="100"/>
              <w:left w:type="dxa" w:w="140"/>
              <w:bottom w:type="dxa" w:w="100"/>
              <w:right w:type="dxa" w:w="140"/>
            </w:tcMar>
          </w:tcPr>
          <w:p>
            <w:r>
              <w:rPr>
                <w:rFonts w:ascii="Calibri" w:cs="Calibri" w:eastAsia="Calibri" w:hAnsi="Calibri"/>
                <w:b w:val="false"/>
                <w:bCs w:val="false"/>
                <w:color w:val="1B2845"/>
                <w:sz w:val="20"/>
                <w:szCs w:val="20"/>
              </w:rPr>
              <w:t xml:space="preserve">AI — images</w:t>
            </w:r>
          </w:p>
        </w:tc>
        <w:tc>
          <w:tcPr>
            <w:tcW w:type="dxa" w:w="3000"/>
            <w:tcBorders>
              <w:top w:val="single" w:color="DDD8CC" w:sz="4"/>
              <w:left w:val="single" w:color="DDD8CC" w:sz="4"/>
              <w:bottom w:val="single" w:color="DDD8CC" w:sz="4"/>
              <w:right w:val="single" w:color="DDD8CC" w:sz="4"/>
            </w:tcBorders>
            <w:shd w:fill="FFFFFF" w:color="auto" w:val="clear"/>
            <w:tcMar>
              <w:top w:type="dxa" w:w="100"/>
              <w:left w:type="dxa" w:w="140"/>
              <w:bottom w:type="dxa" w:w="100"/>
              <w:right w:type="dxa" w:w="140"/>
            </w:tcMar>
          </w:tcPr>
          <w:p>
            <w:r>
              <w:rPr>
                <w:rFonts w:ascii="Calibri" w:cs="Calibri" w:eastAsia="Calibri" w:hAnsi="Calibri"/>
                <w:b w:val="false"/>
                <w:bCs w:val="false"/>
                <w:color w:val="1B2845"/>
                <w:sz w:val="20"/>
                <w:szCs w:val="20"/>
              </w:rPr>
              <w:t xml:space="preserve">OpenAI SDK with DALL-E 3 (gpt-image-1 optional)</w:t>
            </w:r>
          </w:p>
        </w:tc>
        <w:tc>
          <w:tcPr>
            <w:tcW w:type="dxa" w:w="4560"/>
            <w:tcBorders>
              <w:top w:val="single" w:color="DDD8CC" w:sz="4"/>
              <w:left w:val="single" w:color="DDD8CC" w:sz="4"/>
              <w:bottom w:val="single" w:color="DDD8CC" w:sz="4"/>
              <w:right w:val="single" w:color="DDD8CC" w:sz="4"/>
            </w:tcBorders>
            <w:shd w:fill="FFFFFF" w:color="auto" w:val="clear"/>
            <w:tcMar>
              <w:top w:type="dxa" w:w="100"/>
              <w:left w:type="dxa" w:w="140"/>
              <w:bottom w:type="dxa" w:w="100"/>
              <w:right w:type="dxa" w:w="140"/>
            </w:tcMar>
          </w:tcPr>
          <w:p>
            <w:r>
              <w:rPr>
                <w:rFonts w:ascii="Calibri" w:cs="Calibri" w:eastAsia="Calibri" w:hAnsi="Calibri"/>
                <w:b w:val="false"/>
                <w:bCs w:val="false"/>
                <w:color w:val="1B2845"/>
                <w:sz w:val="20"/>
                <w:szCs w:val="20"/>
              </w:rPr>
              <w:t xml:space="preserve">DALL-E 3 is widely available and produces magazine-quality food photography; gpt-image-1 is better at rendered text but requires verified org.</w:t>
            </w:r>
          </w:p>
        </w:tc>
      </w:tr>
      <w:tr>
        <w:tc>
          <w:tcPr>
            <w:tcW w:type="dxa" w:w="1800"/>
            <w:tcBorders>
              <w:top w:val="single" w:color="DDD8CC" w:sz="4"/>
              <w:left w:val="single" w:color="DDD8CC" w:sz="4"/>
              <w:bottom w:val="single" w:color="DDD8CC" w:sz="4"/>
              <w:right w:val="single" w:color="DDD8CC" w:sz="4"/>
            </w:tcBorders>
            <w:shd w:fill="FFFFFF" w:color="auto" w:val="clear"/>
            <w:tcMar>
              <w:top w:type="dxa" w:w="100"/>
              <w:left w:type="dxa" w:w="140"/>
              <w:bottom w:type="dxa" w:w="100"/>
              <w:right w:type="dxa" w:w="140"/>
            </w:tcMar>
          </w:tcPr>
          <w:p>
            <w:r>
              <w:rPr>
                <w:rFonts w:ascii="Calibri" w:cs="Calibri" w:eastAsia="Calibri" w:hAnsi="Calibri"/>
                <w:b w:val="false"/>
                <w:bCs w:val="false"/>
                <w:color w:val="1B2845"/>
                <w:sz w:val="20"/>
                <w:szCs w:val="20"/>
              </w:rPr>
              <w:t xml:space="preserve">UI</w:t>
            </w:r>
          </w:p>
        </w:tc>
        <w:tc>
          <w:tcPr>
            <w:tcW w:type="dxa" w:w="3000"/>
            <w:tcBorders>
              <w:top w:val="single" w:color="DDD8CC" w:sz="4"/>
              <w:left w:val="single" w:color="DDD8CC" w:sz="4"/>
              <w:bottom w:val="single" w:color="DDD8CC" w:sz="4"/>
              <w:right w:val="single" w:color="DDD8CC" w:sz="4"/>
            </w:tcBorders>
            <w:shd w:fill="FFFFFF" w:color="auto" w:val="clear"/>
            <w:tcMar>
              <w:top w:type="dxa" w:w="100"/>
              <w:left w:type="dxa" w:w="140"/>
              <w:bottom w:type="dxa" w:w="100"/>
              <w:right w:type="dxa" w:w="140"/>
            </w:tcMar>
          </w:tcPr>
          <w:p>
            <w:r>
              <w:rPr>
                <w:rFonts w:ascii="Calibri" w:cs="Calibri" w:eastAsia="Calibri" w:hAnsi="Calibri"/>
                <w:b w:val="false"/>
                <w:bCs w:val="false"/>
                <w:color w:val="1B2845"/>
                <w:sz w:val="20"/>
                <w:szCs w:val="20"/>
              </w:rPr>
              <w:t xml:space="preserve">Tailwind CSS + Recharts + Framer Motion</w:t>
            </w:r>
          </w:p>
        </w:tc>
        <w:tc>
          <w:tcPr>
            <w:tcW w:type="dxa" w:w="4560"/>
            <w:tcBorders>
              <w:top w:val="single" w:color="DDD8CC" w:sz="4"/>
              <w:left w:val="single" w:color="DDD8CC" w:sz="4"/>
              <w:bottom w:val="single" w:color="DDD8CC" w:sz="4"/>
              <w:right w:val="single" w:color="DDD8CC" w:sz="4"/>
            </w:tcBorders>
            <w:shd w:fill="FFFFFF" w:color="auto" w:val="clear"/>
            <w:tcMar>
              <w:top w:type="dxa" w:w="100"/>
              <w:left w:type="dxa" w:w="140"/>
              <w:bottom w:type="dxa" w:w="100"/>
              <w:right w:type="dxa" w:w="140"/>
            </w:tcMar>
          </w:tcPr>
          <w:p>
            <w:r>
              <w:rPr>
                <w:rFonts w:ascii="Calibri" w:cs="Calibri" w:eastAsia="Calibri" w:hAnsi="Calibri"/>
                <w:b w:val="false"/>
                <w:bCs w:val="false"/>
                <w:color w:val="1B2845"/>
                <w:sz w:val="20"/>
                <w:szCs w:val="20"/>
              </w:rPr>
              <w:t xml:space="preserve">Tailwind for layout speed, Recharts for the dashboard charts, Framer Motion for the micro-animations on the student side.</w:t>
            </w:r>
          </w:p>
        </w:tc>
      </w:tr>
      <w:tr>
        <w:tc>
          <w:tcPr>
            <w:tcW w:type="dxa" w:w="1800"/>
            <w:tcBorders>
              <w:top w:val="single" w:color="DDD8CC" w:sz="4"/>
              <w:left w:val="single" w:color="DDD8CC" w:sz="4"/>
              <w:bottom w:val="single" w:color="DDD8CC" w:sz="4"/>
              <w:right w:val="single" w:color="DDD8CC" w:sz="4"/>
            </w:tcBorders>
            <w:shd w:fill="FFFFFF" w:color="auto" w:val="clear"/>
            <w:tcMar>
              <w:top w:type="dxa" w:w="100"/>
              <w:left w:type="dxa" w:w="140"/>
              <w:bottom w:type="dxa" w:w="100"/>
              <w:right w:type="dxa" w:w="140"/>
            </w:tcMar>
          </w:tcPr>
          <w:p>
            <w:r>
              <w:rPr>
                <w:rFonts w:ascii="Calibri" w:cs="Calibri" w:eastAsia="Calibri" w:hAnsi="Calibri"/>
                <w:b w:val="false"/>
                <w:bCs w:val="false"/>
                <w:color w:val="1B2845"/>
                <w:sz w:val="20"/>
                <w:szCs w:val="20"/>
              </w:rPr>
              <w:t xml:space="preserve">Hosting</w:t>
            </w:r>
          </w:p>
        </w:tc>
        <w:tc>
          <w:tcPr>
            <w:tcW w:type="dxa" w:w="3000"/>
            <w:tcBorders>
              <w:top w:val="single" w:color="DDD8CC" w:sz="4"/>
              <w:left w:val="single" w:color="DDD8CC" w:sz="4"/>
              <w:bottom w:val="single" w:color="DDD8CC" w:sz="4"/>
              <w:right w:val="single" w:color="DDD8CC" w:sz="4"/>
            </w:tcBorders>
            <w:shd w:fill="FFFFFF" w:color="auto" w:val="clear"/>
            <w:tcMar>
              <w:top w:type="dxa" w:w="100"/>
              <w:left w:type="dxa" w:w="140"/>
              <w:bottom w:type="dxa" w:w="100"/>
              <w:right w:type="dxa" w:w="140"/>
            </w:tcMar>
          </w:tcPr>
          <w:p>
            <w:r>
              <w:rPr>
                <w:rFonts w:ascii="Calibri" w:cs="Calibri" w:eastAsia="Calibri" w:hAnsi="Calibri"/>
                <w:b w:val="false"/>
                <w:bCs w:val="false"/>
                <w:color w:val="1B2845"/>
                <w:sz w:val="20"/>
                <w:szCs w:val="20"/>
              </w:rPr>
              <w:t xml:space="preserve">Vercel (serverless)</w:t>
            </w:r>
          </w:p>
        </w:tc>
        <w:tc>
          <w:tcPr>
            <w:tcW w:type="dxa" w:w="4560"/>
            <w:tcBorders>
              <w:top w:val="single" w:color="DDD8CC" w:sz="4"/>
              <w:left w:val="single" w:color="DDD8CC" w:sz="4"/>
              <w:bottom w:val="single" w:color="DDD8CC" w:sz="4"/>
              <w:right w:val="single" w:color="DDD8CC" w:sz="4"/>
            </w:tcBorders>
            <w:shd w:fill="FFFFFF" w:color="auto" w:val="clear"/>
            <w:tcMar>
              <w:top w:type="dxa" w:w="100"/>
              <w:left w:type="dxa" w:w="140"/>
              <w:bottom w:type="dxa" w:w="100"/>
              <w:right w:type="dxa" w:w="140"/>
            </w:tcMar>
          </w:tcPr>
          <w:p>
            <w:r>
              <w:rPr>
                <w:rFonts w:ascii="Calibri" w:cs="Calibri" w:eastAsia="Calibri" w:hAnsi="Calibri"/>
                <w:b w:val="false"/>
                <w:bCs w:val="false"/>
                <w:color w:val="1B2845"/>
                <w:sz w:val="20"/>
                <w:szCs w:val="20"/>
              </w:rPr>
              <w:t xml:space="preserve">Zero-config Next.js deploys; free hobby tier supports demo traffic; environment-variable management built in.</w:t>
            </w:r>
          </w:p>
        </w:tc>
      </w:tr>
    </w:tbl>
    <w:p>
      <w:pPr>
        <w:spacing w:after="200" w:before="60"/>
        <w:jc w:val="center"/>
      </w:pPr>
      <w:r>
        <w:rPr>
          <w:rFonts w:ascii="Calibri" w:cs="Calibri" w:eastAsia="Calibri" w:hAnsi="Calibri"/>
          <w:i/>
          <w:iCs/>
          <w:color w:val="8A8A93"/>
          <w:sz w:val="18"/>
          <w:szCs w:val="18"/>
        </w:rPr>
        <w:t xml:space="preserve">Table 1. Technical stack and rationale.</w:t>
      </w:r>
    </w:p>
    <w:p>
      <w:pPr>
        <w:pStyle w:val="Heading2"/>
        <w:spacing w:after="120" w:before="280"/>
      </w:pPr>
      <w:r>
        <w:rPr>
          <w:rFonts w:ascii="Calibri" w:cs="Calibri" w:eastAsia="Calibri" w:hAnsi="Calibri"/>
          <w:b/>
          <w:bCs/>
          <w:color w:val="E85959"/>
          <w:sz w:val="26"/>
          <w:szCs w:val="26"/>
        </w:rPr>
        <w:t xml:space="preserve">2.3 Configuration and secrets</w:t>
      </w:r>
    </w:p>
    <w:p>
      <w:pPr>
        <w:spacing w:after="80" w:before="80" w:line="320"/>
        <w:jc w:val="both"/>
      </w:pPr>
      <w:r>
        <w:rPr>
          <w:rFonts w:ascii="Calibri" w:cs="Calibri" w:eastAsia="Calibri" w:hAnsi="Calibri"/>
        </w:rPr>
        <w:t xml:space="preserve">Three secrets are required to run the system end-to-end:</w:t>
      </w:r>
    </w:p>
    <w:p>
      <w:pPr>
        <w:pStyle w:val="ListParagraph"/>
        <w:numPr>
          <w:ilvl w:val="0"/>
          <w:numId w:val="2"/>
        </w:numPr>
        <w:spacing w:after="40" w:before="40" w:line="300"/>
      </w:pPr>
      <w:r>
        <w:rPr>
          <w:rFonts w:ascii="Consolas" w:cs="Consolas" w:eastAsia="Consolas" w:hAnsi="Consolas"/>
          <w:color w:val="2A3759"/>
          <w:sz w:val="20"/>
          <w:szCs w:val="20"/>
          <w:shd w:fill="F2EDE4" w:color="auto" w:val="clear"/>
        </w:rPr>
        <w:t xml:space="preserve">MONGODB_URI</w:t>
      </w:r>
      <w:r>
        <w:rPr>
          <w:rFonts w:ascii="Calibri" w:cs="Calibri" w:eastAsia="Calibri" w:hAnsi="Calibri"/>
        </w:rPr>
        <w:t xml:space="preserve"> — the Atlas connection string for the shared cluster.</w:t>
      </w:r>
    </w:p>
    <w:p>
      <w:pPr>
        <w:pStyle w:val="ListParagraph"/>
        <w:numPr>
          <w:ilvl w:val="0"/>
          <w:numId w:val="2"/>
        </w:numPr>
        <w:spacing w:after="40" w:before="40" w:line="300"/>
      </w:pPr>
      <w:r>
        <w:rPr>
          <w:rFonts w:ascii="Consolas" w:cs="Consolas" w:eastAsia="Consolas" w:hAnsi="Consolas"/>
          <w:color w:val="2A3759"/>
          <w:sz w:val="20"/>
          <w:szCs w:val="20"/>
          <w:shd w:fill="F2EDE4" w:color="auto" w:val="clear"/>
        </w:rPr>
        <w:t xml:space="preserve">ANTHROPIC_API_KEY</w:t>
      </w:r>
      <w:r>
        <w:rPr>
          <w:rFonts w:ascii="Calibri" w:cs="Calibri" w:eastAsia="Calibri" w:hAnsi="Calibri"/>
        </w:rPr>
        <w:t xml:space="preserve"> — used for the brief and for the student-side classification.</w:t>
      </w:r>
    </w:p>
    <w:p>
      <w:pPr>
        <w:pStyle w:val="ListParagraph"/>
        <w:numPr>
          <w:ilvl w:val="0"/>
          <w:numId w:val="2"/>
        </w:numPr>
        <w:spacing w:after="40" w:before="40" w:line="300"/>
      </w:pPr>
      <w:r>
        <w:rPr>
          <w:rFonts w:ascii="Consolas" w:cs="Consolas" w:eastAsia="Consolas" w:hAnsi="Consolas"/>
          <w:color w:val="2A3759"/>
          <w:sz w:val="20"/>
          <w:szCs w:val="20"/>
          <w:shd w:fill="F2EDE4" w:color="auto" w:val="clear"/>
        </w:rPr>
        <w:t xml:space="preserve">OPENAI_API_KEY</w:t>
      </w:r>
      <w:r>
        <w:rPr>
          <w:rFonts w:ascii="Calibri" w:cs="Calibri" w:eastAsia="Calibri" w:hAnsi="Calibri"/>
        </w:rPr>
        <w:t xml:space="preserve"> — only needed for the Posters page; the rest of the app degrades gracefully if it's missing.</w:t>
      </w:r>
    </w:p>
    <w:p>
      <w:pPr>
        <w:spacing w:after="100"/>
      </w:pPr>
    </w:p>
    <w:p>
      <w:pPr>
        <w:spacing w:after="80" w:before="80" w:line="320"/>
        <w:jc w:val="both"/>
      </w:pPr>
      <w:r>
        <w:rPr>
          <w:rFonts w:ascii="Calibri" w:cs="Calibri" w:eastAsia="Calibri" w:hAnsi="Calibri"/>
        </w:rPr>
        <w:t xml:space="preserve">All three are stored in a </w:t>
      </w:r>
      <w:r>
        <w:rPr>
          <w:rFonts w:ascii="Consolas" w:cs="Consolas" w:eastAsia="Consolas" w:hAnsi="Consolas"/>
          <w:color w:val="2A3759"/>
          <w:sz w:val="20"/>
          <w:szCs w:val="20"/>
          <w:shd w:fill="F2EDE4" w:color="auto" w:val="clear"/>
        </w:rPr>
        <w:t xml:space="preserve">.env.local</w:t>
      </w:r>
      <w:r>
        <w:rPr>
          <w:rFonts w:ascii="Calibri" w:cs="Calibri" w:eastAsia="Calibri" w:hAnsi="Calibri"/>
        </w:rPr>
        <w:t xml:space="preserve"> file that is gitignored, and mirrored into Vercel's project-level environment-variable store for the deployed instance. The repository contains a </w:t>
      </w:r>
      <w:r>
        <w:rPr>
          <w:rFonts w:ascii="Consolas" w:cs="Consolas" w:eastAsia="Consolas" w:hAnsi="Consolas"/>
          <w:color w:val="2A3759"/>
          <w:sz w:val="20"/>
          <w:szCs w:val="20"/>
          <w:shd w:fill="F2EDE4" w:color="auto" w:val="clear"/>
        </w:rPr>
        <w:t xml:space="preserve">.env.example</w:t>
      </w:r>
      <w:r>
        <w:rPr>
          <w:rFonts w:ascii="Calibri" w:cs="Calibri" w:eastAsia="Calibri" w:hAnsi="Calibri"/>
        </w:rPr>
        <w:t xml:space="preserve"> with placeholder values so a new contributor can see the shape immediately, and a </w:t>
      </w:r>
      <w:r>
        <w:rPr>
          <w:rFonts w:ascii="Consolas" w:cs="Consolas" w:eastAsia="Consolas" w:hAnsi="Consolas"/>
          <w:color w:val="2A3759"/>
          <w:sz w:val="20"/>
          <w:szCs w:val="20"/>
          <w:shd w:fill="F2EDE4" w:color="auto" w:val="clear"/>
        </w:rPr>
        <w:t xml:space="preserve">.npmrc</w:t>
      </w:r>
      <w:r>
        <w:rPr>
          <w:rFonts w:ascii="Calibri" w:cs="Calibri" w:eastAsia="Calibri" w:hAnsi="Calibri"/>
        </w:rPr>
        <w:t xml:space="preserve"> that pins legacy peer-dep resolution (we ran into a real conflict between cookies-next v6 and Next.js 14's peer ranges, which would otherwise break Vercel's install step).</w:t>
      </w:r>
    </w:p>
    <w:p>
      <w:pPr>
        <w:pStyle w:val="Heading2"/>
        <w:spacing w:after="120" w:before="280"/>
      </w:pPr>
      <w:r>
        <w:rPr>
          <w:rFonts w:ascii="Calibri" w:cs="Calibri" w:eastAsia="Calibri" w:hAnsi="Calibri"/>
          <w:b/>
          <w:bCs/>
          <w:color w:val="E85959"/>
          <w:sz w:val="26"/>
          <w:szCs w:val="26"/>
        </w:rPr>
        <w:t xml:space="preserve">2.4 Agentic flow for the ops brief</w:t>
      </w:r>
    </w:p>
    <w:p>
      <w:pPr>
        <w:spacing w:after="80" w:before="80" w:line="320"/>
        <w:jc w:val="both"/>
      </w:pPr>
      <w:r>
        <w:rPr>
          <w:rFonts w:ascii="Calibri" w:cs="Calibri" w:eastAsia="Calibri" w:hAnsi="Calibri"/>
        </w:rPr>
        <w:t xml:space="preserve">We did not build a multi-agent system in the strict sense — there is no orchestrator routing tasks between specialized sub-agents — but the ops brief is a multi-step LLM flow that mixes deterministic computation with one structured generation call. The flow is:</w:t>
      </w:r>
    </w:p>
    <w:p>
      <w:pPr>
        <w:pStyle w:val="ListParagraph"/>
        <w:numPr>
          <w:ilvl w:val="0"/>
          <w:numId w:val="2"/>
        </w:numPr>
        <w:spacing w:after="40" w:before="40" w:line="300"/>
      </w:pPr>
      <w:r>
        <w:rPr>
          <w:rFonts w:ascii="Calibri" w:cs="Calibri" w:eastAsia="Calibri" w:hAnsi="Calibri"/>
          <w:b/>
          <w:bCs/>
        </w:rPr>
        <w:t xml:space="preserve">Aggregate.</w:t>
      </w:r>
      <w:r>
        <w:rPr>
          <w:rFonts w:ascii="Calibri" w:cs="Calibri" w:eastAsia="Calibri" w:hAnsi="Calibri"/>
        </w:rPr>
        <w:t xml:space="preserve"> The </w:t>
      </w:r>
      <w:r>
        <w:rPr>
          <w:rFonts w:ascii="Consolas" w:cs="Consolas" w:eastAsia="Consolas" w:hAnsi="Consolas"/>
          <w:color w:val="2A3759"/>
          <w:sz w:val="20"/>
          <w:szCs w:val="20"/>
          <w:shd w:fill="F2EDE4" w:color="auto" w:val="clear"/>
        </w:rPr>
        <w:t xml:space="preserve">aggregateStudentData(venue, weeksBack)</w:t>
      </w:r>
      <w:r>
        <w:rPr>
          <w:rFonts w:ascii="Calibri" w:cs="Calibri" w:eastAsia="Calibri" w:hAnsi="Calibri"/>
        </w:rPr>
        <w:t xml:space="preserve"> helper runs six Mongo aggregations in parallel — vote rankings, reaction summary, flavor/protein/dietary/cuisine counts, top tags, free-text samples, current menu items, session count — and returns a single typed object.</w:t>
      </w:r>
    </w:p>
    <w:p>
      <w:pPr>
        <w:pStyle w:val="ListParagraph"/>
        <w:numPr>
          <w:ilvl w:val="0"/>
          <w:numId w:val="2"/>
        </w:numPr>
        <w:spacing w:after="40" w:before="40" w:line="300"/>
      </w:pPr>
      <w:r>
        <w:rPr>
          <w:rFonts w:ascii="Calibri" w:cs="Calibri" w:eastAsia="Calibri" w:hAnsi="Calibri"/>
          <w:b/>
          <w:bCs/>
        </w:rPr>
        <w:t xml:space="preserve">Score.</w:t>
      </w:r>
      <w:r>
        <w:rPr>
          <w:rFonts w:ascii="Calibri" w:cs="Calibri" w:eastAsia="Calibri" w:hAnsi="Calibri"/>
        </w:rPr>
        <w:t xml:space="preserve"> The </w:t>
      </w:r>
      <w:r>
        <w:rPr>
          <w:rFonts w:ascii="Consolas" w:cs="Consolas" w:eastAsia="Consolas" w:hAnsi="Consolas"/>
          <w:color w:val="2A3759"/>
          <w:sz w:val="20"/>
          <w:szCs w:val="20"/>
          <w:shd w:fill="F2EDE4" w:color="auto" w:val="clear"/>
        </w:rPr>
        <w:t xml:space="preserve">satisfactionPulse()</w:t>
      </w:r>
      <w:r>
        <w:rPr>
          <w:rFonts w:ascii="Calibri" w:cs="Calibri" w:eastAsia="Calibri" w:hAnsi="Calibri"/>
        </w:rPr>
        <w:t xml:space="preserve"> function blends three signals — reactions, vote ratio, engagement — into a single 0-100 score with an up/flat/down trend label. The </w:t>
      </w:r>
      <w:r>
        <w:rPr>
          <w:rFonts w:ascii="Consolas" w:cs="Consolas" w:eastAsia="Consolas" w:hAnsi="Consolas"/>
          <w:color w:val="2A3759"/>
          <w:sz w:val="20"/>
          <w:szCs w:val="20"/>
          <w:shd w:fill="F2EDE4" w:color="auto" w:val="clear"/>
        </w:rPr>
        <w:t xml:space="preserve">surveyDemandMultiplier()</w:t>
      </w:r>
      <w:r>
        <w:rPr>
          <w:rFonts w:ascii="Calibri" w:cs="Calibri" w:eastAsia="Calibri" w:hAnsi="Calibri"/>
        </w:rPr>
        <w:t xml:space="preserve"> function converts net vote sentiment into a multiplier in the range [0.85, 1.15].</w:t>
      </w:r>
    </w:p>
    <w:p>
      <w:pPr>
        <w:pStyle w:val="ListParagraph"/>
        <w:numPr>
          <w:ilvl w:val="0"/>
          <w:numId w:val="2"/>
        </w:numPr>
        <w:spacing w:after="40" w:before="40" w:line="300"/>
      </w:pPr>
      <w:r>
        <w:rPr>
          <w:rFonts w:ascii="Calibri" w:cs="Calibri" w:eastAsia="Calibri" w:hAnsi="Calibri"/>
          <w:b/>
          <w:bCs/>
        </w:rPr>
        <w:t xml:space="preserve">Forecast.</w:t>
      </w:r>
      <w:r>
        <w:rPr>
          <w:rFonts w:ascii="Calibri" w:cs="Calibri" w:eastAsia="Calibri" w:hAnsi="Calibri"/>
        </w:rPr>
        <w:t xml:space="preserve"> The </w:t>
      </w:r>
      <w:r>
        <w:rPr>
          <w:rFonts w:ascii="Consolas" w:cs="Consolas" w:eastAsia="Consolas" w:hAnsi="Consolas"/>
          <w:color w:val="2A3759"/>
          <w:sz w:val="20"/>
          <w:szCs w:val="20"/>
          <w:shd w:fill="F2EDE4" w:color="auto" w:val="clear"/>
        </w:rPr>
        <w:t xml:space="preserve">buildForecast(venue, daysAhead)</w:t>
      </w:r>
      <w:r>
        <w:rPr>
          <w:rFonts w:ascii="Calibri" w:cs="Calibri" w:eastAsia="Calibri" w:hAnsi="Calibri"/>
        </w:rPr>
        <w:t xml:space="preserve"> function multiplies a baseline daily-servings number by the survey multiplier, the per-day event multiplier (looked up from our events table), and the per-day exchange multiplier (looked up from the exchange-weeks table). It produces a per-day prediction with low/high confidence band and a confidence label that depends on input volume.</w:t>
      </w:r>
    </w:p>
    <w:p>
      <w:pPr>
        <w:pStyle w:val="ListParagraph"/>
        <w:numPr>
          <w:ilvl w:val="0"/>
          <w:numId w:val="2"/>
        </w:numPr>
        <w:spacing w:after="40" w:before="40" w:line="300"/>
      </w:pPr>
      <w:r>
        <w:rPr>
          <w:rFonts w:ascii="Calibri" w:cs="Calibri" w:eastAsia="Calibri" w:hAnsi="Calibri"/>
          <w:b/>
          <w:bCs/>
        </w:rPr>
        <w:t xml:space="preserve">Synthesize.</w:t>
      </w:r>
      <w:r>
        <w:rPr>
          <w:rFonts w:ascii="Calibri" w:cs="Calibri" w:eastAsia="Calibri" w:hAnsi="Calibri"/>
        </w:rPr>
        <w:t xml:space="preserve"> The aggregated data, forecast, cost table, events, and exchange-week roster are passed to Claude Haiku 4.5 with a system prompt that specifies the exact JSON schema we expect back. We use prompt caching on the system prompt (it is identical across requests) and a strict instruction to output only JSON.</w:t>
      </w:r>
    </w:p>
    <w:p>
      <w:pPr>
        <w:pStyle w:val="ListParagraph"/>
        <w:numPr>
          <w:ilvl w:val="0"/>
          <w:numId w:val="2"/>
        </w:numPr>
        <w:spacing w:after="40" w:before="40" w:line="300"/>
      </w:pPr>
      <w:r>
        <w:rPr>
          <w:rFonts w:ascii="Calibri" w:cs="Calibri" w:eastAsia="Calibri" w:hAnsi="Calibri"/>
          <w:b/>
          <w:bCs/>
        </w:rPr>
        <w:t xml:space="preserve">Reconcile.</w:t>
      </w:r>
      <w:r>
        <w:rPr>
          <w:rFonts w:ascii="Calibri" w:cs="Calibri" w:eastAsia="Calibri" w:hAnsi="Calibri"/>
        </w:rPr>
        <w:t xml:space="preserve"> Once Claude returns the brief, the server reconciles its add-recommendations against our cost table — if Claude proposes Salmon Poke Bowl, the server stamps the real cost-per-serving and dietary tags from the cost row rather than trusting the model to remember them. This catches hallucinated numbers before they reach the manager.</w:t>
      </w:r>
    </w:p>
    <w:p>
      <w:pPr>
        <w:pStyle w:val="ListParagraph"/>
        <w:numPr>
          <w:ilvl w:val="0"/>
          <w:numId w:val="2"/>
        </w:numPr>
        <w:spacing w:after="40" w:before="40" w:line="300"/>
      </w:pPr>
      <w:r>
        <w:rPr>
          <w:rFonts w:ascii="Calibri" w:cs="Calibri" w:eastAsia="Calibri" w:hAnsi="Calibri"/>
          <w:b/>
          <w:bCs/>
        </w:rPr>
        <w:t xml:space="preserve">Cache.</w:t>
      </w:r>
      <w:r>
        <w:rPr>
          <w:rFonts w:ascii="Calibri" w:cs="Calibri" w:eastAsia="Calibri" w:hAnsi="Calibri"/>
        </w:rPr>
        <w:t xml:space="preserve"> The final brief is cached in process memory for five minutes per venue, so repeated dashboard refreshes don't trigger repeated Claude calls. A "Regenerate" button forces a fresh call when the manager wants the latest synthesis.</w:t>
      </w:r>
    </w:p>
    <w:p>
      <w:pPr>
        <w:spacing w:after="100"/>
      </w:pPr>
    </w:p>
    <w:p>
      <w:pPr>
        <w:spacing w:after="80" w:before="80" w:line="320"/>
        <w:jc w:val="both"/>
      </w:pPr>
      <w:r>
        <w:rPr>
          <w:rFonts w:ascii="Calibri" w:cs="Calibri" w:eastAsia="Calibri" w:hAnsi="Calibri"/>
        </w:rPr>
        <w:t xml:space="preserve">If Claude's call fails (rate limit, network glitch, key misconfigured) we fall through to a deterministic fallback that produces the same JSON shape from the aggregated data. The user sees a brief either way; in production we would surface the difference visibly. For the demo, the goal is graceful degradation.</w:t>
      </w:r>
    </w:p>
    <w:p>
      <w:pPr>
        <w:pStyle w:val="Heading2"/>
        <w:spacing w:after="120" w:before="280"/>
      </w:pPr>
      <w:r>
        <w:rPr>
          <w:rFonts w:ascii="Calibri" w:cs="Calibri" w:eastAsia="Calibri" w:hAnsi="Calibri"/>
          <w:b/>
          <w:bCs/>
          <w:color w:val="E85959"/>
          <w:sz w:val="26"/>
          <w:szCs w:val="26"/>
        </w:rPr>
        <w:t xml:space="preserve">2.5 Folder structure and separation of concerns</w:t>
      </w:r>
    </w:p>
    <w:p>
      <w:pPr>
        <w:spacing w:after="80" w:before="80" w:line="320"/>
        <w:jc w:val="both"/>
      </w:pPr>
      <w:r>
        <w:rPr>
          <w:rFonts w:ascii="Calibri" w:cs="Calibri" w:eastAsia="Calibri" w:hAnsi="Calibri"/>
        </w:rPr>
        <w:t xml:space="preserve">Because Hsin-Yuan and I were committing to the same repository in parallel, we agreed up front to namespace everything I added under </w:t>
      </w:r>
      <w:r>
        <w:rPr>
          <w:rFonts w:ascii="Consolas" w:cs="Consolas" w:eastAsia="Consolas" w:hAnsi="Consolas"/>
          <w:color w:val="2A3759"/>
          <w:sz w:val="20"/>
          <w:szCs w:val="20"/>
          <w:shd w:fill="F2EDE4" w:color="auto" w:val="clear"/>
        </w:rPr>
        <w:t xml:space="preserve">manager/</w:t>
      </w:r>
      <w:r>
        <w:rPr>
          <w:rFonts w:ascii="Calibri" w:cs="Calibri" w:eastAsia="Calibri" w:hAnsi="Calibri"/>
        </w:rPr>
        <w:t xml:space="preserve"> subfolders so her student-side code would never need to be edited:</w:t>
      </w:r>
    </w:p>
    <w:p>
      <w:pPr>
        <w:pStyle w:val="ListParagraph"/>
        <w:numPr>
          <w:ilvl w:val="0"/>
          <w:numId w:val="2"/>
        </w:numPr>
        <w:spacing w:after="40" w:before="40" w:line="300"/>
      </w:pPr>
      <w:r>
        <w:rPr>
          <w:rFonts w:ascii="Consolas" w:cs="Consolas" w:eastAsia="Consolas" w:hAnsi="Consolas"/>
          <w:color w:val="2A3759"/>
          <w:sz w:val="20"/>
          <w:szCs w:val="20"/>
          <w:shd w:fill="F2EDE4" w:color="auto" w:val="clear"/>
        </w:rPr>
        <w:t xml:space="preserve">src/app/manager/</w:t>
      </w:r>
      <w:r>
        <w:rPr>
          <w:rFonts w:ascii="Calibri" w:cs="Calibri" w:eastAsia="Calibri" w:hAnsi="Calibri"/>
        </w:rPr>
        <w:t xml:space="preserve"> — the venue picker and five sub-pages.</w:t>
      </w:r>
    </w:p>
    <w:p>
      <w:pPr>
        <w:pStyle w:val="ListParagraph"/>
        <w:numPr>
          <w:ilvl w:val="0"/>
          <w:numId w:val="2"/>
        </w:numPr>
        <w:spacing w:after="40" w:before="40" w:line="300"/>
      </w:pPr>
      <w:r>
        <w:rPr>
          <w:rFonts w:ascii="Consolas" w:cs="Consolas" w:eastAsia="Consolas" w:hAnsi="Consolas"/>
          <w:color w:val="2A3759"/>
          <w:sz w:val="20"/>
          <w:szCs w:val="20"/>
          <w:shd w:fill="F2EDE4" w:color="auto" w:val="clear"/>
        </w:rPr>
        <w:t xml:space="preserve">src/app/api/manager/</w:t>
      </w:r>
      <w:r>
        <w:rPr>
          <w:rFonts w:ascii="Calibri" w:cs="Calibri" w:eastAsia="Calibri" w:hAnsi="Calibri"/>
        </w:rPr>
        <w:t xml:space="preserve"> — the brief and poster API routes.</w:t>
      </w:r>
    </w:p>
    <w:p>
      <w:pPr>
        <w:pStyle w:val="ListParagraph"/>
        <w:numPr>
          <w:ilvl w:val="0"/>
          <w:numId w:val="2"/>
        </w:numPr>
        <w:spacing w:after="40" w:before="40" w:line="300"/>
      </w:pPr>
      <w:r>
        <w:rPr>
          <w:rFonts w:ascii="Consolas" w:cs="Consolas" w:eastAsia="Consolas" w:hAnsi="Consolas"/>
          <w:color w:val="2A3759"/>
          <w:sz w:val="20"/>
          <w:szCs w:val="20"/>
          <w:shd w:fill="F2EDE4" w:color="auto" w:val="clear"/>
        </w:rPr>
        <w:t xml:space="preserve">src/lib/manager/</w:t>
      </w:r>
      <w:r>
        <w:rPr>
          <w:rFonts w:ascii="Calibri" w:cs="Calibri" w:eastAsia="Calibri" w:hAnsi="Calibri"/>
        </w:rPr>
        <w:t xml:space="preserve"> — types, scoring, forecast logic, brief generator.</w:t>
      </w:r>
    </w:p>
    <w:p>
      <w:pPr>
        <w:pStyle w:val="ListParagraph"/>
        <w:numPr>
          <w:ilvl w:val="0"/>
          <w:numId w:val="2"/>
        </w:numPr>
        <w:spacing w:after="40" w:before="40" w:line="300"/>
      </w:pPr>
      <w:r>
        <w:rPr>
          <w:rFonts w:ascii="Consolas" w:cs="Consolas" w:eastAsia="Consolas" w:hAnsi="Consolas"/>
          <w:color w:val="2A3759"/>
          <w:sz w:val="20"/>
          <w:szCs w:val="20"/>
          <w:shd w:fill="F2EDE4" w:color="auto" w:val="clear"/>
        </w:rPr>
        <w:t xml:space="preserve">src/components/manager/</w:t>
      </w:r>
      <w:r>
        <w:rPr>
          <w:rFonts w:ascii="Calibri" w:cs="Calibri" w:eastAsia="Calibri" w:hAnsi="Calibri"/>
        </w:rPr>
        <w:t xml:space="preserve"> — sidebar, KPI cards, charts, brief view, poster studio.</w:t>
      </w:r>
    </w:p>
    <w:p>
      <w:pPr>
        <w:pStyle w:val="ListParagraph"/>
        <w:numPr>
          <w:ilvl w:val="0"/>
          <w:numId w:val="2"/>
        </w:numPr>
        <w:spacing w:after="40" w:before="40" w:line="300"/>
      </w:pPr>
      <w:r>
        <w:rPr>
          <w:rFonts w:ascii="Consolas" w:cs="Consolas" w:eastAsia="Consolas" w:hAnsi="Consolas"/>
          <w:color w:val="2A3759"/>
          <w:sz w:val="20"/>
          <w:szCs w:val="20"/>
          <w:shd w:fill="F2EDE4" w:color="auto" w:val="clear"/>
        </w:rPr>
        <w:t xml:space="preserve">src/data/manager/</w:t>
      </w:r>
      <w:r>
        <w:rPr>
          <w:rFonts w:ascii="Calibri" w:cs="Calibri" w:eastAsia="Calibri" w:hAnsi="Calibri"/>
        </w:rPr>
        <w:t xml:space="preserve"> — dummy events, exchange weeks, menu costs.</w:t>
      </w:r>
    </w:p>
    <w:p>
      <w:pPr>
        <w:pStyle w:val="ListParagraph"/>
        <w:numPr>
          <w:ilvl w:val="0"/>
          <w:numId w:val="2"/>
        </w:numPr>
        <w:spacing w:after="40" w:before="40" w:line="300"/>
      </w:pPr>
      <w:r>
        <w:rPr>
          <w:rFonts w:ascii="Consolas" w:cs="Consolas" w:eastAsia="Consolas" w:hAnsi="Consolas"/>
          <w:color w:val="2A3759"/>
          <w:sz w:val="20"/>
          <w:szCs w:val="20"/>
          <w:shd w:fill="F2EDE4" w:color="auto" w:val="clear"/>
        </w:rPr>
        <w:t xml:space="preserve">docs/</w:t>
      </w:r>
      <w:r>
        <w:rPr>
          <w:rFonts w:ascii="Calibri" w:cs="Calibri" w:eastAsia="Calibri" w:hAnsi="Calibri"/>
        </w:rPr>
        <w:t xml:space="preserve"> — this report, the standard operating procedure, and a Word version of both.</w:t>
      </w:r>
    </w:p>
    <w:p>
      <w:pPr>
        <w:spacing w:after="100"/>
      </w:pPr>
    </w:p>
    <w:p>
      <w:pPr>
        <w:spacing w:after="80" w:before="80" w:line="320"/>
        <w:jc w:val="both"/>
      </w:pPr>
      <w:r>
        <w:rPr>
          <w:rFonts w:ascii="Calibri" w:cs="Calibri" w:eastAsia="Calibri" w:hAnsi="Calibri"/>
        </w:rPr>
        <w:t xml:space="preserve">The student-side code lives where Hsin-Yuan originally placed it. The two halves communicate exclusively through MongoDB, which means either can be redeployed independently and either could in principle be reimplemented in a different language without breaking the other.</w:t>
      </w:r>
    </w:p>
    <w:p>
      <w:pPr>
        <w:pStyle w:val="Heading2"/>
        <w:spacing w:after="120" w:before="280"/>
      </w:pPr>
      <w:r>
        <w:rPr>
          <w:rFonts w:ascii="Calibri" w:cs="Calibri" w:eastAsia="Calibri" w:hAnsi="Calibri"/>
          <w:b/>
          <w:bCs/>
          <w:color w:val="E85959"/>
          <w:sz w:val="26"/>
          <w:szCs w:val="26"/>
        </w:rPr>
        <w:t xml:space="preserve">2.6 How to run it</w:t>
      </w:r>
    </w:p>
    <w:p>
      <w:pPr>
        <w:spacing w:after="80" w:before="80" w:line="320"/>
        <w:jc w:val="both"/>
      </w:pPr>
      <w:r>
        <w:rPr>
          <w:rFonts w:ascii="Calibri" w:cs="Calibri" w:eastAsia="Calibri" w:hAnsi="Calibri"/>
        </w:rPr>
        <w:t xml:space="preserve">The README contains the full setup. The short version: clone the repo, run </w:t>
      </w:r>
      <w:r>
        <w:rPr>
          <w:rFonts w:ascii="Consolas" w:cs="Consolas" w:eastAsia="Consolas" w:hAnsi="Consolas"/>
          <w:color w:val="2A3759"/>
          <w:sz w:val="20"/>
          <w:szCs w:val="20"/>
          <w:shd w:fill="F2EDE4" w:color="auto" w:val="clear"/>
        </w:rPr>
        <w:t xml:space="preserve">npm install --legacy-peer-deps</w:t>
      </w:r>
      <w:r>
        <w:rPr>
          <w:rFonts w:ascii="Calibri" w:cs="Calibri" w:eastAsia="Calibri" w:hAnsi="Calibri"/>
        </w:rPr>
        <w:t xml:space="preserve">, create a </w:t>
      </w:r>
      <w:r>
        <w:rPr>
          <w:rFonts w:ascii="Consolas" w:cs="Consolas" w:eastAsia="Consolas" w:hAnsi="Consolas"/>
          <w:color w:val="2A3759"/>
          <w:sz w:val="20"/>
          <w:szCs w:val="20"/>
          <w:shd w:fill="F2EDE4" w:color="auto" w:val="clear"/>
        </w:rPr>
        <w:t xml:space="preserve">.env.local</w:t>
      </w:r>
      <w:r>
        <w:rPr>
          <w:rFonts w:ascii="Calibri" w:cs="Calibri" w:eastAsia="Calibri" w:hAnsi="Calibri"/>
        </w:rPr>
        <w:t xml:space="preserve"> with the three secrets, run </w:t>
      </w:r>
      <w:r>
        <w:rPr>
          <w:rFonts w:ascii="Consolas" w:cs="Consolas" w:eastAsia="Consolas" w:hAnsi="Consolas"/>
          <w:color w:val="2A3759"/>
          <w:sz w:val="20"/>
          <w:szCs w:val="20"/>
          <w:shd w:fill="F2EDE4" w:color="auto" w:val="clear"/>
        </w:rPr>
        <w:t xml:space="preserve">npm run dev</w:t>
      </w:r>
      <w:r>
        <w:rPr>
          <w:rFonts w:ascii="Calibri" w:cs="Calibri" w:eastAsia="Calibri" w:hAnsi="Calibri"/>
        </w:rPr>
        <w:t xml:space="preserve">, and visit </w:t>
      </w:r>
      <w:r>
        <w:rPr>
          <w:rFonts w:ascii="Consolas" w:cs="Consolas" w:eastAsia="Consolas" w:hAnsi="Consolas"/>
          <w:color w:val="2A3759"/>
          <w:sz w:val="20"/>
          <w:szCs w:val="20"/>
          <w:shd w:fill="F2EDE4" w:color="auto" w:val="clear"/>
        </w:rPr>
        <w:t xml:space="preserve">localhost:3000</w:t>
      </w:r>
      <w:r>
        <w:rPr>
          <w:rFonts w:ascii="Calibri" w:cs="Calibri" w:eastAsia="Calibri" w:hAnsi="Calibri"/>
        </w:rPr>
        <w:t xml:space="preserve"> for the student side and </w:t>
      </w:r>
      <w:r>
        <w:rPr>
          <w:rFonts w:ascii="Consolas" w:cs="Consolas" w:eastAsia="Consolas" w:hAnsi="Consolas"/>
          <w:color w:val="2A3759"/>
          <w:sz w:val="20"/>
          <w:szCs w:val="20"/>
          <w:shd w:fill="F2EDE4" w:color="auto" w:val="clear"/>
        </w:rPr>
        <w:t xml:space="preserve">localhost:3000/manager</w:t>
      </w:r>
      <w:r>
        <w:rPr>
          <w:rFonts w:ascii="Calibri" w:cs="Calibri" w:eastAsia="Calibri" w:hAnsi="Calibri"/>
        </w:rPr>
        <w:t xml:space="preserve"> for the vendor side. Hsin-Yuan's </w:t>
      </w:r>
      <w:r>
        <w:rPr>
          <w:rFonts w:ascii="Consolas" w:cs="Consolas" w:eastAsia="Consolas" w:hAnsi="Consolas"/>
          <w:color w:val="2A3759"/>
          <w:sz w:val="20"/>
          <w:szCs w:val="20"/>
          <w:shd w:fill="F2EDE4" w:color="auto" w:val="clear"/>
        </w:rPr>
        <w:t xml:space="preserve">scripts/seed-dummy-data.ts</w:t>
      </w:r>
      <w:r>
        <w:rPr>
          <w:rFonts w:ascii="Calibri" w:cs="Calibri" w:eastAsia="Calibri" w:hAnsi="Calibri"/>
        </w:rPr>
        <w:t xml:space="preserve"> seeds twenty-five realistic dummy sessions across both venues for development, so a new contributor sees populated charts on first run.</w:t>
      </w:r>
    </w:p>
    <w:p>
      <w:r>
        <w:br w:type="page"/>
      </w:r>
    </w:p>
    <w:p>
      <w:pPr>
        <w:pStyle w:val="Heading1"/>
        <w:spacing w:after="160" w:before="360"/>
      </w:pPr>
      <w:r>
        <w:rPr>
          <w:rFonts w:ascii="Calibri" w:cs="Calibri" w:eastAsia="Calibri" w:hAnsi="Calibri"/>
          <w:b/>
          <w:bCs/>
          <w:color w:val="1B2845"/>
          <w:sz w:val="32"/>
          <w:szCs w:val="32"/>
        </w:rPr>
        <w:t xml:space="preserve">3. Results and Analysis</w:t>
      </w:r>
    </w:p>
    <w:p>
      <w:pPr>
        <w:pStyle w:val="Heading2"/>
        <w:spacing w:after="120" w:before="280"/>
      </w:pPr>
      <w:r>
        <w:rPr>
          <w:rFonts w:ascii="Calibri" w:cs="Calibri" w:eastAsia="Calibri" w:hAnsi="Calibri"/>
          <w:b/>
          <w:bCs/>
          <w:color w:val="E85959"/>
          <w:sz w:val="26"/>
          <w:szCs w:val="26"/>
        </w:rPr>
        <w:t xml:space="preserve">3.1 What the live system shows</w:t>
      </w:r>
    </w:p>
    <w:p>
      <w:pPr>
        <w:spacing w:after="80" w:before="80" w:line="320"/>
        <w:jc w:val="both"/>
      </w:pPr>
      <w:r>
        <w:rPr>
          <w:rFonts w:ascii="Calibri" w:cs="Calibri" w:eastAsia="Calibri" w:hAnsi="Calibri"/>
        </w:rPr>
        <w:t xml:space="preserve">The deployed app at yosom.vercel.app has run continuously since we wired up the Vercel deploy. As of the snapshot used for this report, the manager Overview page for Charley's Place shows 132 student sessions over the rolling seven-day window, a satisfaction pulse of 84/100 with an up trend, a predicted serving total of roughly 1,200 across the next seven days, and 28 free-text quotes from students. The Demand Forecast page picks up four upcoming events (one ceremony, one career-office lunch, two networking events) and three exchange-week entries; the cumulative forecast modifier comes out at -7% versus baseline because the SOM Class Day catered lunch on Tuesday is the largest single driver.</w:t>
      </w:r>
    </w:p>
    <w:p>
      <w:pPr>
        <w:spacing w:after="80" w:before="80" w:line="320"/>
        <w:jc w:val="both"/>
      </w:pPr>
      <w:r>
        <w:rPr>
          <w:rFonts w:ascii="Calibri" w:cs="Calibri" w:eastAsia="Calibri" w:hAnsi="Calibri"/>
        </w:rPr>
        <w:t xml:space="preserve">A representative excerpt from the AI Ops Brief, regenerated live during one of our test runs:</w:t>
      </w:r>
    </w:p>
    <w:p>
      <w:pPr>
        <w:spacing w:after="100" w:before="100"/>
        <w:ind w:left="720" w:right="720"/>
      </w:pPr>
      <w:r>
        <w:rPr>
          <w:rFonts w:ascii="Calibri" w:cs="Calibri" w:eastAsia="Calibri" w:hAnsi="Calibri"/>
          <w:i/>
          <w:iCs/>
          <w:color w:val="2A3759"/>
          <w:sz w:val="21"/>
          <w:szCs w:val="21"/>
        </w:rPr>
        <w:t xml:space="preserve">Add: Salmon Poke Bowl. Rationale: "Explicit student request ('Please bring back the poke bowl'), strong salmon tag mentions (4), aligns with high Asian cuisine preference (54 votes) and gluten-free demand (16). Estimated cost-per-serving $4.20, sale price $13.00, daily demand 25-35 servings."</w:t>
      </w:r>
    </w:p>
    <w:p>
      <w:pPr>
        <w:spacing w:after="200" w:before="60"/>
        <w:jc w:val="center"/>
      </w:pPr>
      <w:r>
        <w:rPr>
          <w:rFonts w:ascii="Calibri" w:cs="Calibri" w:eastAsia="Calibri" w:hAnsi="Calibri"/>
          <w:i/>
          <w:iCs/>
          <w:color w:val="8A8A93"/>
          <w:sz w:val="18"/>
          <w:szCs w:val="18"/>
        </w:rPr>
        <w:t xml:space="preserve">Figure 2. Sample add-recommendation from a live brief generation.</w:t>
      </w:r>
    </w:p>
    <w:p>
      <w:pPr>
        <w:spacing w:after="80" w:before="80" w:line="320"/>
        <w:jc w:val="both"/>
      </w:pPr>
      <w:r>
        <w:rPr>
          <w:rFonts w:ascii="Calibri" w:cs="Calibri" w:eastAsia="Calibri" w:hAnsi="Calibri"/>
        </w:rPr>
        <w:t xml:space="preserve">This excerpt is interesting because it is doing real synthesis: it ties one verbatim quote to two structured signals (cuisine preference, dietary count) and grounds the unit economics in our cost table rather than fabricating numbers. The reconciliation step described in Section 2.4 is what guarantees the dollar figures match the cost table — Claude's free-form response is treated as the rationale; the numbers are stamped by the server.</w:t>
      </w:r>
    </w:p>
    <w:p>
      <w:pPr>
        <w:pStyle w:val="Heading2"/>
        <w:spacing w:after="120" w:before="280"/>
      </w:pPr>
      <w:r>
        <w:rPr>
          <w:rFonts w:ascii="Calibri" w:cs="Calibri" w:eastAsia="Calibri" w:hAnsi="Calibri"/>
          <w:b/>
          <w:bCs/>
          <w:color w:val="E85959"/>
          <w:sz w:val="26"/>
          <w:szCs w:val="26"/>
        </w:rPr>
        <w:t xml:space="preserve">3.2 What works</w:t>
      </w:r>
    </w:p>
    <w:p>
      <w:pPr>
        <w:pStyle w:val="ListParagraph"/>
        <w:numPr>
          <w:ilvl w:val="0"/>
          <w:numId w:val="2"/>
        </w:numPr>
        <w:spacing w:after="40" w:before="40" w:line="300"/>
      </w:pPr>
      <w:r>
        <w:rPr>
          <w:rFonts w:ascii="Calibri" w:cs="Calibri" w:eastAsia="Calibri" w:hAnsi="Calibri"/>
        </w:rPr>
        <w:t xml:space="preserve">The two-sided design clarifies the schema. Because the student side has to write a structured Vote or Preference document for every interaction, the manager side gets to read clean, typed signals without parsing. This was a real design unlock: every screen on the manager side falls out almost trivially from existing collections.</w:t>
      </w:r>
    </w:p>
    <w:p>
      <w:pPr>
        <w:pStyle w:val="ListParagraph"/>
        <w:numPr>
          <w:ilvl w:val="0"/>
          <w:numId w:val="2"/>
        </w:numPr>
        <w:spacing w:after="40" w:before="40" w:line="300"/>
      </w:pPr>
      <w:r>
        <w:rPr>
          <w:rFonts w:ascii="Calibri" w:cs="Calibri" w:eastAsia="Calibri" w:hAnsi="Calibri"/>
        </w:rPr>
        <w:t xml:space="preserve">The forecast feels real even though it is a heuristic. The three-input model — survey signal, events, exchange — produces day-by-day numbers that any manager can defend in a conversation with their boss, because each multiplier traces back to a visible row in a visible table. The confidence band makes it honest about uncertainty.</w:t>
      </w:r>
    </w:p>
    <w:p>
      <w:pPr>
        <w:pStyle w:val="ListParagraph"/>
        <w:numPr>
          <w:ilvl w:val="0"/>
          <w:numId w:val="2"/>
        </w:numPr>
        <w:spacing w:after="40" w:before="40" w:line="300"/>
      </w:pPr>
      <w:r>
        <w:rPr>
          <w:rFonts w:ascii="Calibri" w:cs="Calibri" w:eastAsia="Calibri" w:hAnsi="Calibri"/>
        </w:rPr>
        <w:t xml:space="preserve">The Voice-of-Student headline at the top of the brief is the single highest-impact UI element we built. It compresses a week of activity into one sentence the manager can quote in a meeting. We did not anticipate this when we started — the headline started as a throwaway field — and it has become the thing that holds the dashboard together.</w:t>
      </w:r>
    </w:p>
    <w:p>
      <w:pPr>
        <w:pStyle w:val="ListParagraph"/>
        <w:numPr>
          <w:ilvl w:val="0"/>
          <w:numId w:val="2"/>
        </w:numPr>
        <w:spacing w:after="40" w:before="40" w:line="300"/>
      </w:pPr>
      <w:r>
        <w:rPr>
          <w:rFonts w:ascii="Calibri" w:cs="Calibri" w:eastAsia="Calibri" w:hAnsi="Calibri"/>
        </w:rPr>
        <w:t xml:space="preserve">Posters generate in ~12 seconds and look genuinely good. Using DALL-E 3 with a custom prompt template (which the manager can override) consistently produces poster-quality food imagery on the brand palette. The studio interface — featured-item dropdown, vibe chips, aspect dropdown, custom prompt — is the kind of UI nobody at SOM Dining would otherwise have, at any price, until very recently.</w:t>
      </w:r>
    </w:p>
    <w:p>
      <w:pPr>
        <w:pStyle w:val="Heading2"/>
        <w:spacing w:after="120" w:before="280"/>
      </w:pPr>
      <w:r>
        <w:rPr>
          <w:rFonts w:ascii="Calibri" w:cs="Calibri" w:eastAsia="Calibri" w:hAnsi="Calibri"/>
          <w:b/>
          <w:bCs/>
          <w:color w:val="E85959"/>
          <w:sz w:val="26"/>
          <w:szCs w:val="26"/>
        </w:rPr>
        <w:t xml:space="preserve">3.3 What does not work, or is brittle</w:t>
      </w:r>
    </w:p>
    <w:p>
      <w:pPr>
        <w:spacing w:after="80" w:before="80" w:line="320"/>
        <w:jc w:val="both"/>
      </w:pPr>
      <w:r>
        <w:rPr>
          <w:rFonts w:ascii="Calibri" w:cs="Calibri" w:eastAsia="Calibri" w:hAnsi="Calibri"/>
        </w:rPr>
        <w:t xml:space="preserve">Honest critique. Several things are either hacky, missing, or brittle:</w:t>
      </w:r>
    </w:p>
    <w:p>
      <w:pPr>
        <w:pStyle w:val="ListParagraph"/>
        <w:numPr>
          <w:ilvl w:val="0"/>
          <w:numId w:val="2"/>
        </w:numPr>
        <w:spacing w:after="40" w:before="40" w:line="300"/>
      </w:pPr>
      <w:r>
        <w:rPr>
          <w:rFonts w:ascii="Calibri" w:cs="Calibri" w:eastAsia="Calibri" w:hAnsi="Calibri"/>
        </w:rPr>
        <w:t xml:space="preserve">The reaction filtering on the Raw Data page uses a substring match on item ID. The original Reaction model does not store venue directly, so we synthesize the venue association after the fact. It works on seeded data but in production this would need a small schema migration on Hsin-Yuan's side.</w:t>
      </w:r>
    </w:p>
    <w:p>
      <w:pPr>
        <w:pStyle w:val="ListParagraph"/>
        <w:numPr>
          <w:ilvl w:val="0"/>
          <w:numId w:val="2"/>
        </w:numPr>
        <w:spacing w:after="40" w:before="40" w:line="300"/>
      </w:pPr>
      <w:r>
        <w:rPr>
          <w:rFonts w:ascii="Calibri" w:cs="Calibri" w:eastAsia="Calibri" w:hAnsi="Calibri"/>
        </w:rPr>
        <w:t xml:space="preserve">The forecast really is a heuristic, not a model. With one week of input, anything more sophisticated would be a lie. Two design choices help — the confidence label (high/medium/low) is conservative, and the day-by-day breakdown shows the multipliers explicitly so the manager can second-guess us.</w:t>
      </w:r>
    </w:p>
    <w:p>
      <w:pPr>
        <w:pStyle w:val="ListParagraph"/>
        <w:numPr>
          <w:ilvl w:val="0"/>
          <w:numId w:val="2"/>
        </w:numPr>
        <w:spacing w:after="40" w:before="40" w:line="300"/>
      </w:pPr>
      <w:r>
        <w:rPr>
          <w:rFonts w:ascii="Calibri" w:cs="Calibri" w:eastAsia="Calibri" w:hAnsi="Calibri"/>
        </w:rPr>
        <w:t xml:space="preserve">The cost numbers are placeholders. We mark this clearly in the SOP and in the source code, but the dashboard does not surface the placeholder status to the user. In a real deployment we would add a banner: "Costs are illustrative until SOM dining shares real numbers."</w:t>
      </w:r>
    </w:p>
    <w:p>
      <w:pPr>
        <w:pStyle w:val="ListParagraph"/>
        <w:numPr>
          <w:ilvl w:val="0"/>
          <w:numId w:val="2"/>
        </w:numPr>
        <w:spacing w:after="40" w:before="40" w:line="300"/>
      </w:pPr>
      <w:r>
        <w:rPr>
          <w:rFonts w:ascii="Calibri" w:cs="Calibri" w:eastAsia="Calibri" w:hAnsi="Calibri"/>
        </w:rPr>
        <w:t xml:space="preserve">Cold-start latency on Vercel's serverless functions adds about three seconds to the first brief request. We work around this by caching for five minutes, but the first page load of the day will always feel a little slow. Switching from Sonnet to Haiku saved more than this — the bigger speedup came from the model swap, not from infrastructure.</w:t>
      </w:r>
    </w:p>
    <w:p>
      <w:pPr>
        <w:pStyle w:val="ListParagraph"/>
        <w:numPr>
          <w:ilvl w:val="0"/>
          <w:numId w:val="2"/>
        </w:numPr>
        <w:spacing w:after="40" w:before="40" w:line="300"/>
      </w:pPr>
      <w:r>
        <w:rPr>
          <w:rFonts w:ascii="Calibri" w:cs="Calibri" w:eastAsia="Calibri" w:hAnsi="Calibri"/>
        </w:rPr>
        <w:t xml:space="preserve">Vercel deploys initially failed with an unhelpful empty error because my local git author email was a placeholder string that did not belong to any account on the Vercel team. The actual error was buried inside a debug-mode JSON dump. Once we set the author to my Yale email, deploys went through. This consumed forty-five minutes of demo prep and is the kind of operational detail that matters more than people admit when shipping AI products.</w:t>
      </w:r>
    </w:p>
    <w:p>
      <w:pPr>
        <w:pStyle w:val="Heading2"/>
        <w:spacing w:after="120" w:before="280"/>
      </w:pPr>
      <w:r>
        <w:rPr>
          <w:rFonts w:ascii="Calibri" w:cs="Calibri" w:eastAsia="Calibri" w:hAnsi="Calibri"/>
          <w:b/>
          <w:bCs/>
          <w:color w:val="E85959"/>
          <w:sz w:val="26"/>
          <w:szCs w:val="26"/>
        </w:rPr>
        <w:t xml:space="preserve">3.4 Informal testing and feedback</w:t>
      </w:r>
    </w:p>
    <w:p>
      <w:pPr>
        <w:spacing w:after="80" w:before="80" w:line="320"/>
        <w:jc w:val="both"/>
      </w:pPr>
      <w:r>
        <w:rPr>
          <w:rFonts w:ascii="Calibri" w:cs="Calibri" w:eastAsia="Calibri" w:hAnsi="Calibri"/>
        </w:rPr>
        <w:t xml:space="preserve">We seeded twenty-five sessions through Hsin-Yuan's seeder during development. We then ran the live system through three small dogfood passes among teammates, where each person played a different student persona and contributed real free-text. The brief produced from the resulting dataset surfaced three of the four candidate items we had quietly hoped it would surface — including butter chicken, which had appeared as an explicit request in one of the personas — without us hand-tuning the prompt for it. That gave us reasonable confidence that the synthesis pipeline is doing real work and not pattern-matching the system prompt.</w:t>
      </w:r>
    </w:p>
    <w:p>
      <w:pPr>
        <w:spacing w:after="80" w:before="80" w:line="320"/>
        <w:jc w:val="both"/>
      </w:pPr>
      <w:r>
        <w:rPr>
          <w:rFonts w:ascii="Calibri" w:cs="Calibri" w:eastAsia="Calibri" w:hAnsi="Calibri"/>
        </w:rPr>
        <w:t xml:space="preserve">We have not yet run the system in front of real Charley's Place or McNay Cafe staff. The class-day live demo on May 5th will be the first time the system sees genuinely novel input from sixty-plus classmates. If the demo goes the way we expect, we will reach out to SOM Dining about a real pilot in the fall.</w:t>
      </w:r>
    </w:p>
    <w:p>
      <w:pPr>
        <w:pStyle w:val="Heading2"/>
        <w:spacing w:after="120" w:before="280"/>
      </w:pPr>
      <w:r>
        <w:rPr>
          <w:rFonts w:ascii="Calibri" w:cs="Calibri" w:eastAsia="Calibri" w:hAnsi="Calibri"/>
          <w:b/>
          <w:bCs/>
          <w:color w:val="E85959"/>
          <w:sz w:val="26"/>
          <w:szCs w:val="26"/>
        </w:rPr>
        <w:t xml:space="preserve">3.5 Economics</w:t>
      </w:r>
    </w:p>
    <w:p>
      <w:pPr>
        <w:spacing w:after="80" w:before="80" w:line="320"/>
        <w:jc w:val="both"/>
      </w:pPr>
      <w:r>
        <w:rPr>
          <w:rFonts w:ascii="Calibri" w:cs="Calibri" w:eastAsia="Calibri" w:hAnsi="Calibri"/>
        </w:rPr>
        <w:t xml:space="preserve">Rough operating economics, per venue, per month, at our demo's signal volume: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360"/>
      </w:tblGrid>
      <w:tr>
        <w:tc>
          <w:tcPr>
            <w:tcW w:type="dxa" w:w="3000"/>
            <w:tcBorders>
              <w:top w:val="single" w:color="DDD8CC" w:sz="4"/>
              <w:left w:val="single" w:color="DDD8CC" w:sz="4"/>
              <w:bottom w:val="single" w:color="DDD8CC" w:sz="4"/>
              <w:right w:val="single" w:color="DDD8CC" w:sz="4"/>
            </w:tcBorders>
            <w:shd w:fill="1B2845" w:color="auto" w:val="clear"/>
            <w:tcMar>
              <w:top w:type="dxa" w:w="100"/>
              <w:left w:type="dxa" w:w="140"/>
              <w:bottom w:type="dxa" w:w="100"/>
              <w:right w:type="dxa" w:w="140"/>
            </w:tcMar>
          </w:tcPr>
          <w:p>
            <w:r>
              <w:rPr>
                <w:rFonts w:ascii="Calibri" w:cs="Calibri" w:eastAsia="Calibri" w:hAnsi="Calibri"/>
                <w:b/>
                <w:bCs/>
                <w:color w:val="FFFFFF"/>
                <w:sz w:val="20"/>
                <w:szCs w:val="20"/>
              </w:rPr>
              <w:t xml:space="preserve">Line item</w:t>
            </w:r>
          </w:p>
        </w:tc>
        <w:tc>
          <w:tcPr>
            <w:tcW w:type="dxa" w:w="4000"/>
            <w:tcBorders>
              <w:top w:val="single" w:color="DDD8CC" w:sz="4"/>
              <w:left w:val="single" w:color="DDD8CC" w:sz="4"/>
              <w:bottom w:val="single" w:color="DDD8CC" w:sz="4"/>
              <w:right w:val="single" w:color="DDD8CC" w:sz="4"/>
            </w:tcBorders>
            <w:shd w:fill="1B2845" w:color="auto" w:val="clear"/>
            <w:tcMar>
              <w:top w:type="dxa" w:w="100"/>
              <w:left w:type="dxa" w:w="140"/>
              <w:bottom w:type="dxa" w:w="100"/>
              <w:right w:type="dxa" w:w="140"/>
            </w:tcMar>
          </w:tcPr>
          <w:p>
            <w:r>
              <w:rPr>
                <w:rFonts w:ascii="Calibri" w:cs="Calibri" w:eastAsia="Calibri" w:hAnsi="Calibri"/>
                <w:b/>
                <w:bCs/>
                <w:color w:val="FFFFFF"/>
                <w:sz w:val="20"/>
                <w:szCs w:val="20"/>
              </w:rPr>
              <w:t xml:space="preserve">Cost driver</w:t>
            </w:r>
          </w:p>
        </w:tc>
        <w:tc>
          <w:tcPr>
            <w:tcW w:type="dxa" w:w="2360"/>
            <w:tcBorders>
              <w:top w:val="single" w:color="DDD8CC" w:sz="4"/>
              <w:left w:val="single" w:color="DDD8CC" w:sz="4"/>
              <w:bottom w:val="single" w:color="DDD8CC" w:sz="4"/>
              <w:right w:val="single" w:color="DDD8CC" w:sz="4"/>
            </w:tcBorders>
            <w:shd w:fill="1B2845" w:color="auto" w:val="clear"/>
            <w:tcMar>
              <w:top w:type="dxa" w:w="100"/>
              <w:left w:type="dxa" w:w="140"/>
              <w:bottom w:type="dxa" w:w="100"/>
              <w:right w:type="dxa" w:w="140"/>
            </w:tcMar>
          </w:tcPr>
          <w:p>
            <w:r>
              <w:rPr>
                <w:rFonts w:ascii="Calibri" w:cs="Calibri" w:eastAsia="Calibri" w:hAnsi="Calibri"/>
                <w:b/>
                <w:bCs/>
                <w:color w:val="FFFFFF"/>
                <w:sz w:val="20"/>
                <w:szCs w:val="20"/>
              </w:rPr>
              <w:t xml:space="preserve">Estimated monthly $</w:t>
            </w:r>
          </w:p>
        </w:tc>
      </w:tr>
      <w:tr>
        <w:tc>
          <w:tcPr>
            <w:tcW w:type="dxa" w:w="3000"/>
            <w:tcBorders>
              <w:top w:val="single" w:color="DDD8CC" w:sz="4"/>
              <w:left w:val="single" w:color="DDD8CC" w:sz="4"/>
              <w:bottom w:val="single" w:color="DDD8CC" w:sz="4"/>
              <w:right w:val="single" w:color="DDD8CC" w:sz="4"/>
            </w:tcBorders>
            <w:shd w:fill="FFFFFF" w:color="auto" w:val="clear"/>
            <w:tcMar>
              <w:top w:type="dxa" w:w="100"/>
              <w:left w:type="dxa" w:w="140"/>
              <w:bottom w:type="dxa" w:w="100"/>
              <w:right w:type="dxa" w:w="140"/>
            </w:tcMar>
          </w:tcPr>
          <w:p>
            <w:r>
              <w:rPr>
                <w:rFonts w:ascii="Calibri" w:cs="Calibri" w:eastAsia="Calibri" w:hAnsi="Calibri"/>
                <w:b w:val="false"/>
                <w:bCs w:val="false"/>
                <w:color w:val="1B2845"/>
                <w:sz w:val="20"/>
                <w:szCs w:val="20"/>
              </w:rPr>
              <w:t xml:space="preserve">Claude Haiku — student chat</w:t>
            </w:r>
          </w:p>
        </w:tc>
        <w:tc>
          <w:tcPr>
            <w:tcW w:type="dxa" w:w="4000"/>
            <w:tcBorders>
              <w:top w:val="single" w:color="DDD8CC" w:sz="4"/>
              <w:left w:val="single" w:color="DDD8CC" w:sz="4"/>
              <w:bottom w:val="single" w:color="DDD8CC" w:sz="4"/>
              <w:right w:val="single" w:color="DDD8CC" w:sz="4"/>
            </w:tcBorders>
            <w:shd w:fill="FFFFFF" w:color="auto" w:val="clear"/>
            <w:tcMar>
              <w:top w:type="dxa" w:w="100"/>
              <w:left w:type="dxa" w:w="140"/>
              <w:bottom w:type="dxa" w:w="100"/>
              <w:right w:type="dxa" w:w="140"/>
            </w:tcMar>
          </w:tcPr>
          <w:p>
            <w:r>
              <w:rPr>
                <w:rFonts w:ascii="Calibri" w:cs="Calibri" w:eastAsia="Calibri" w:hAnsi="Calibri"/>
                <w:b w:val="false"/>
                <w:bCs w:val="false"/>
                <w:color w:val="1B2845"/>
                <w:sz w:val="20"/>
                <w:szCs w:val="20"/>
              </w:rPr>
              <w:t xml:space="preserve">~25 conversations/day × ~2k tokens</w:t>
            </w:r>
          </w:p>
        </w:tc>
        <w:tc>
          <w:tcPr>
            <w:tcW w:type="dxa" w:w="2360"/>
            <w:tcBorders>
              <w:top w:val="single" w:color="DDD8CC" w:sz="4"/>
              <w:left w:val="single" w:color="DDD8CC" w:sz="4"/>
              <w:bottom w:val="single" w:color="DDD8CC" w:sz="4"/>
              <w:right w:val="single" w:color="DDD8CC" w:sz="4"/>
            </w:tcBorders>
            <w:shd w:fill="FFFFFF" w:color="auto" w:val="clear"/>
            <w:tcMar>
              <w:top w:type="dxa" w:w="100"/>
              <w:left w:type="dxa" w:w="140"/>
              <w:bottom w:type="dxa" w:w="100"/>
              <w:right w:type="dxa" w:w="140"/>
            </w:tcMar>
          </w:tcPr>
          <w:p>
            <w:r>
              <w:rPr>
                <w:rFonts w:ascii="Calibri" w:cs="Calibri" w:eastAsia="Calibri" w:hAnsi="Calibri"/>
                <w:b w:val="false"/>
                <w:bCs w:val="false"/>
                <w:color w:val="1B2845"/>
                <w:sz w:val="20"/>
                <w:szCs w:val="20"/>
              </w:rPr>
              <w:t xml:space="preserve">$3 - $5</w:t>
            </w:r>
          </w:p>
        </w:tc>
      </w:tr>
      <w:tr>
        <w:tc>
          <w:tcPr>
            <w:tcW w:type="dxa" w:w="3000"/>
            <w:tcBorders>
              <w:top w:val="single" w:color="DDD8CC" w:sz="4"/>
              <w:left w:val="single" w:color="DDD8CC" w:sz="4"/>
              <w:bottom w:val="single" w:color="DDD8CC" w:sz="4"/>
              <w:right w:val="single" w:color="DDD8CC" w:sz="4"/>
            </w:tcBorders>
            <w:shd w:fill="FFFFFF" w:color="auto" w:val="clear"/>
            <w:tcMar>
              <w:top w:type="dxa" w:w="100"/>
              <w:left w:type="dxa" w:w="140"/>
              <w:bottom w:type="dxa" w:w="100"/>
              <w:right w:type="dxa" w:w="140"/>
            </w:tcMar>
          </w:tcPr>
          <w:p>
            <w:r>
              <w:rPr>
                <w:rFonts w:ascii="Calibri" w:cs="Calibri" w:eastAsia="Calibri" w:hAnsi="Calibri"/>
                <w:b w:val="false"/>
                <w:bCs w:val="false"/>
                <w:color w:val="1B2845"/>
                <w:sz w:val="20"/>
                <w:szCs w:val="20"/>
              </w:rPr>
              <w:t xml:space="preserve">Claude Haiku — ops brief</w:t>
            </w:r>
          </w:p>
        </w:tc>
        <w:tc>
          <w:tcPr>
            <w:tcW w:type="dxa" w:w="4000"/>
            <w:tcBorders>
              <w:top w:val="single" w:color="DDD8CC" w:sz="4"/>
              <w:left w:val="single" w:color="DDD8CC" w:sz="4"/>
              <w:bottom w:val="single" w:color="DDD8CC" w:sz="4"/>
              <w:right w:val="single" w:color="DDD8CC" w:sz="4"/>
            </w:tcBorders>
            <w:shd w:fill="FFFFFF" w:color="auto" w:val="clear"/>
            <w:tcMar>
              <w:top w:type="dxa" w:w="100"/>
              <w:left w:type="dxa" w:w="140"/>
              <w:bottom w:type="dxa" w:w="100"/>
              <w:right w:type="dxa" w:w="140"/>
            </w:tcMar>
          </w:tcPr>
          <w:p>
            <w:r>
              <w:rPr>
                <w:rFonts w:ascii="Calibri" w:cs="Calibri" w:eastAsia="Calibri" w:hAnsi="Calibri"/>
                <w:b w:val="false"/>
                <w:bCs w:val="false"/>
                <w:color w:val="1B2845"/>
                <w:sz w:val="20"/>
                <w:szCs w:val="20"/>
              </w:rPr>
              <w:t xml:space="preserve">~30 brief generations/day × ~3k tokens (cached system prompt)</w:t>
            </w:r>
          </w:p>
        </w:tc>
        <w:tc>
          <w:tcPr>
            <w:tcW w:type="dxa" w:w="2360"/>
            <w:tcBorders>
              <w:top w:val="single" w:color="DDD8CC" w:sz="4"/>
              <w:left w:val="single" w:color="DDD8CC" w:sz="4"/>
              <w:bottom w:val="single" w:color="DDD8CC" w:sz="4"/>
              <w:right w:val="single" w:color="DDD8CC" w:sz="4"/>
            </w:tcBorders>
            <w:shd w:fill="FFFFFF" w:color="auto" w:val="clear"/>
            <w:tcMar>
              <w:top w:type="dxa" w:w="100"/>
              <w:left w:type="dxa" w:w="140"/>
              <w:bottom w:type="dxa" w:w="100"/>
              <w:right w:type="dxa" w:w="140"/>
            </w:tcMar>
          </w:tcPr>
          <w:p>
            <w:r>
              <w:rPr>
                <w:rFonts w:ascii="Calibri" w:cs="Calibri" w:eastAsia="Calibri" w:hAnsi="Calibri"/>
                <w:b w:val="false"/>
                <w:bCs w:val="false"/>
                <w:color w:val="1B2845"/>
                <w:sz w:val="20"/>
                <w:szCs w:val="20"/>
              </w:rPr>
              <w:t xml:space="preserve">$2 - $4</w:t>
            </w:r>
          </w:p>
        </w:tc>
      </w:tr>
      <w:tr>
        <w:tc>
          <w:tcPr>
            <w:tcW w:type="dxa" w:w="3000"/>
            <w:tcBorders>
              <w:top w:val="single" w:color="DDD8CC" w:sz="4"/>
              <w:left w:val="single" w:color="DDD8CC" w:sz="4"/>
              <w:bottom w:val="single" w:color="DDD8CC" w:sz="4"/>
              <w:right w:val="single" w:color="DDD8CC" w:sz="4"/>
            </w:tcBorders>
            <w:shd w:fill="FFFFFF" w:color="auto" w:val="clear"/>
            <w:tcMar>
              <w:top w:type="dxa" w:w="100"/>
              <w:left w:type="dxa" w:w="140"/>
              <w:bottom w:type="dxa" w:w="100"/>
              <w:right w:type="dxa" w:w="140"/>
            </w:tcMar>
          </w:tcPr>
          <w:p>
            <w:r>
              <w:rPr>
                <w:rFonts w:ascii="Calibri" w:cs="Calibri" w:eastAsia="Calibri" w:hAnsi="Calibri"/>
                <w:b w:val="false"/>
                <w:bCs w:val="false"/>
                <w:color w:val="1B2845"/>
                <w:sz w:val="20"/>
                <w:szCs w:val="20"/>
              </w:rPr>
              <w:t xml:space="preserve">DALL-E 3 — posters</w:t>
            </w:r>
          </w:p>
        </w:tc>
        <w:tc>
          <w:tcPr>
            <w:tcW w:type="dxa" w:w="4000"/>
            <w:tcBorders>
              <w:top w:val="single" w:color="DDD8CC" w:sz="4"/>
              <w:left w:val="single" w:color="DDD8CC" w:sz="4"/>
              <w:bottom w:val="single" w:color="DDD8CC" w:sz="4"/>
              <w:right w:val="single" w:color="DDD8CC" w:sz="4"/>
            </w:tcBorders>
            <w:shd w:fill="FFFFFF" w:color="auto" w:val="clear"/>
            <w:tcMar>
              <w:top w:type="dxa" w:w="100"/>
              <w:left w:type="dxa" w:w="140"/>
              <w:bottom w:type="dxa" w:w="100"/>
              <w:right w:type="dxa" w:w="140"/>
            </w:tcMar>
          </w:tcPr>
          <w:p>
            <w:r>
              <w:rPr>
                <w:rFonts w:ascii="Calibri" w:cs="Calibri" w:eastAsia="Calibri" w:hAnsi="Calibri"/>
                <w:b w:val="false"/>
                <w:bCs w:val="false"/>
                <w:color w:val="1B2845"/>
                <w:sz w:val="20"/>
                <w:szCs w:val="20"/>
              </w:rPr>
              <w:t xml:space="preserve">~5 generations/week × $0.12 HD portrait</w:t>
            </w:r>
          </w:p>
        </w:tc>
        <w:tc>
          <w:tcPr>
            <w:tcW w:type="dxa" w:w="2360"/>
            <w:tcBorders>
              <w:top w:val="single" w:color="DDD8CC" w:sz="4"/>
              <w:left w:val="single" w:color="DDD8CC" w:sz="4"/>
              <w:bottom w:val="single" w:color="DDD8CC" w:sz="4"/>
              <w:right w:val="single" w:color="DDD8CC" w:sz="4"/>
            </w:tcBorders>
            <w:shd w:fill="FFFFFF" w:color="auto" w:val="clear"/>
            <w:tcMar>
              <w:top w:type="dxa" w:w="100"/>
              <w:left w:type="dxa" w:w="140"/>
              <w:bottom w:type="dxa" w:w="100"/>
              <w:right w:type="dxa" w:w="140"/>
            </w:tcMar>
          </w:tcPr>
          <w:p>
            <w:r>
              <w:rPr>
                <w:rFonts w:ascii="Calibri" w:cs="Calibri" w:eastAsia="Calibri" w:hAnsi="Calibri"/>
                <w:b w:val="false"/>
                <w:bCs w:val="false"/>
                <w:color w:val="1B2845"/>
                <w:sz w:val="20"/>
                <w:szCs w:val="20"/>
              </w:rPr>
              <w:t xml:space="preserve">$2 - $3</w:t>
            </w:r>
          </w:p>
        </w:tc>
      </w:tr>
      <w:tr>
        <w:tc>
          <w:tcPr>
            <w:tcW w:type="dxa" w:w="3000"/>
            <w:tcBorders>
              <w:top w:val="single" w:color="DDD8CC" w:sz="4"/>
              <w:left w:val="single" w:color="DDD8CC" w:sz="4"/>
              <w:bottom w:val="single" w:color="DDD8CC" w:sz="4"/>
              <w:right w:val="single" w:color="DDD8CC" w:sz="4"/>
            </w:tcBorders>
            <w:shd w:fill="FFFFFF" w:color="auto" w:val="clear"/>
            <w:tcMar>
              <w:top w:type="dxa" w:w="100"/>
              <w:left w:type="dxa" w:w="140"/>
              <w:bottom w:type="dxa" w:w="100"/>
              <w:right w:type="dxa" w:w="140"/>
            </w:tcMar>
          </w:tcPr>
          <w:p>
            <w:r>
              <w:rPr>
                <w:rFonts w:ascii="Calibri" w:cs="Calibri" w:eastAsia="Calibri" w:hAnsi="Calibri"/>
                <w:b w:val="false"/>
                <w:bCs w:val="false"/>
                <w:color w:val="1B2845"/>
                <w:sz w:val="20"/>
                <w:szCs w:val="20"/>
              </w:rPr>
              <w:t xml:space="preserve">MongoDB Atlas</w:t>
            </w:r>
          </w:p>
        </w:tc>
        <w:tc>
          <w:tcPr>
            <w:tcW w:type="dxa" w:w="4000"/>
            <w:tcBorders>
              <w:top w:val="single" w:color="DDD8CC" w:sz="4"/>
              <w:left w:val="single" w:color="DDD8CC" w:sz="4"/>
              <w:bottom w:val="single" w:color="DDD8CC" w:sz="4"/>
              <w:right w:val="single" w:color="DDD8CC" w:sz="4"/>
            </w:tcBorders>
            <w:shd w:fill="FFFFFF" w:color="auto" w:val="clear"/>
            <w:tcMar>
              <w:top w:type="dxa" w:w="100"/>
              <w:left w:type="dxa" w:w="140"/>
              <w:bottom w:type="dxa" w:w="100"/>
              <w:right w:type="dxa" w:w="140"/>
            </w:tcMar>
          </w:tcPr>
          <w:p>
            <w:r>
              <w:rPr>
                <w:rFonts w:ascii="Calibri" w:cs="Calibri" w:eastAsia="Calibri" w:hAnsi="Calibri"/>
                <w:b w:val="false"/>
                <w:bCs w:val="false"/>
                <w:color w:val="1B2845"/>
                <w:sz w:val="20"/>
                <w:szCs w:val="20"/>
              </w:rPr>
              <w:t xml:space="preserve">Free tier (M0)</w:t>
            </w:r>
          </w:p>
        </w:tc>
        <w:tc>
          <w:tcPr>
            <w:tcW w:type="dxa" w:w="2360"/>
            <w:tcBorders>
              <w:top w:val="single" w:color="DDD8CC" w:sz="4"/>
              <w:left w:val="single" w:color="DDD8CC" w:sz="4"/>
              <w:bottom w:val="single" w:color="DDD8CC" w:sz="4"/>
              <w:right w:val="single" w:color="DDD8CC" w:sz="4"/>
            </w:tcBorders>
            <w:shd w:fill="FFFFFF" w:color="auto" w:val="clear"/>
            <w:tcMar>
              <w:top w:type="dxa" w:w="100"/>
              <w:left w:type="dxa" w:w="140"/>
              <w:bottom w:type="dxa" w:w="100"/>
              <w:right w:type="dxa" w:w="140"/>
            </w:tcMar>
          </w:tcPr>
          <w:p>
            <w:r>
              <w:rPr>
                <w:rFonts w:ascii="Calibri" w:cs="Calibri" w:eastAsia="Calibri" w:hAnsi="Calibri"/>
                <w:b w:val="false"/>
                <w:bCs w:val="false"/>
                <w:color w:val="1B2845"/>
                <w:sz w:val="20"/>
                <w:szCs w:val="20"/>
              </w:rPr>
              <w:t xml:space="preserve">$0</w:t>
            </w:r>
          </w:p>
        </w:tc>
      </w:tr>
      <w:tr>
        <w:tc>
          <w:tcPr>
            <w:tcW w:type="dxa" w:w="3000"/>
            <w:tcBorders>
              <w:top w:val="single" w:color="DDD8CC" w:sz="4"/>
              <w:left w:val="single" w:color="DDD8CC" w:sz="4"/>
              <w:bottom w:val="single" w:color="DDD8CC" w:sz="4"/>
              <w:right w:val="single" w:color="DDD8CC" w:sz="4"/>
            </w:tcBorders>
            <w:shd w:fill="FFFFFF" w:color="auto" w:val="clear"/>
            <w:tcMar>
              <w:top w:type="dxa" w:w="100"/>
              <w:left w:type="dxa" w:w="140"/>
              <w:bottom w:type="dxa" w:w="100"/>
              <w:right w:type="dxa" w:w="140"/>
            </w:tcMar>
          </w:tcPr>
          <w:p>
            <w:r>
              <w:rPr>
                <w:rFonts w:ascii="Calibri" w:cs="Calibri" w:eastAsia="Calibri" w:hAnsi="Calibri"/>
                <w:b w:val="false"/>
                <w:bCs w:val="false"/>
                <w:color w:val="1B2845"/>
                <w:sz w:val="20"/>
                <w:szCs w:val="20"/>
              </w:rPr>
              <w:t xml:space="preserve">Vercel hosting</w:t>
            </w:r>
          </w:p>
        </w:tc>
        <w:tc>
          <w:tcPr>
            <w:tcW w:type="dxa" w:w="4000"/>
            <w:tcBorders>
              <w:top w:val="single" w:color="DDD8CC" w:sz="4"/>
              <w:left w:val="single" w:color="DDD8CC" w:sz="4"/>
              <w:bottom w:val="single" w:color="DDD8CC" w:sz="4"/>
              <w:right w:val="single" w:color="DDD8CC" w:sz="4"/>
            </w:tcBorders>
            <w:shd w:fill="FFFFFF" w:color="auto" w:val="clear"/>
            <w:tcMar>
              <w:top w:type="dxa" w:w="100"/>
              <w:left w:type="dxa" w:w="140"/>
              <w:bottom w:type="dxa" w:w="100"/>
              <w:right w:type="dxa" w:w="140"/>
            </w:tcMar>
          </w:tcPr>
          <w:p>
            <w:r>
              <w:rPr>
                <w:rFonts w:ascii="Calibri" w:cs="Calibri" w:eastAsia="Calibri" w:hAnsi="Calibri"/>
                <w:b w:val="false"/>
                <w:bCs w:val="false"/>
                <w:color w:val="1B2845"/>
                <w:sz w:val="20"/>
                <w:szCs w:val="20"/>
              </w:rPr>
              <w:t xml:space="preserve">Hobby plan</w:t>
            </w:r>
          </w:p>
        </w:tc>
        <w:tc>
          <w:tcPr>
            <w:tcW w:type="dxa" w:w="2360"/>
            <w:tcBorders>
              <w:top w:val="single" w:color="DDD8CC" w:sz="4"/>
              <w:left w:val="single" w:color="DDD8CC" w:sz="4"/>
              <w:bottom w:val="single" w:color="DDD8CC" w:sz="4"/>
              <w:right w:val="single" w:color="DDD8CC" w:sz="4"/>
            </w:tcBorders>
            <w:shd w:fill="FFFFFF" w:color="auto" w:val="clear"/>
            <w:tcMar>
              <w:top w:type="dxa" w:w="100"/>
              <w:left w:type="dxa" w:w="140"/>
              <w:bottom w:type="dxa" w:w="100"/>
              <w:right w:type="dxa" w:w="140"/>
            </w:tcMar>
          </w:tcPr>
          <w:p>
            <w:r>
              <w:rPr>
                <w:rFonts w:ascii="Calibri" w:cs="Calibri" w:eastAsia="Calibri" w:hAnsi="Calibri"/>
                <w:b w:val="false"/>
                <w:bCs w:val="false"/>
                <w:color w:val="1B2845"/>
                <w:sz w:val="20"/>
                <w:szCs w:val="20"/>
              </w:rPr>
              <w:t xml:space="preserve">$0</w:t>
            </w:r>
          </w:p>
        </w:tc>
      </w:tr>
      <w:tr>
        <w:tc>
          <w:tcPr>
            <w:tcW w:type="dxa" w:w="3000"/>
            <w:tcBorders>
              <w:top w:val="single" w:color="DDD8CC" w:sz="4"/>
              <w:left w:val="single" w:color="DDD8CC" w:sz="4"/>
              <w:bottom w:val="single" w:color="DDD8CC" w:sz="4"/>
              <w:right w:val="single" w:color="DDD8CC" w:sz="4"/>
            </w:tcBorders>
            <w:shd w:fill="FFFFFF" w:color="auto" w:val="clear"/>
            <w:tcMar>
              <w:top w:type="dxa" w:w="100"/>
              <w:left w:type="dxa" w:w="140"/>
              <w:bottom w:type="dxa" w:w="100"/>
              <w:right w:type="dxa" w:w="140"/>
            </w:tcMar>
          </w:tcPr>
          <w:p>
            <w:r>
              <w:rPr>
                <w:rFonts w:ascii="Calibri" w:cs="Calibri" w:eastAsia="Calibri" w:hAnsi="Calibri"/>
                <w:b w:val="false"/>
                <w:bCs w:val="false"/>
                <w:color w:val="1B2845"/>
                <w:sz w:val="20"/>
                <w:szCs w:val="20"/>
              </w:rPr>
              <w:t xml:space="preserve">Total</w:t>
            </w:r>
          </w:p>
        </w:tc>
        <w:tc>
          <w:tcPr>
            <w:tcW w:type="dxa" w:w="4000"/>
            <w:tcBorders>
              <w:top w:val="single" w:color="DDD8CC" w:sz="4"/>
              <w:left w:val="single" w:color="DDD8CC" w:sz="4"/>
              <w:bottom w:val="single" w:color="DDD8CC" w:sz="4"/>
              <w:right w:val="single" w:color="DDD8CC" w:sz="4"/>
            </w:tcBorders>
            <w:shd w:fill="FFFFFF" w:color="auto" w:val="clear"/>
            <w:tcMar>
              <w:top w:type="dxa" w:w="100"/>
              <w:left w:type="dxa" w:w="140"/>
              <w:bottom w:type="dxa" w:w="100"/>
              <w:right w:type="dxa" w:w="140"/>
            </w:tcMar>
          </w:tcPr>
          <w:p>
            <w:r>
              <w:rPr>
                <w:rFonts w:ascii="Calibri" w:cs="Calibri" w:eastAsia="Calibri" w:hAnsi="Calibri"/>
                <w:b w:val="false"/>
                <w:bCs w:val="false"/>
                <w:color w:val="1B2845"/>
                <w:sz w:val="20"/>
                <w:szCs w:val="20"/>
              </w:rPr>
              <w:t xml:space="preserve">Per venue, demo-volume</w:t>
            </w:r>
          </w:p>
        </w:tc>
        <w:tc>
          <w:tcPr>
            <w:tcW w:type="dxa" w:w="2360"/>
            <w:tcBorders>
              <w:top w:val="single" w:color="DDD8CC" w:sz="4"/>
              <w:left w:val="single" w:color="DDD8CC" w:sz="4"/>
              <w:bottom w:val="single" w:color="DDD8CC" w:sz="4"/>
              <w:right w:val="single" w:color="DDD8CC" w:sz="4"/>
            </w:tcBorders>
            <w:shd w:fill="FFFFFF" w:color="auto" w:val="clear"/>
            <w:tcMar>
              <w:top w:type="dxa" w:w="100"/>
              <w:left w:type="dxa" w:w="140"/>
              <w:bottom w:type="dxa" w:w="100"/>
              <w:right w:type="dxa" w:w="140"/>
            </w:tcMar>
          </w:tcPr>
          <w:p>
            <w:r>
              <w:rPr>
                <w:rFonts w:ascii="Calibri" w:cs="Calibri" w:eastAsia="Calibri" w:hAnsi="Calibri"/>
                <w:b w:val="false"/>
                <w:bCs w:val="false"/>
                <w:color w:val="1B2845"/>
                <w:sz w:val="20"/>
                <w:szCs w:val="20"/>
              </w:rPr>
              <w:t xml:space="preserve">$7 - $12</w:t>
            </w:r>
          </w:p>
        </w:tc>
      </w:tr>
    </w:tbl>
    <w:p>
      <w:pPr>
        <w:spacing w:after="200" w:before="60"/>
        <w:jc w:val="center"/>
      </w:pPr>
      <w:r>
        <w:rPr>
          <w:rFonts w:ascii="Calibri" w:cs="Calibri" w:eastAsia="Calibri" w:hAnsi="Calibri"/>
          <w:i/>
          <w:iCs/>
          <w:color w:val="8A8A93"/>
          <w:sz w:val="18"/>
          <w:szCs w:val="18"/>
        </w:rPr>
        <w:t xml:space="preserve">Table 2. Operating cost estimate at demo signal volume.</w:t>
      </w:r>
    </w:p>
    <w:p>
      <w:pPr>
        <w:spacing w:after="80" w:before="80" w:line="320"/>
        <w:jc w:val="both"/>
      </w:pPr>
      <w:r>
        <w:rPr>
          <w:rFonts w:ascii="Calibri" w:cs="Calibri" w:eastAsia="Calibri" w:hAnsi="Calibri"/>
        </w:rPr>
        <w:t xml:space="preserve">These numbers are deliberately generous. At real campus scale (call it 1,000 student interactions per day across both venues), text spend would still come in well under $50/month per venue, and the dominant cost would shift toward image generation if managers used it heavily. If we offered the system commercially to a college dining-services contractor like Compass or Aramark, a price of $200-400/venue/month would still be ~80% margin and would land below the noise floor of typical campus IT line items.</w:t>
      </w:r>
    </w:p>
    <w:p>
      <w:pPr>
        <w:pStyle w:val="Heading2"/>
        <w:spacing w:after="120" w:before="280"/>
      </w:pPr>
      <w:r>
        <w:rPr>
          <w:rFonts w:ascii="Calibri" w:cs="Calibri" w:eastAsia="Calibri" w:hAnsi="Calibri"/>
          <w:b/>
          <w:bCs/>
          <w:color w:val="E85959"/>
          <w:sz w:val="26"/>
          <w:szCs w:val="26"/>
        </w:rPr>
        <w:t xml:space="preserve">3.6 Competitive landscape</w:t>
      </w:r>
    </w:p>
    <w:p>
      <w:pPr>
        <w:spacing w:after="80" w:before="80" w:line="320"/>
        <w:jc w:val="both"/>
      </w:pPr>
      <w:r>
        <w:rPr>
          <w:rFonts w:ascii="Calibri" w:cs="Calibri" w:eastAsia="Calibri" w:hAnsi="Calibri"/>
        </w:rPr>
        <w:t xml:space="preserve">There is no direct one-to-one competitor that combines a student-input channel with an AI-generated daily ops brief. The closest comparables, and how YoSOM differs: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DDD8CC" w:sz="4"/>
              <w:left w:val="single" w:color="DDD8CC" w:sz="4"/>
              <w:bottom w:val="single" w:color="DDD8CC" w:sz="4"/>
              <w:right w:val="single" w:color="DDD8CC" w:sz="4"/>
            </w:tcBorders>
            <w:shd w:fill="1B2845" w:color="auto" w:val="clear"/>
            <w:tcMar>
              <w:top w:type="dxa" w:w="100"/>
              <w:left w:type="dxa" w:w="140"/>
              <w:bottom w:type="dxa" w:w="100"/>
              <w:right w:type="dxa" w:w="140"/>
            </w:tcMar>
          </w:tcPr>
          <w:p>
            <w:r>
              <w:rPr>
                <w:rFonts w:ascii="Calibri" w:cs="Calibri" w:eastAsia="Calibri" w:hAnsi="Calibri"/>
                <w:b/>
                <w:bCs/>
                <w:color w:val="FFFFFF"/>
                <w:sz w:val="20"/>
                <w:szCs w:val="20"/>
              </w:rPr>
              <w:t xml:space="preserve">Comparable</w:t>
            </w:r>
          </w:p>
        </w:tc>
        <w:tc>
          <w:tcPr>
            <w:tcW w:type="dxa" w:w="3360"/>
            <w:tcBorders>
              <w:top w:val="single" w:color="DDD8CC" w:sz="4"/>
              <w:left w:val="single" w:color="DDD8CC" w:sz="4"/>
              <w:bottom w:val="single" w:color="DDD8CC" w:sz="4"/>
              <w:right w:val="single" w:color="DDD8CC" w:sz="4"/>
            </w:tcBorders>
            <w:shd w:fill="1B2845" w:color="auto" w:val="clear"/>
            <w:tcMar>
              <w:top w:type="dxa" w:w="100"/>
              <w:left w:type="dxa" w:w="140"/>
              <w:bottom w:type="dxa" w:w="100"/>
              <w:right w:type="dxa" w:w="140"/>
            </w:tcMar>
          </w:tcPr>
          <w:p>
            <w:r>
              <w:rPr>
                <w:rFonts w:ascii="Calibri" w:cs="Calibri" w:eastAsia="Calibri" w:hAnsi="Calibri"/>
                <w:b/>
                <w:bCs/>
                <w:color w:val="FFFFFF"/>
                <w:sz w:val="20"/>
                <w:szCs w:val="20"/>
              </w:rPr>
              <w:t xml:space="preserve">What it does</w:t>
            </w:r>
          </w:p>
        </w:tc>
        <w:tc>
          <w:tcPr>
            <w:tcW w:type="dxa" w:w="3600"/>
            <w:tcBorders>
              <w:top w:val="single" w:color="DDD8CC" w:sz="4"/>
              <w:left w:val="single" w:color="DDD8CC" w:sz="4"/>
              <w:bottom w:val="single" w:color="DDD8CC" w:sz="4"/>
              <w:right w:val="single" w:color="DDD8CC" w:sz="4"/>
            </w:tcBorders>
            <w:shd w:fill="1B2845" w:color="auto" w:val="clear"/>
            <w:tcMar>
              <w:top w:type="dxa" w:w="100"/>
              <w:left w:type="dxa" w:w="140"/>
              <w:bottom w:type="dxa" w:w="100"/>
              <w:right w:type="dxa" w:w="140"/>
            </w:tcMar>
          </w:tcPr>
          <w:p>
            <w:r>
              <w:rPr>
                <w:rFonts w:ascii="Calibri" w:cs="Calibri" w:eastAsia="Calibri" w:hAnsi="Calibri"/>
                <w:b/>
                <w:bCs/>
                <w:color w:val="FFFFFF"/>
                <w:sz w:val="20"/>
                <w:szCs w:val="20"/>
              </w:rPr>
              <w:t xml:space="preserve">How YoSOM differs</w:t>
            </w:r>
          </w:p>
        </w:tc>
      </w:tr>
      <w:tr>
        <w:tc>
          <w:tcPr>
            <w:tcW w:type="dxa" w:w="2400"/>
            <w:tcBorders>
              <w:top w:val="single" w:color="DDD8CC" w:sz="4"/>
              <w:left w:val="single" w:color="DDD8CC" w:sz="4"/>
              <w:bottom w:val="single" w:color="DDD8CC" w:sz="4"/>
              <w:right w:val="single" w:color="DDD8CC" w:sz="4"/>
            </w:tcBorders>
            <w:shd w:fill="FFFFFF" w:color="auto" w:val="clear"/>
            <w:tcMar>
              <w:top w:type="dxa" w:w="100"/>
              <w:left w:type="dxa" w:w="140"/>
              <w:bottom w:type="dxa" w:w="100"/>
              <w:right w:type="dxa" w:w="140"/>
            </w:tcMar>
          </w:tcPr>
          <w:p>
            <w:r>
              <w:rPr>
                <w:rFonts w:ascii="Calibri" w:cs="Calibri" w:eastAsia="Calibri" w:hAnsi="Calibri"/>
                <w:b w:val="false"/>
                <w:bCs w:val="false"/>
                <w:color w:val="1B2845"/>
                <w:sz w:val="20"/>
                <w:szCs w:val="20"/>
              </w:rPr>
              <w:t xml:space="preserve">Internal analytics from contractors (Compass Group, Aramark, Bon Appetit Management)</w:t>
            </w:r>
          </w:p>
        </w:tc>
        <w:tc>
          <w:tcPr>
            <w:tcW w:type="dxa" w:w="3360"/>
            <w:tcBorders>
              <w:top w:val="single" w:color="DDD8CC" w:sz="4"/>
              <w:left w:val="single" w:color="DDD8CC" w:sz="4"/>
              <w:bottom w:val="single" w:color="DDD8CC" w:sz="4"/>
              <w:right w:val="single" w:color="DDD8CC" w:sz="4"/>
            </w:tcBorders>
            <w:shd w:fill="FFFFFF" w:color="auto" w:val="clear"/>
            <w:tcMar>
              <w:top w:type="dxa" w:w="100"/>
              <w:left w:type="dxa" w:w="140"/>
              <w:bottom w:type="dxa" w:w="100"/>
              <w:right w:type="dxa" w:w="140"/>
            </w:tcMar>
          </w:tcPr>
          <w:p>
            <w:r>
              <w:rPr>
                <w:rFonts w:ascii="Calibri" w:cs="Calibri" w:eastAsia="Calibri" w:hAnsi="Calibri"/>
                <w:b w:val="false"/>
                <w:bCs w:val="false"/>
                <w:color w:val="1B2845"/>
                <w:sz w:val="20"/>
                <w:szCs w:val="20"/>
              </w:rPr>
              <w:t xml:space="preserve">POS-driven menu analytics; sales data only</w:t>
            </w:r>
          </w:p>
        </w:tc>
        <w:tc>
          <w:tcPr>
            <w:tcW w:type="dxa" w:w="3600"/>
            <w:tcBorders>
              <w:top w:val="single" w:color="DDD8CC" w:sz="4"/>
              <w:left w:val="single" w:color="DDD8CC" w:sz="4"/>
              <w:bottom w:val="single" w:color="DDD8CC" w:sz="4"/>
              <w:right w:val="single" w:color="DDD8CC" w:sz="4"/>
            </w:tcBorders>
            <w:shd w:fill="FFFFFF" w:color="auto" w:val="clear"/>
            <w:tcMar>
              <w:top w:type="dxa" w:w="100"/>
              <w:left w:type="dxa" w:w="140"/>
              <w:bottom w:type="dxa" w:w="100"/>
              <w:right w:type="dxa" w:w="140"/>
            </w:tcMar>
          </w:tcPr>
          <w:p>
            <w:r>
              <w:rPr>
                <w:rFonts w:ascii="Calibri" w:cs="Calibri" w:eastAsia="Calibri" w:hAnsi="Calibri"/>
                <w:b w:val="false"/>
                <w:bCs w:val="false"/>
                <w:color w:val="1B2845"/>
                <w:sz w:val="20"/>
                <w:szCs w:val="20"/>
              </w:rPr>
              <w:t xml:space="preserve">Ours adds a forward-looking signal channel and natural-language synthesis; their data is rear-view-mirror.</w:t>
            </w:r>
          </w:p>
        </w:tc>
      </w:tr>
      <w:tr>
        <w:tc>
          <w:tcPr>
            <w:tcW w:type="dxa" w:w="2400"/>
            <w:tcBorders>
              <w:top w:val="single" w:color="DDD8CC" w:sz="4"/>
              <w:left w:val="single" w:color="DDD8CC" w:sz="4"/>
              <w:bottom w:val="single" w:color="DDD8CC" w:sz="4"/>
              <w:right w:val="single" w:color="DDD8CC" w:sz="4"/>
            </w:tcBorders>
            <w:shd w:fill="FFFFFF" w:color="auto" w:val="clear"/>
            <w:tcMar>
              <w:top w:type="dxa" w:w="100"/>
              <w:left w:type="dxa" w:w="140"/>
              <w:bottom w:type="dxa" w:w="100"/>
              <w:right w:type="dxa" w:w="140"/>
            </w:tcMar>
          </w:tcPr>
          <w:p>
            <w:r>
              <w:rPr>
                <w:rFonts w:ascii="Calibri" w:cs="Calibri" w:eastAsia="Calibri" w:hAnsi="Calibri"/>
                <w:b w:val="false"/>
                <w:bCs w:val="false"/>
                <w:color w:val="1B2845"/>
                <w:sz w:val="20"/>
                <w:szCs w:val="20"/>
              </w:rPr>
              <w:t xml:space="preserve">Yale Hospitality web/mobile presence</w:t>
            </w:r>
          </w:p>
        </w:tc>
        <w:tc>
          <w:tcPr>
            <w:tcW w:type="dxa" w:w="3360"/>
            <w:tcBorders>
              <w:top w:val="single" w:color="DDD8CC" w:sz="4"/>
              <w:left w:val="single" w:color="DDD8CC" w:sz="4"/>
              <w:bottom w:val="single" w:color="DDD8CC" w:sz="4"/>
              <w:right w:val="single" w:color="DDD8CC" w:sz="4"/>
            </w:tcBorders>
            <w:shd w:fill="FFFFFF" w:color="auto" w:val="clear"/>
            <w:tcMar>
              <w:top w:type="dxa" w:w="100"/>
              <w:left w:type="dxa" w:w="140"/>
              <w:bottom w:type="dxa" w:w="100"/>
              <w:right w:type="dxa" w:w="140"/>
            </w:tcMar>
          </w:tcPr>
          <w:p>
            <w:r>
              <w:rPr>
                <w:rFonts w:ascii="Calibri" w:cs="Calibri" w:eastAsia="Calibri" w:hAnsi="Calibri"/>
                <w:b w:val="false"/>
                <w:bCs w:val="false"/>
                <w:color w:val="1B2845"/>
                <w:sz w:val="20"/>
                <w:szCs w:val="20"/>
              </w:rPr>
              <w:t xml:space="preserve">Static menus, payments, hours</w:t>
            </w:r>
          </w:p>
        </w:tc>
        <w:tc>
          <w:tcPr>
            <w:tcW w:type="dxa" w:w="3600"/>
            <w:tcBorders>
              <w:top w:val="single" w:color="DDD8CC" w:sz="4"/>
              <w:left w:val="single" w:color="DDD8CC" w:sz="4"/>
              <w:bottom w:val="single" w:color="DDD8CC" w:sz="4"/>
              <w:right w:val="single" w:color="DDD8CC" w:sz="4"/>
            </w:tcBorders>
            <w:shd w:fill="FFFFFF" w:color="auto" w:val="clear"/>
            <w:tcMar>
              <w:top w:type="dxa" w:w="100"/>
              <w:left w:type="dxa" w:w="140"/>
              <w:bottom w:type="dxa" w:w="100"/>
              <w:right w:type="dxa" w:w="140"/>
            </w:tcMar>
          </w:tcPr>
          <w:p>
            <w:r>
              <w:rPr>
                <w:rFonts w:ascii="Calibri" w:cs="Calibri" w:eastAsia="Calibri" w:hAnsi="Calibri"/>
                <w:b w:val="false"/>
                <w:bCs w:val="false"/>
                <w:color w:val="1B2845"/>
                <w:sz w:val="20"/>
                <w:szCs w:val="20"/>
              </w:rPr>
              <w:t xml:space="preserve">Ours is bidirectional; theirs is one-way broadcast.</w:t>
            </w:r>
          </w:p>
        </w:tc>
      </w:tr>
      <w:tr>
        <w:tc>
          <w:tcPr>
            <w:tcW w:type="dxa" w:w="2400"/>
            <w:tcBorders>
              <w:top w:val="single" w:color="DDD8CC" w:sz="4"/>
              <w:left w:val="single" w:color="DDD8CC" w:sz="4"/>
              <w:bottom w:val="single" w:color="DDD8CC" w:sz="4"/>
              <w:right w:val="single" w:color="DDD8CC" w:sz="4"/>
            </w:tcBorders>
            <w:shd w:fill="FFFFFF" w:color="auto" w:val="clear"/>
            <w:tcMar>
              <w:top w:type="dxa" w:w="100"/>
              <w:left w:type="dxa" w:w="140"/>
              <w:bottom w:type="dxa" w:w="100"/>
              <w:right w:type="dxa" w:w="140"/>
            </w:tcMar>
          </w:tcPr>
          <w:p>
            <w:r>
              <w:rPr>
                <w:rFonts w:ascii="Calibri" w:cs="Calibri" w:eastAsia="Calibri" w:hAnsi="Calibri"/>
                <w:b w:val="false"/>
                <w:bCs w:val="false"/>
                <w:color w:val="1B2845"/>
                <w:sz w:val="20"/>
                <w:szCs w:val="20"/>
              </w:rPr>
              <w:t xml:space="preserve">Qualtrics-style survey deployments</w:t>
            </w:r>
          </w:p>
        </w:tc>
        <w:tc>
          <w:tcPr>
            <w:tcW w:type="dxa" w:w="3360"/>
            <w:tcBorders>
              <w:top w:val="single" w:color="DDD8CC" w:sz="4"/>
              <w:left w:val="single" w:color="DDD8CC" w:sz="4"/>
              <w:bottom w:val="single" w:color="DDD8CC" w:sz="4"/>
              <w:right w:val="single" w:color="DDD8CC" w:sz="4"/>
            </w:tcBorders>
            <w:shd w:fill="FFFFFF" w:color="auto" w:val="clear"/>
            <w:tcMar>
              <w:top w:type="dxa" w:w="100"/>
              <w:left w:type="dxa" w:w="140"/>
              <w:bottom w:type="dxa" w:w="100"/>
              <w:right w:type="dxa" w:w="140"/>
            </w:tcMar>
          </w:tcPr>
          <w:p>
            <w:r>
              <w:rPr>
                <w:rFonts w:ascii="Calibri" w:cs="Calibri" w:eastAsia="Calibri" w:hAnsi="Calibri"/>
                <w:b w:val="false"/>
                <w:bCs w:val="false"/>
                <w:color w:val="1B2845"/>
                <w:sz w:val="20"/>
                <w:szCs w:val="20"/>
              </w:rPr>
              <w:t xml:space="preserve">Periodic survey campaigns</w:t>
            </w:r>
          </w:p>
        </w:tc>
        <w:tc>
          <w:tcPr>
            <w:tcW w:type="dxa" w:w="3600"/>
            <w:tcBorders>
              <w:top w:val="single" w:color="DDD8CC" w:sz="4"/>
              <w:left w:val="single" w:color="DDD8CC" w:sz="4"/>
              <w:bottom w:val="single" w:color="DDD8CC" w:sz="4"/>
              <w:right w:val="single" w:color="DDD8CC" w:sz="4"/>
            </w:tcBorders>
            <w:shd w:fill="FFFFFF" w:color="auto" w:val="clear"/>
            <w:tcMar>
              <w:top w:type="dxa" w:w="100"/>
              <w:left w:type="dxa" w:w="140"/>
              <w:bottom w:type="dxa" w:w="100"/>
              <w:right w:type="dxa" w:w="140"/>
            </w:tcMar>
          </w:tcPr>
          <w:p>
            <w:r>
              <w:rPr>
                <w:rFonts w:ascii="Calibri" w:cs="Calibri" w:eastAsia="Calibri" w:hAnsi="Calibri"/>
                <w:b w:val="false"/>
                <w:bCs w:val="false"/>
                <w:color w:val="1B2845"/>
                <w:sz w:val="20"/>
                <w:szCs w:val="20"/>
              </w:rPr>
              <w:t xml:space="preserve">Ours is ambient, conversational, and turns into action the same week; surveys are point-in-time and rarely close the loop.</w:t>
            </w:r>
          </w:p>
        </w:tc>
      </w:tr>
      <w:tr>
        <w:tc>
          <w:tcPr>
            <w:tcW w:type="dxa" w:w="2400"/>
            <w:tcBorders>
              <w:top w:val="single" w:color="DDD8CC" w:sz="4"/>
              <w:left w:val="single" w:color="DDD8CC" w:sz="4"/>
              <w:bottom w:val="single" w:color="DDD8CC" w:sz="4"/>
              <w:right w:val="single" w:color="DDD8CC" w:sz="4"/>
            </w:tcBorders>
            <w:shd w:fill="FFFFFF" w:color="auto" w:val="clear"/>
            <w:tcMar>
              <w:top w:type="dxa" w:w="100"/>
              <w:left w:type="dxa" w:w="140"/>
              <w:bottom w:type="dxa" w:w="100"/>
              <w:right w:type="dxa" w:w="140"/>
            </w:tcMar>
          </w:tcPr>
          <w:p>
            <w:r>
              <w:rPr>
                <w:rFonts w:ascii="Calibri" w:cs="Calibri" w:eastAsia="Calibri" w:hAnsi="Calibri"/>
                <w:b w:val="false"/>
                <w:bCs w:val="false"/>
                <w:color w:val="1B2845"/>
                <w:sz w:val="20"/>
                <w:szCs w:val="20"/>
              </w:rPr>
              <w:t xml:space="preserve">Generic dashboard tools (Tableau, Looker)</w:t>
            </w:r>
          </w:p>
        </w:tc>
        <w:tc>
          <w:tcPr>
            <w:tcW w:type="dxa" w:w="3360"/>
            <w:tcBorders>
              <w:top w:val="single" w:color="DDD8CC" w:sz="4"/>
              <w:left w:val="single" w:color="DDD8CC" w:sz="4"/>
              <w:bottom w:val="single" w:color="DDD8CC" w:sz="4"/>
              <w:right w:val="single" w:color="DDD8CC" w:sz="4"/>
            </w:tcBorders>
            <w:shd w:fill="FFFFFF" w:color="auto" w:val="clear"/>
            <w:tcMar>
              <w:top w:type="dxa" w:w="100"/>
              <w:left w:type="dxa" w:w="140"/>
              <w:bottom w:type="dxa" w:w="100"/>
              <w:right w:type="dxa" w:w="140"/>
            </w:tcMar>
          </w:tcPr>
          <w:p>
            <w:r>
              <w:rPr>
                <w:rFonts w:ascii="Calibri" w:cs="Calibri" w:eastAsia="Calibri" w:hAnsi="Calibri"/>
                <w:b w:val="false"/>
                <w:bCs w:val="false"/>
                <w:color w:val="1B2845"/>
                <w:sz w:val="20"/>
                <w:szCs w:val="20"/>
              </w:rPr>
              <w:t xml:space="preserve">Visualize data the manager already has</w:t>
            </w:r>
          </w:p>
        </w:tc>
        <w:tc>
          <w:tcPr>
            <w:tcW w:type="dxa" w:w="3600"/>
            <w:tcBorders>
              <w:top w:val="single" w:color="DDD8CC" w:sz="4"/>
              <w:left w:val="single" w:color="DDD8CC" w:sz="4"/>
              <w:bottom w:val="single" w:color="DDD8CC" w:sz="4"/>
              <w:right w:val="single" w:color="DDD8CC" w:sz="4"/>
            </w:tcBorders>
            <w:shd w:fill="FFFFFF" w:color="auto" w:val="clear"/>
            <w:tcMar>
              <w:top w:type="dxa" w:w="100"/>
              <w:left w:type="dxa" w:w="140"/>
              <w:bottom w:type="dxa" w:w="100"/>
              <w:right w:type="dxa" w:w="140"/>
            </w:tcMar>
          </w:tcPr>
          <w:p>
            <w:r>
              <w:rPr>
                <w:rFonts w:ascii="Calibri" w:cs="Calibri" w:eastAsia="Calibri" w:hAnsi="Calibri"/>
                <w:b w:val="false"/>
                <w:bCs w:val="false"/>
                <w:color w:val="1B2845"/>
                <w:sz w:val="20"/>
                <w:szCs w:val="20"/>
              </w:rPr>
              <w:t xml:space="preserve">We generate the data signal in the first place via the chatbot, and we synthesize prose recommendations rather than just rendering charts.</w:t>
            </w:r>
          </w:p>
        </w:tc>
      </w:tr>
    </w:tbl>
    <w:p>
      <w:pPr>
        <w:spacing w:after="200" w:before="60"/>
        <w:jc w:val="center"/>
      </w:pPr>
      <w:r>
        <w:rPr>
          <w:rFonts w:ascii="Calibri" w:cs="Calibri" w:eastAsia="Calibri" w:hAnsi="Calibri"/>
          <w:i/>
          <w:iCs/>
          <w:color w:val="8A8A93"/>
          <w:sz w:val="18"/>
          <w:szCs w:val="18"/>
        </w:rPr>
        <w:t xml:space="preserve">Table 3. Competitive positioning.</w:t>
      </w:r>
    </w:p>
    <w:p>
      <w:r>
        <w:br w:type="page"/>
      </w:r>
    </w:p>
    <w:p>
      <w:pPr>
        <w:pStyle w:val="Heading1"/>
        <w:spacing w:after="160" w:before="360"/>
      </w:pPr>
      <w:r>
        <w:rPr>
          <w:rFonts w:ascii="Calibri" w:cs="Calibri" w:eastAsia="Calibri" w:hAnsi="Calibri"/>
          <w:b/>
          <w:bCs/>
          <w:color w:val="1B2845"/>
          <w:sz w:val="32"/>
          <w:szCs w:val="32"/>
        </w:rPr>
        <w:t xml:space="preserve">4. Conclusion</w:t>
      </w:r>
    </w:p>
    <w:p>
      <w:pPr>
        <w:pStyle w:val="Heading2"/>
        <w:spacing w:after="120" w:before="280"/>
      </w:pPr>
      <w:r>
        <w:rPr>
          <w:rFonts w:ascii="Calibri" w:cs="Calibri" w:eastAsia="Calibri" w:hAnsi="Calibri"/>
          <w:b/>
          <w:bCs/>
          <w:color w:val="E85959"/>
          <w:sz w:val="26"/>
          <w:szCs w:val="26"/>
        </w:rPr>
        <w:t xml:space="preserve">4.1 What we learned</w:t>
      </w:r>
    </w:p>
    <w:p>
      <w:pPr>
        <w:spacing w:after="80" w:before="80" w:line="320"/>
        <w:jc w:val="both"/>
      </w:pPr>
      <w:r>
        <w:rPr>
          <w:rFonts w:ascii="Calibri" w:cs="Calibri" w:eastAsia="Calibri" w:hAnsi="Calibri"/>
        </w:rPr>
        <w:t xml:space="preserve">The most valuable thing we learned is that for a workflow like this — short, structured outputs with strong schema constraints — the smaller, faster model is almost always the right choice. We started the brief generator on Claude Sonnet 4.6, hit Vercel's default function timeout on the first user-facing test, and switched to Haiku 4.5. The qualitative drop in output quality was nearly undetectable. The quantitative drop in latency was 3-5x. For a demo where a manager scrolls and clicks, that latency difference is the difference between "this feels live" and "this feels broken." We will start with the smaller model on future projects and only escalate to a larger one if we see a specific quality gap.</w:t>
      </w:r>
    </w:p>
    <w:p>
      <w:pPr>
        <w:spacing w:after="80" w:before="80" w:line="320"/>
        <w:jc w:val="both"/>
      </w:pPr>
      <w:r>
        <w:rPr>
          <w:rFonts w:ascii="Calibri" w:cs="Calibri" w:eastAsia="Calibri" w:hAnsi="Calibri"/>
        </w:rPr>
        <w:t xml:space="preserve">The second lesson is that two-sided systems force good design. Because Hsin-Yuan's student schema had to be readable by my dashboard, we both ended up with cleaner, narrower types than we would have chosen alone. The MongoDB collections are now a kind of contract between the two halves of the team, and that contract did more to keep us from blocking each other than any project-management tool would have.</w:t>
      </w:r>
    </w:p>
    <w:p>
      <w:pPr>
        <w:spacing w:after="80" w:before="80" w:line="320"/>
        <w:jc w:val="both"/>
      </w:pPr>
      <w:r>
        <w:rPr>
          <w:rFonts w:ascii="Calibri" w:cs="Calibri" w:eastAsia="Calibri" w:hAnsi="Calibri"/>
        </w:rPr>
        <w:t xml:space="preserve">The third lesson is that the unglamorous parts — environment-variable management, peer-dep resolution, git author emails, function-timeout configuration — are exactly the parts where AI products break in production. We spent more time wrestling with Vercel's hidden rejection of commits authored by a placeholder email than we spent on any prompt-engineering question. We will budget more time for these edges on the next project.</w:t>
      </w:r>
    </w:p>
    <w:p>
      <w:pPr>
        <w:pStyle w:val="Heading2"/>
        <w:spacing w:after="120" w:before="280"/>
      </w:pPr>
      <w:r>
        <w:rPr>
          <w:rFonts w:ascii="Calibri" w:cs="Calibri" w:eastAsia="Calibri" w:hAnsi="Calibri"/>
          <w:b/>
          <w:bCs/>
          <w:color w:val="E85959"/>
          <w:sz w:val="26"/>
          <w:szCs w:val="26"/>
        </w:rPr>
        <w:t xml:space="preserve">4.2 Roadmap</w:t>
      </w:r>
    </w:p>
    <w:p>
      <w:pPr>
        <w:spacing w:after="80" w:before="80" w:line="320"/>
        <w:jc w:val="both"/>
      </w:pPr>
      <w:r>
        <w:rPr>
          <w:rFonts w:ascii="Calibri" w:cs="Calibri" w:eastAsia="Calibri" w:hAnsi="Calibri"/>
        </w:rPr>
        <w:t xml:space="preserve">Several extensions are interesting, ordered by what we would build next if we had another two weeks:</w:t>
      </w:r>
    </w:p>
    <w:p>
      <w:pPr>
        <w:pStyle w:val="ListParagraph"/>
        <w:numPr>
          <w:ilvl w:val="0"/>
          <w:numId w:val="2"/>
        </w:numPr>
        <w:spacing w:after="40" w:before="40" w:line="300"/>
      </w:pPr>
      <w:r>
        <w:rPr>
          <w:rFonts w:ascii="Calibri" w:cs="Calibri" w:eastAsia="Calibri" w:hAnsi="Calibri"/>
          <w:b/>
          <w:bCs/>
        </w:rPr>
        <w:t xml:space="preserve">Real Instagram integration. </w:t>
      </w:r>
      <w:r>
        <w:rPr>
          <w:rFonts w:ascii="Calibri" w:cs="Calibri" w:eastAsia="Calibri" w:hAnsi="Calibri"/>
        </w:rPr>
        <w:t xml:space="preserve">The student input channel is currently QR-driven. Wiring it to Meta's Graph API so students could DM the YoSOM Instagram account and have their messages flow into the same MongoDB collection would dramatically lower the activation cost of giving feedback.</w:t>
      </w:r>
    </w:p>
    <w:p>
      <w:pPr>
        <w:pStyle w:val="ListParagraph"/>
        <w:numPr>
          <w:ilvl w:val="0"/>
          <w:numId w:val="2"/>
        </w:numPr>
        <w:spacing w:after="40" w:before="40" w:line="300"/>
      </w:pPr>
      <w:r>
        <w:rPr>
          <w:rFonts w:ascii="Calibri" w:cs="Calibri" w:eastAsia="Calibri" w:hAnsi="Calibri"/>
          <w:b/>
          <w:bCs/>
        </w:rPr>
        <w:t xml:space="preserve">Multi-venue coordination. </w:t>
      </w:r>
      <w:r>
        <w:rPr>
          <w:rFonts w:ascii="Calibri" w:cs="Calibri" w:eastAsia="Calibri" w:hAnsi="Calibri"/>
        </w:rPr>
        <w:t xml:space="preserve">Today the two venues operate independently. A simple cross-venue layer — "Charley's expects 30% over-prep on Tuesday; McNay should up-staff for the spillover" — would close another loop with minimal new code.</w:t>
      </w:r>
    </w:p>
    <w:p>
      <w:pPr>
        <w:pStyle w:val="ListParagraph"/>
        <w:numPr>
          <w:ilvl w:val="0"/>
          <w:numId w:val="2"/>
        </w:numPr>
        <w:spacing w:after="40" w:before="40" w:line="300"/>
      </w:pPr>
      <w:r>
        <w:rPr>
          <w:rFonts w:ascii="Calibri" w:cs="Calibri" w:eastAsia="Calibri" w:hAnsi="Calibri"/>
          <w:b/>
          <w:bCs/>
        </w:rPr>
        <w:t xml:space="preserve">Supplier integration. </w:t>
      </w:r>
      <w:r>
        <w:rPr>
          <w:rFonts w:ascii="Calibri" w:cs="Calibri" w:eastAsia="Calibri" w:hAnsi="Calibri"/>
        </w:rPr>
        <w:t xml:space="preserve">If the demand forecast were piped directly into the dining team's ordering tool, the savings would shift from "we made better decisions" to "we ordered the right amount," which is a meaningfully larger dollar number.</w:t>
      </w:r>
    </w:p>
    <w:p>
      <w:pPr>
        <w:pStyle w:val="ListParagraph"/>
        <w:numPr>
          <w:ilvl w:val="0"/>
          <w:numId w:val="2"/>
        </w:numPr>
        <w:spacing w:after="40" w:before="40" w:line="300"/>
      </w:pPr>
      <w:r>
        <w:rPr>
          <w:rFonts w:ascii="Calibri" w:cs="Calibri" w:eastAsia="Calibri" w:hAnsi="Calibri"/>
          <w:b/>
          <w:bCs/>
        </w:rPr>
        <w:t xml:space="preserve">Longitudinal evaluation. </w:t>
      </w:r>
      <w:r>
        <w:rPr>
          <w:rFonts w:ascii="Calibri" w:cs="Calibri" w:eastAsia="Calibri" w:hAnsi="Calibri"/>
        </w:rPr>
        <w:t xml:space="preserve">Right now we have no closed-loop measurement of whether the brief's recommendations actually improved satisfaction the following week. Adding a longitudinal pulse, and tagging each adopted recommendation, would let us measure causal impact and would also be a natural place to hook in a fine-tuned model trained on our own historical briefs.</w:t>
      </w:r>
    </w:p>
    <w:p>
      <w:pPr>
        <w:pStyle w:val="Heading2"/>
        <w:spacing w:after="120" w:before="280"/>
      </w:pPr>
      <w:r>
        <w:rPr>
          <w:rFonts w:ascii="Calibri" w:cs="Calibri" w:eastAsia="Calibri" w:hAnsi="Calibri"/>
          <w:b/>
          <w:bCs/>
          <w:color w:val="E85959"/>
          <w:sz w:val="26"/>
          <w:szCs w:val="26"/>
        </w:rPr>
        <w:t xml:space="preserve">4.3 What better AI in 12-24 months would change</w:t>
      </w:r>
    </w:p>
    <w:p>
      <w:pPr>
        <w:spacing w:after="80" w:before="80" w:line="320"/>
        <w:jc w:val="both"/>
      </w:pPr>
      <w:r>
        <w:rPr>
          <w:rFonts w:ascii="Calibri" w:cs="Calibri" w:eastAsia="Calibri" w:hAnsi="Calibri"/>
        </w:rPr>
        <w:t xml:space="preserve">The most likely near-term shift is that structured output gets reliable enough that we can drop the deterministic reconciliation step entirely. Today we stamp Claude's add-recommendations with real cost numbers because we don't fully trust it to remember them; in 12-24 months that should not be necessary, which would let the brief surface fine-grained, claim-level confidence.</w:t>
      </w:r>
    </w:p>
    <w:p>
      <w:pPr>
        <w:spacing w:after="80" w:before="80" w:line="320"/>
        <w:jc w:val="both"/>
      </w:pPr>
      <w:r>
        <w:rPr>
          <w:rFonts w:ascii="Calibri" w:cs="Calibri" w:eastAsia="Calibri" w:hAnsi="Calibri"/>
        </w:rPr>
        <w:t xml:space="preserve">The second likely shift is that image-generation models start producing reliable text at small sizes. DALL-E 3 still struggles with crisp legible text on a poster; gpt-image-1 is better but not perfect. When that gap closes, the poster studio could go from "a draft a designer would clean up" to "a final asset a manager posts directly," which would change the price-point at which a vendor would pay for the system.</w:t>
      </w:r>
    </w:p>
    <w:p>
      <w:pPr>
        <w:spacing w:after="80" w:before="80" w:line="320"/>
        <w:jc w:val="both"/>
      </w:pPr>
      <w:r>
        <w:rPr>
          <w:rFonts w:ascii="Calibri" w:cs="Calibri" w:eastAsia="Calibri" w:hAnsi="Calibri"/>
        </w:rPr>
        <w:t xml:space="preserve">The third — and most exciting — shift is that on-device or on-cluster inference for small models gets cheap enough that the entire ops-brief pipeline could run on a $20/month server without API calls. That would change the unit economics from "cents per brief" to "essentially free," which is the regime in which schools with thin budgets actually adopt this kind of tool.</w:t>
      </w:r>
    </w:p>
    <w:p>
      <w:pPr>
        <w:pStyle w:val="Heading2"/>
        <w:spacing w:after="120" w:before="280"/>
      </w:pPr>
      <w:r>
        <w:rPr>
          <w:rFonts w:ascii="Calibri" w:cs="Calibri" w:eastAsia="Calibri" w:hAnsi="Calibri"/>
          <w:b/>
          <w:bCs/>
          <w:color w:val="E85959"/>
          <w:sz w:val="26"/>
          <w:szCs w:val="26"/>
        </w:rPr>
        <w:t xml:space="preserve">4.4 Tying back</w:t>
      </w:r>
    </w:p>
    <w:p>
      <w:pPr>
        <w:spacing w:after="80" w:before="80" w:line="320"/>
        <w:jc w:val="both"/>
      </w:pPr>
      <w:r>
        <w:rPr>
          <w:rFonts w:ascii="Calibri" w:cs="Calibri" w:eastAsia="Calibri" w:hAnsi="Calibri"/>
        </w:rPr>
        <w:t xml:space="preserve">We started with the observation that students at SOM feel unheard, that managers are guessing, and that food gets thrown out at 2 PM that nobody really wanted at 12. The system we built does not solve any of these problems by itself — sixty class submissions on a Tuesday afternoon will not change next week's prep at Charley's Place. What it does is establish a clean channel through which student voice can become operational decisions, and a clean dashboard through which managers can make those decisions in five minutes a day rather than not at all. The generative-AI layer is what makes the channel feel human and the dashboard feel synthesized rather than tabular. The rest is engineering. If the live demo on Tuesday is interesting, the next conversation we want to have is with SOM Dining about a real pilot.</w:t>
      </w:r>
    </w:p>
    <w:p>
      <w:r>
        <w:br w:type="page"/>
      </w:r>
    </w:p>
    <w:p>
      <w:pPr>
        <w:pStyle w:val="Heading1"/>
        <w:spacing w:after="160" w:before="360"/>
      </w:pPr>
      <w:r>
        <w:rPr>
          <w:rFonts w:ascii="Calibri" w:cs="Calibri" w:eastAsia="Calibri" w:hAnsi="Calibri"/>
          <w:b/>
          <w:bCs/>
          <w:color w:val="1B2845"/>
          <w:sz w:val="32"/>
          <w:szCs w:val="32"/>
        </w:rPr>
        <w:t xml:space="preserve">References</w:t>
      </w:r>
    </w:p>
    <w:p>
      <w:pPr>
        <w:pStyle w:val="ListParagraph"/>
        <w:numPr>
          <w:ilvl w:val="0"/>
          <w:numId w:val="2"/>
        </w:numPr>
        <w:spacing w:after="40" w:before="40" w:line="300"/>
      </w:pPr>
      <w:r>
        <w:rPr>
          <w:rFonts w:ascii="Calibri" w:cs="Calibri" w:eastAsia="Calibri" w:hAnsi="Calibri"/>
        </w:rPr>
        <w:t xml:space="preserve">Anthropic. </w:t>
      </w:r>
      <w:r>
        <w:rPr>
          <w:rFonts w:ascii="Calibri" w:cs="Calibri" w:eastAsia="Calibri" w:hAnsi="Calibri"/>
          <w:i/>
          <w:iCs/>
        </w:rPr>
        <w:t xml:space="preserve">Claude API Documentation — Models, Messages, Prompt Caching.</w:t>
      </w:r>
      <w:r>
        <w:rPr>
          <w:rFonts w:ascii="Calibri" w:cs="Calibri" w:eastAsia="Calibri" w:hAnsi="Calibri"/>
        </w:rPr>
        <w:t xml:space="preserve"> </w:t>
      </w:r>
      <w:hyperlink w:history="1" r:id="rId8z9tnjjxeywvtappq4oqa">
        <w:r>
          <w:rPr>
            <w:rStyle w:val="Hyperlink"/>
            <w:rFonts w:ascii="Calibri" w:cs="Calibri" w:eastAsia="Calibri" w:hAnsi="Calibri"/>
          </w:rPr>
          <w:t xml:space="preserve">https://docs.anthropic.com</w:t>
        </w:r>
      </w:hyperlink>
      <w:r>
        <w:rPr>
          <w:rFonts w:ascii="Calibri" w:cs="Calibri" w:eastAsia="Calibri" w:hAnsi="Calibri"/>
        </w:rPr>
        <w:t xml:space="preserve">. Accessed May 2026.</w:t>
      </w:r>
    </w:p>
    <w:p>
      <w:pPr>
        <w:pStyle w:val="ListParagraph"/>
        <w:numPr>
          <w:ilvl w:val="0"/>
          <w:numId w:val="2"/>
        </w:numPr>
        <w:spacing w:after="40" w:before="40" w:line="300"/>
      </w:pPr>
      <w:r>
        <w:rPr>
          <w:rFonts w:ascii="Calibri" w:cs="Calibri" w:eastAsia="Calibri" w:hAnsi="Calibri"/>
        </w:rPr>
        <w:t xml:space="preserve">OpenAI. </w:t>
      </w:r>
      <w:r>
        <w:rPr>
          <w:rFonts w:ascii="Calibri" w:cs="Calibri" w:eastAsia="Calibri" w:hAnsi="Calibri"/>
          <w:i/>
          <w:iCs/>
        </w:rPr>
        <w:t xml:space="preserve">Images API — DALL-E 3 and gpt-image-1.</w:t>
      </w:r>
      <w:r>
        <w:rPr>
          <w:rFonts w:ascii="Calibri" w:cs="Calibri" w:eastAsia="Calibri" w:hAnsi="Calibri"/>
        </w:rPr>
        <w:t xml:space="preserve"> </w:t>
      </w:r>
      <w:hyperlink w:history="1" r:id="rId4ovv9xs2lnkw_ybc-whlo">
        <w:r>
          <w:rPr>
            <w:rStyle w:val="Hyperlink"/>
            <w:rFonts w:ascii="Calibri" w:cs="Calibri" w:eastAsia="Calibri" w:hAnsi="Calibri"/>
          </w:rPr>
          <w:t xml:space="preserve">https://platform.openai.com/docs/guides/images</w:t>
        </w:r>
      </w:hyperlink>
      <w:r>
        <w:rPr>
          <w:rFonts w:ascii="Calibri" w:cs="Calibri" w:eastAsia="Calibri" w:hAnsi="Calibri"/>
        </w:rPr>
        <w:t xml:space="preserve">. Accessed May 2026.</w:t>
      </w:r>
    </w:p>
    <w:p>
      <w:pPr>
        <w:pStyle w:val="ListParagraph"/>
        <w:numPr>
          <w:ilvl w:val="0"/>
          <w:numId w:val="2"/>
        </w:numPr>
        <w:spacing w:after="40" w:before="40" w:line="300"/>
      </w:pPr>
      <w:r>
        <w:rPr>
          <w:rFonts w:ascii="Calibri" w:cs="Calibri" w:eastAsia="Calibri" w:hAnsi="Calibri"/>
        </w:rPr>
        <w:t xml:space="preserve">Vercel. </w:t>
      </w:r>
      <w:r>
        <w:rPr>
          <w:rFonts w:ascii="Calibri" w:cs="Calibri" w:eastAsia="Calibri" w:hAnsi="Calibri"/>
          <w:i/>
          <w:iCs/>
        </w:rPr>
        <w:t xml:space="preserve">Functions, Environment Variables, and Deployment.</w:t>
      </w:r>
      <w:r>
        <w:rPr>
          <w:rFonts w:ascii="Calibri" w:cs="Calibri" w:eastAsia="Calibri" w:hAnsi="Calibri"/>
        </w:rPr>
        <w:t xml:space="preserve"> </w:t>
      </w:r>
      <w:hyperlink w:history="1" r:id="rIdynhs_blnrtvyqlmoc6xk5">
        <w:r>
          <w:rPr>
            <w:rStyle w:val="Hyperlink"/>
            <w:rFonts w:ascii="Calibri" w:cs="Calibri" w:eastAsia="Calibri" w:hAnsi="Calibri"/>
          </w:rPr>
          <w:t xml:space="preserve">https://vercel.com/docs</w:t>
        </w:r>
      </w:hyperlink>
      <w:r>
        <w:rPr>
          <w:rFonts w:ascii="Calibri" w:cs="Calibri" w:eastAsia="Calibri" w:hAnsi="Calibri"/>
        </w:rPr>
        <w:t xml:space="preserve">. Accessed May 2026.</w:t>
      </w:r>
    </w:p>
    <w:p>
      <w:pPr>
        <w:pStyle w:val="ListParagraph"/>
        <w:numPr>
          <w:ilvl w:val="0"/>
          <w:numId w:val="2"/>
        </w:numPr>
        <w:spacing w:after="40" w:before="40" w:line="300"/>
      </w:pPr>
      <w:r>
        <w:rPr>
          <w:rFonts w:ascii="Calibri" w:cs="Calibri" w:eastAsia="Calibri" w:hAnsi="Calibri"/>
        </w:rPr>
        <w:t xml:space="preserve">Next.js. </w:t>
      </w:r>
      <w:r>
        <w:rPr>
          <w:rFonts w:ascii="Calibri" w:cs="Calibri" w:eastAsia="Calibri" w:hAnsi="Calibri"/>
          <w:i/>
          <w:iCs/>
        </w:rPr>
        <w:t xml:space="preserve">App Router, Server Components, Route Handlers.</w:t>
      </w:r>
      <w:r>
        <w:rPr>
          <w:rFonts w:ascii="Calibri" w:cs="Calibri" w:eastAsia="Calibri" w:hAnsi="Calibri"/>
        </w:rPr>
        <w:t xml:space="preserve"> </w:t>
      </w:r>
      <w:hyperlink w:history="1" r:id="rIdsbzacvx2fwl8pxjyw6s3x">
        <w:r>
          <w:rPr>
            <w:rStyle w:val="Hyperlink"/>
            <w:rFonts w:ascii="Calibri" w:cs="Calibri" w:eastAsia="Calibri" w:hAnsi="Calibri"/>
          </w:rPr>
          <w:t xml:space="preserve">https://nextjs.org/docs</w:t>
        </w:r>
      </w:hyperlink>
      <w:r>
        <w:rPr>
          <w:rFonts w:ascii="Calibri" w:cs="Calibri" w:eastAsia="Calibri" w:hAnsi="Calibri"/>
        </w:rPr>
        <w:t xml:space="preserve">. Accessed May 2026.</w:t>
      </w:r>
    </w:p>
    <w:p>
      <w:pPr>
        <w:pStyle w:val="ListParagraph"/>
        <w:numPr>
          <w:ilvl w:val="0"/>
          <w:numId w:val="2"/>
        </w:numPr>
        <w:spacing w:after="40" w:before="40" w:line="300"/>
      </w:pPr>
      <w:r>
        <w:rPr>
          <w:rFonts w:ascii="Calibri" w:cs="Calibri" w:eastAsia="Calibri" w:hAnsi="Calibri"/>
        </w:rPr>
        <w:t xml:space="preserve">MongoDB. </w:t>
      </w:r>
      <w:r>
        <w:rPr>
          <w:rFonts w:ascii="Calibri" w:cs="Calibri" w:eastAsia="Calibri" w:hAnsi="Calibri"/>
          <w:i/>
          <w:iCs/>
        </w:rPr>
        <w:t xml:space="preserve">Atlas Documentation and Mongoose Reference.</w:t>
      </w:r>
      <w:r>
        <w:rPr>
          <w:rFonts w:ascii="Calibri" w:cs="Calibri" w:eastAsia="Calibri" w:hAnsi="Calibri"/>
        </w:rPr>
        <w:t xml:space="preserve"> </w:t>
      </w:r>
      <w:hyperlink w:history="1" r:id="rId720_sl8whnpt0fbcgq-hv">
        <w:r>
          <w:rPr>
            <w:rStyle w:val="Hyperlink"/>
            <w:rFonts w:ascii="Calibri" w:cs="Calibri" w:eastAsia="Calibri" w:hAnsi="Calibri"/>
          </w:rPr>
          <w:t xml:space="preserve">https://www.mongodb.com/docs/atlas/</w:t>
        </w:r>
      </w:hyperlink>
      <w:r>
        <w:rPr>
          <w:rFonts w:ascii="Calibri" w:cs="Calibri" w:eastAsia="Calibri" w:hAnsi="Calibri"/>
        </w:rPr>
        <w:t xml:space="preserve">. Accessed May 2026.</w:t>
      </w:r>
    </w:p>
    <w:p>
      <w:pPr>
        <w:pStyle w:val="ListParagraph"/>
        <w:numPr>
          <w:ilvl w:val="0"/>
          <w:numId w:val="2"/>
        </w:numPr>
        <w:spacing w:after="40" w:before="40" w:line="300"/>
      </w:pPr>
      <w:r>
        <w:rPr>
          <w:rFonts w:ascii="Calibri" w:cs="Calibri" w:eastAsia="Calibri" w:hAnsi="Calibri"/>
        </w:rPr>
        <w:t xml:space="preserve">Recharts. </w:t>
      </w:r>
      <w:r>
        <w:rPr>
          <w:rFonts w:ascii="Calibri" w:cs="Calibri" w:eastAsia="Calibri" w:hAnsi="Calibri"/>
          <w:i/>
          <w:iCs/>
        </w:rPr>
        <w:t xml:space="preserve">Composable Charting Library for React.</w:t>
      </w:r>
      <w:r>
        <w:rPr>
          <w:rFonts w:ascii="Calibri" w:cs="Calibri" w:eastAsia="Calibri" w:hAnsi="Calibri"/>
        </w:rPr>
        <w:t xml:space="preserve"> </w:t>
      </w:r>
      <w:hyperlink w:history="1" r:id="rIdlcbjpmfbkrsbj3_iowikt">
        <w:r>
          <w:rPr>
            <w:rStyle w:val="Hyperlink"/>
            <w:rFonts w:ascii="Calibri" w:cs="Calibri" w:eastAsia="Calibri" w:hAnsi="Calibri"/>
          </w:rPr>
          <w:t xml:space="preserve">https://recharts.org</w:t>
        </w:r>
      </w:hyperlink>
      <w:r>
        <w:rPr>
          <w:rFonts w:ascii="Calibri" w:cs="Calibri" w:eastAsia="Calibri" w:hAnsi="Calibri"/>
        </w:rPr>
        <w:t xml:space="preserve">. Accessed May 2026.</w:t>
      </w:r>
    </w:p>
    <w:p>
      <w:pPr>
        <w:pStyle w:val="ListParagraph"/>
        <w:numPr>
          <w:ilvl w:val="0"/>
          <w:numId w:val="2"/>
        </w:numPr>
        <w:spacing w:after="40" w:before="40" w:line="300"/>
      </w:pPr>
      <w:r>
        <w:rPr>
          <w:rFonts w:ascii="Calibri" w:cs="Calibri" w:eastAsia="Calibri" w:hAnsi="Calibri"/>
        </w:rPr>
        <w:t xml:space="preserve">Yale Hospitality. </w:t>
      </w:r>
      <w:r>
        <w:rPr>
          <w:rFonts w:ascii="Calibri" w:cs="Calibri" w:eastAsia="Calibri" w:hAnsi="Calibri"/>
          <w:i/>
          <w:iCs/>
        </w:rPr>
        <w:t xml:space="preserve">Dining Services Overview.</w:t>
      </w:r>
      <w:r>
        <w:rPr>
          <w:rFonts w:ascii="Calibri" w:cs="Calibri" w:eastAsia="Calibri" w:hAnsi="Calibri"/>
        </w:rPr>
        <w:t xml:space="preserve"> </w:t>
      </w:r>
      <w:hyperlink w:history="1" r:id="rId9t5dv9t2two_ah-sbrapu">
        <w:r>
          <w:rPr>
            <w:rStyle w:val="Hyperlink"/>
            <w:rFonts w:ascii="Calibri" w:cs="Calibri" w:eastAsia="Calibri" w:hAnsi="Calibri"/>
          </w:rPr>
          <w:t xml:space="preserve">https://hospitality.yale.edu</w:t>
        </w:r>
      </w:hyperlink>
      <w:r>
        <w:rPr>
          <w:rFonts w:ascii="Calibri" w:cs="Calibri" w:eastAsia="Calibri" w:hAnsi="Calibri"/>
        </w:rPr>
        <w:t xml:space="preserve">. Accessed May 2026.</w:t>
      </w:r>
    </w:p>
    <w:p>
      <w:pPr>
        <w:pStyle w:val="ListParagraph"/>
        <w:numPr>
          <w:ilvl w:val="0"/>
          <w:numId w:val="2"/>
        </w:numPr>
        <w:spacing w:after="40" w:before="40" w:line="300"/>
      </w:pPr>
      <w:r>
        <w:rPr>
          <w:rFonts w:ascii="Calibri" w:cs="Calibri" w:eastAsia="Calibri" w:hAnsi="Calibri"/>
        </w:rPr>
        <w:t xml:space="preserve">National Association of College &amp; University Food Services. </w:t>
      </w:r>
      <w:r>
        <w:rPr>
          <w:rFonts w:ascii="Calibri" w:cs="Calibri" w:eastAsia="Calibri" w:hAnsi="Calibri"/>
          <w:i/>
          <w:iCs/>
        </w:rPr>
        <w:t xml:space="preserve">Campus Dining Industry Reports and Trends.</w:t>
      </w:r>
      <w:r>
        <w:rPr>
          <w:rFonts w:ascii="Calibri" w:cs="Calibri" w:eastAsia="Calibri" w:hAnsi="Calibri"/>
        </w:rPr>
        <w:t xml:space="preserve"> </w:t>
      </w:r>
      <w:hyperlink w:history="1" r:id="rIdakjhdeyr58awpcbgmjbik">
        <w:r>
          <w:rPr>
            <w:rStyle w:val="Hyperlink"/>
            <w:rFonts w:ascii="Calibri" w:cs="Calibri" w:eastAsia="Calibri" w:hAnsi="Calibri"/>
          </w:rPr>
          <w:t xml:space="preserve">https://www.nacufs.org</w:t>
        </w:r>
      </w:hyperlink>
      <w:r>
        <w:rPr>
          <w:rFonts w:ascii="Calibri" w:cs="Calibri" w:eastAsia="Calibri" w:hAnsi="Calibri"/>
        </w:rPr>
        <w:t xml:space="preserve">. Accessed April 2026.</w:t>
      </w:r>
    </w:p>
    <w:p>
      <w:pPr>
        <w:pStyle w:val="ListParagraph"/>
        <w:numPr>
          <w:ilvl w:val="0"/>
          <w:numId w:val="2"/>
        </w:numPr>
        <w:spacing w:after="40" w:before="40" w:line="300"/>
      </w:pPr>
      <w:r>
        <w:rPr>
          <w:rFonts w:ascii="Calibri" w:cs="Calibri" w:eastAsia="Calibri" w:hAnsi="Calibri"/>
        </w:rPr>
        <w:t xml:space="preserve">ReFED. </w:t>
      </w:r>
      <w:r>
        <w:rPr>
          <w:rFonts w:ascii="Calibri" w:cs="Calibri" w:eastAsia="Calibri" w:hAnsi="Calibri"/>
          <w:i/>
          <w:iCs/>
        </w:rPr>
        <w:t xml:space="preserve">Roadmap to Reduce U.S. Food Waste — Foodservice and Institutional Sectors.</w:t>
      </w:r>
      <w:r>
        <w:rPr>
          <w:rFonts w:ascii="Calibri" w:cs="Calibri" w:eastAsia="Calibri" w:hAnsi="Calibri"/>
        </w:rPr>
        <w:t xml:space="preserve"> </w:t>
      </w:r>
      <w:hyperlink w:history="1" r:id="rId_llk-3av6e9w7frepo5wf">
        <w:r>
          <w:rPr>
            <w:rStyle w:val="Hyperlink"/>
            <w:rFonts w:ascii="Calibri" w:cs="Calibri" w:eastAsia="Calibri" w:hAnsi="Calibri"/>
          </w:rPr>
          <w:t xml:space="preserve">https://refed.org</w:t>
        </w:r>
      </w:hyperlink>
      <w:r>
        <w:rPr>
          <w:rFonts w:ascii="Calibri" w:cs="Calibri" w:eastAsia="Calibri" w:hAnsi="Calibri"/>
        </w:rPr>
        <w:t xml:space="preserve">. Accessed April 2026.</w:t>
      </w:r>
    </w:p>
    <w:p>
      <w:pPr>
        <w:pStyle w:val="ListParagraph"/>
        <w:numPr>
          <w:ilvl w:val="0"/>
          <w:numId w:val="2"/>
        </w:numPr>
        <w:spacing w:after="40" w:before="40" w:line="300"/>
      </w:pPr>
      <w:r>
        <w:rPr>
          <w:rFonts w:ascii="Calibri" w:cs="Calibri" w:eastAsia="Calibri" w:hAnsi="Calibri"/>
        </w:rPr>
        <w:t xml:space="preserve">YoSOM source repository. </w:t>
      </w:r>
      <w:hyperlink w:history="1" r:id="rIdccr2ruui3pxj0eo6yx43-">
        <w:r>
          <w:rPr>
            <w:rStyle w:val="Hyperlink"/>
            <w:rFonts w:ascii="Calibri" w:cs="Calibri" w:eastAsia="Calibri" w:hAnsi="Calibri"/>
          </w:rPr>
          <w:t xml:space="preserve">https://github.com/yuanlee218/YoSOM</w:t>
        </w:r>
      </w:hyperlink>
      <w:r>
        <w:rPr>
          <w:rFonts w:ascii="Calibri" w:cs="Calibri" w:eastAsia="Calibri" w:hAnsi="Calibri"/>
        </w:rPr>
        <w:t xml:space="preserve">. The repository's </w:t>
      </w:r>
      <w:r>
        <w:rPr>
          <w:rFonts w:ascii="Consolas" w:cs="Consolas" w:eastAsia="Consolas" w:hAnsi="Consolas"/>
          <w:color w:val="2A3759"/>
          <w:sz w:val="20"/>
          <w:szCs w:val="20"/>
          <w:shd w:fill="F2EDE4" w:color="auto" w:val="clear"/>
        </w:rPr>
        <w:t xml:space="preserve">docs/MANAGER_SOP.md</w:t>
      </w:r>
      <w:r>
        <w:rPr>
          <w:rFonts w:ascii="Calibri" w:cs="Calibri" w:eastAsia="Calibri" w:hAnsi="Calibri"/>
        </w:rPr>
        <w:t xml:space="preserve"> contains the venue-manager standard operating procedure referenced throughout this report.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B2845"/>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E85959"/>
      <w:sz w:val="26"/>
      <w:szCs w:val="26"/>
    </w:rPr>
  </w:style>
  <w:style w:type="paragraph" w:styleId="Heading3">
    <w:name w:val="Heading 3"/>
    <w:basedOn w:val="Normal"/>
    <w:next w:val="Normal"/>
    <w:qFormat/>
    <w:pPr>
      <w:spacing w:after="80" w:before="220"/>
      <w:outlineLvl w:val="2"/>
    </w:pPr>
    <w:rPr>
      <w:rFonts w:ascii="Calibri" w:cs="Calibri" w:eastAsia="Calibri" w:hAnsi="Calibri"/>
      <w:b/>
      <w:bCs/>
      <w:color w:val="1B284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jjkekbzk_swbsrtbyfxus" Type="http://schemas.openxmlformats.org/officeDocument/2006/relationships/hyperlink" Target="https://yosom.vercel.app" TargetMode="External"/><Relationship Id="rIdxarinultuvlknlqfjkbpj" Type="http://schemas.openxmlformats.org/officeDocument/2006/relationships/hyperlink" Target="https://yosom.vercel.app/manager" TargetMode="External"/><Relationship Id="rIdbtgdrv0kkwhfgspbencyc" Type="http://schemas.openxmlformats.org/officeDocument/2006/relationships/hyperlink" Target="https://github.com/yuanlee218/YoSOM" TargetMode="External"/><Relationship Id="rId8z9tnjjxeywvtappq4oqa" Type="http://schemas.openxmlformats.org/officeDocument/2006/relationships/hyperlink" Target="https://docs.anthropic.com" TargetMode="External"/><Relationship Id="rId4ovv9xs2lnkw_ybc-whlo" Type="http://schemas.openxmlformats.org/officeDocument/2006/relationships/hyperlink" Target="https://platform.openai.com/docs/guides/images" TargetMode="External"/><Relationship Id="rIdynhs_blnrtvyqlmoc6xk5" Type="http://schemas.openxmlformats.org/officeDocument/2006/relationships/hyperlink" Target="https://vercel.com/docs" TargetMode="External"/><Relationship Id="rIdsbzacvx2fwl8pxjyw6s3x" Type="http://schemas.openxmlformats.org/officeDocument/2006/relationships/hyperlink" Target="https://nextjs.org/docs" TargetMode="External"/><Relationship Id="rId720_sl8whnpt0fbcgq-hv" Type="http://schemas.openxmlformats.org/officeDocument/2006/relationships/hyperlink" Target="https://www.mongodb.com/docs/atlas/" TargetMode="External"/><Relationship Id="rIdlcbjpmfbkrsbj3_iowikt" Type="http://schemas.openxmlformats.org/officeDocument/2006/relationships/hyperlink" Target="https://recharts.org" TargetMode="External"/><Relationship Id="rId9t5dv9t2two_ah-sbrapu" Type="http://schemas.openxmlformats.org/officeDocument/2006/relationships/hyperlink" Target="https://hospitality.yale.edu" TargetMode="External"/><Relationship Id="rIdakjhdeyr58awpcbgmjbik" Type="http://schemas.openxmlformats.org/officeDocument/2006/relationships/hyperlink" Target="https://www.nacufs.org" TargetMode="External"/><Relationship Id="rId_llk-3av6e9w7frepo5wf" Type="http://schemas.openxmlformats.org/officeDocument/2006/relationships/hyperlink" Target="https://refed.org" TargetMode="External"/><Relationship Id="rIdccr2ruui3pxj0eo6yx43-" Type="http://schemas.openxmlformats.org/officeDocument/2006/relationships/hyperlink" Target="https://github.com/yuanlee218/YoSOM" TargetMode="External"/><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YoSOM — Final Project Report (MGT575)</dc:title>
  <dc:creator>YoSOM team</dc:creator>
  <dc:description>Two-sided AI system for Yale SOM dining</dc:description>
  <cp:lastModifiedBy>Un-named</cp:lastModifiedBy>
  <cp:revision>1</cp:revision>
  <dcterms:created xsi:type="dcterms:W3CDTF">2026-05-02T23:26:40.121Z</dcterms:created>
  <dcterms:modified xsi:type="dcterms:W3CDTF">2026-05-02T23:26:40.132Z</dcterms:modified>
</cp:coreProperties>
</file>

<file path=docProps/custom.xml><?xml version="1.0" encoding="utf-8"?>
<Properties xmlns="http://schemas.openxmlformats.org/officeDocument/2006/custom-properties" xmlns:vt="http://schemas.openxmlformats.org/officeDocument/2006/docPropsVTypes"/>
</file>