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C9DAE">
      <w:pPr>
        <w:jc w:val="center"/>
      </w:pPr>
      <w:bookmarkStart w:id="37" w:name="_GoBack"/>
      <w:bookmarkEnd w:id="37"/>
      <w:r>
        <w:drawing>
          <wp:inline distT="0" distB="0" distL="114300" distR="114300">
            <wp:extent cx="2468880" cy="1008380"/>
            <wp:effectExtent l="0" t="0" r="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00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536E">
      <w:pPr>
        <w:jc w:val="center"/>
      </w:pPr>
      <w:r>
        <w:rPr>
          <w:b w:val="0"/>
        </w:rPr>
        <w:t>Escola Superior de Tecnologia</w:t>
      </w:r>
    </w:p>
    <w:p w14:paraId="273C72D2">
      <w:pPr>
        <w:jc w:val="center"/>
      </w:pPr>
      <w:r>
        <w:rPr>
          <w:b w:val="0"/>
        </w:rPr>
        <w:t>Licenciatura em Engenharia de Sistemas Informáticos</w:t>
      </w:r>
    </w:p>
    <w:p w14:paraId="421C51F3"/>
    <w:p w14:paraId="45B7ADA6"/>
    <w:p w14:paraId="1C5A06C7">
      <w:pPr>
        <w:pStyle w:val="38"/>
        <w:jc w:val="center"/>
      </w:pPr>
      <w:r>
        <w:t>Integração e validação de dados</w:t>
      </w:r>
      <w:r>
        <w:br w:type="textWrapping"/>
      </w:r>
      <w:r>
        <w:t>de uma oficina automóvel</w:t>
      </w:r>
    </w:p>
    <w:p w14:paraId="639CB8DE">
      <w:pPr>
        <w:jc w:val="center"/>
      </w:pPr>
      <w:r>
        <w:rPr>
          <w:b w:val="0"/>
        </w:rPr>
        <w:t>Trabalho Prático I</w:t>
      </w:r>
    </w:p>
    <w:p w14:paraId="44AFAE49">
      <w:pPr>
        <w:jc w:val="center"/>
      </w:pPr>
      <w:r>
        <w:rPr>
          <w:b w:val="0"/>
        </w:rPr>
        <w:t>ISI — Integração de Sistemas de Informação</w:t>
      </w:r>
    </w:p>
    <w:p w14:paraId="1910079E"/>
    <w:p w14:paraId="0E479946"/>
    <w:p w14:paraId="03772892">
      <w:pPr>
        <w:jc w:val="center"/>
      </w:pPr>
      <w:r>
        <w:rPr>
          <w:b w:val="0"/>
        </w:rPr>
        <w:t>Hugo Carvalho</w:t>
      </w:r>
    </w:p>
    <w:p w14:paraId="61491377">
      <w:pPr>
        <w:jc w:val="center"/>
      </w:pPr>
      <w:r>
        <w:rPr>
          <w:b w:val="0"/>
        </w:rPr>
        <w:t>Número de aluno 31519</w:t>
      </w:r>
    </w:p>
    <w:p w14:paraId="72EDCA11">
      <w:pPr>
        <w:jc w:val="center"/>
      </w:pPr>
      <w:r>
        <w:rPr>
          <w:b w:val="0"/>
        </w:rPr>
        <w:t>Docente Óscar Ribeiro</w:t>
      </w:r>
    </w:p>
    <w:p w14:paraId="3EE6B483">
      <w:pPr>
        <w:jc w:val="center"/>
      </w:pPr>
      <w:r>
        <w:rPr>
          <w:b w:val="0"/>
        </w:rPr>
        <w:t>Ano letivo 2026/2027</w:t>
      </w:r>
    </w:p>
    <w:p w14:paraId="725ED15F">
      <w:pPr>
        <w:jc w:val="center"/>
      </w:pPr>
      <w:r>
        <w:rPr>
          <w:b w:val="0"/>
        </w:rPr>
        <w:t>Barcelos · outubro de 2026</w:t>
      </w:r>
    </w:p>
    <w:p w14:paraId="40B1CE32">
      <w:r>
        <w:br w:type="page"/>
      </w:r>
    </w:p>
    <w:p w14:paraId="78F9D9C0">
      <w:pPr>
        <w:pStyle w:val="38"/>
      </w:pPr>
      <w:r>
        <w:t>Índice</w:t>
      </w:r>
    </w:p>
    <w:p w14:paraId="4CD24AE2">
      <w:pPr>
        <w:pStyle w:val="21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TOC \o "1-2" \h \z \u </w:instrText>
      </w:r>
      <w:r>
        <w:rPr>
          <w:sz w:val="20"/>
        </w:rPr>
        <w:fldChar w:fldCharType="separate"/>
      </w:r>
      <w:r>
        <w:rPr>
          <w:sz w:val="20"/>
        </w:rPr>
        <w:fldChar w:fldCharType="begin"/>
      </w:r>
      <w:r>
        <w:rPr>
          <w:sz w:val="20"/>
        </w:rPr>
        <w:instrText xml:space="preserve"> HYPERLINK \l _Toc23176 </w:instrText>
      </w:r>
      <w:r>
        <w:rPr>
          <w:sz w:val="20"/>
        </w:rPr>
        <w:fldChar w:fldCharType="separate"/>
      </w:r>
      <w:r>
        <w:rPr>
          <w:sz w:val="20"/>
        </w:rPr>
        <w:t>1 Introdução e enquadramento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_Toc23176 \h </w:instrText>
      </w:r>
      <w:r>
        <w:rPr>
          <w:sz w:val="20"/>
        </w:rPr>
        <w:fldChar w:fldCharType="separate"/>
      </w:r>
      <w:r>
        <w:rPr>
          <w:sz w:val="20"/>
        </w:rPr>
        <w:t>4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39B40377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_Toc11039 </w:instrText>
      </w:r>
      <w:r>
        <w:rPr>
          <w:sz w:val="20"/>
        </w:rPr>
        <w:fldChar w:fldCharType="separate"/>
      </w:r>
      <w:r>
        <w:rPr>
          <w:sz w:val="20"/>
        </w:rPr>
        <w:t>1.1 Objetivos e âmbito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_Toc11039 \h </w:instrText>
      </w:r>
      <w:r>
        <w:rPr>
          <w:sz w:val="20"/>
        </w:rPr>
        <w:fldChar w:fldCharType="separate"/>
      </w:r>
      <w:r>
        <w:rPr>
          <w:sz w:val="20"/>
        </w:rPr>
        <w:t>4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0BF6C97F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_Toc21719 </w:instrText>
      </w:r>
      <w:r>
        <w:rPr>
          <w:sz w:val="20"/>
        </w:rPr>
        <w:fldChar w:fldCharType="separate"/>
      </w:r>
      <w:r>
        <w:rPr>
          <w:sz w:val="20"/>
        </w:rPr>
        <w:t>1.2 Resultado principal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_Toc21719 \h </w:instrText>
      </w:r>
      <w:r>
        <w:rPr>
          <w:sz w:val="20"/>
        </w:rPr>
        <w:fldChar w:fldCharType="separate"/>
      </w:r>
      <w:r>
        <w:rPr>
          <w:sz w:val="20"/>
        </w:rPr>
        <w:t>4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52A12B18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_Toc4643 </w:instrText>
      </w:r>
      <w:r>
        <w:rPr>
          <w:sz w:val="20"/>
        </w:rPr>
        <w:fldChar w:fldCharType="separate"/>
      </w:r>
      <w:r>
        <w:rPr>
          <w:sz w:val="20"/>
        </w:rPr>
        <w:t>1.3 Organização do relatório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_Toc4643 \h </w:instrText>
      </w:r>
      <w:r>
        <w:rPr>
          <w:sz w:val="20"/>
        </w:rPr>
        <w:fldChar w:fldCharType="separate"/>
      </w:r>
      <w:r>
        <w:rPr>
          <w:sz w:val="20"/>
        </w:rPr>
        <w:t>4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6C6EE4BB">
      <w:pPr>
        <w:pStyle w:val="21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_Toc17425 </w:instrText>
      </w:r>
      <w:r>
        <w:rPr>
          <w:sz w:val="20"/>
        </w:rPr>
        <w:fldChar w:fldCharType="separate"/>
      </w:r>
      <w:r>
        <w:rPr>
          <w:sz w:val="20"/>
        </w:rPr>
        <w:t>2 Problema e dados utilizados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_Toc17425 \h </w:instrText>
      </w:r>
      <w:r>
        <w:rPr>
          <w:sz w:val="20"/>
        </w:rPr>
        <w:fldChar w:fldCharType="separate"/>
      </w:r>
      <w:r>
        <w:rPr>
          <w:sz w:val="20"/>
        </w:rPr>
        <w:t>5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6CA08285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_Toc25921 </w:instrText>
      </w:r>
      <w:r>
        <w:rPr>
          <w:sz w:val="20"/>
        </w:rPr>
        <w:fldChar w:fldCharType="separate"/>
      </w:r>
      <w:r>
        <w:rPr>
          <w:sz w:val="20"/>
        </w:rPr>
        <w:t>2.1 Problemas introduzidos para teste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_Toc25921 \h </w:instrText>
      </w:r>
      <w:r>
        <w:rPr>
          <w:sz w:val="20"/>
        </w:rPr>
        <w:fldChar w:fldCharType="separate"/>
      </w:r>
      <w:r>
        <w:rPr>
          <w:sz w:val="20"/>
        </w:rPr>
        <w:t>5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423115E7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_Toc16247 </w:instrText>
      </w:r>
      <w:r>
        <w:rPr>
          <w:sz w:val="20"/>
        </w:rPr>
        <w:fldChar w:fldCharType="separate"/>
      </w:r>
      <w:r>
        <w:rPr>
          <w:sz w:val="20"/>
        </w:rPr>
        <w:t>2.2 Decisões de negócio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_Toc16247 \h </w:instrText>
      </w:r>
      <w:r>
        <w:rPr>
          <w:sz w:val="20"/>
        </w:rPr>
        <w:fldChar w:fldCharType="separate"/>
      </w:r>
      <w:r>
        <w:rPr>
          <w:sz w:val="20"/>
        </w:rPr>
        <w:t>5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342F8198">
      <w:pPr>
        <w:pStyle w:val="21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_Toc3958 </w:instrText>
      </w:r>
      <w:r>
        <w:rPr>
          <w:sz w:val="20"/>
        </w:rPr>
        <w:fldChar w:fldCharType="separate"/>
      </w:r>
      <w:r>
        <w:rPr>
          <w:sz w:val="20"/>
        </w:rPr>
        <w:t>3 Estratégia e arquitetura da solução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_Toc3958 \h </w:instrText>
      </w:r>
      <w:r>
        <w:rPr>
          <w:sz w:val="20"/>
        </w:rPr>
        <w:fldChar w:fldCharType="separate"/>
      </w:r>
      <w:r>
        <w:rPr>
          <w:sz w:val="20"/>
        </w:rPr>
        <w:t>6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08B8B623">
      <w:pPr>
        <w:pStyle w:val="21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_Toc31687 </w:instrText>
      </w:r>
      <w:r>
        <w:rPr>
          <w:sz w:val="20"/>
        </w:rPr>
        <w:fldChar w:fldCharType="separate"/>
      </w:r>
      <w:r>
        <w:rPr>
          <w:sz w:val="20"/>
        </w:rPr>
        <w:t>4 Fontes e preparação dos dados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_Toc31687 \h </w:instrText>
      </w:r>
      <w:r>
        <w:rPr>
          <w:sz w:val="20"/>
        </w:rPr>
        <w:fldChar w:fldCharType="separate"/>
      </w:r>
      <w:r>
        <w:rPr>
          <w:sz w:val="20"/>
        </w:rPr>
        <w:t>7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629A8A3F">
      <w:pPr>
        <w:pStyle w:val="21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_Toc31062 </w:instrText>
      </w:r>
      <w:r>
        <w:rPr>
          <w:sz w:val="20"/>
        </w:rPr>
        <w:fldChar w:fldCharType="separate"/>
      </w:r>
      <w:r>
        <w:rPr>
          <w:sz w:val="20"/>
        </w:rPr>
        <w:t>5 Transformações desenvolvidas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_Toc31062 \h </w:instrText>
      </w:r>
      <w:r>
        <w:rPr>
          <w:sz w:val="20"/>
        </w:rPr>
        <w:fldChar w:fldCharType="separate"/>
      </w:r>
      <w:r>
        <w:rPr>
          <w:sz w:val="20"/>
        </w:rPr>
        <w:t>8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3FEDCF8D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_Toc29395 </w:instrText>
      </w:r>
      <w:r>
        <w:rPr>
          <w:sz w:val="20"/>
        </w:rPr>
        <w:fldChar w:fldCharType="separate"/>
      </w:r>
      <w:r>
        <w:rPr>
          <w:sz w:val="20"/>
        </w:rPr>
        <w:t>5.1 Preparação dos clientes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_Toc29395 \h </w:instrText>
      </w:r>
      <w:r>
        <w:rPr>
          <w:sz w:val="20"/>
        </w:rPr>
        <w:fldChar w:fldCharType="separate"/>
      </w:r>
      <w:r>
        <w:rPr>
          <w:sz w:val="20"/>
        </w:rPr>
        <w:t>8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69BF7307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_Toc17106 </w:instrText>
      </w:r>
      <w:r>
        <w:rPr>
          <w:sz w:val="20"/>
        </w:rPr>
        <w:fldChar w:fldCharType="separate"/>
      </w:r>
      <w:r>
        <w:rPr>
          <w:sz w:val="20"/>
        </w:rPr>
        <w:t>5.2 Preparação dos veículos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_Toc17106 \h </w:instrText>
      </w:r>
      <w:r>
        <w:rPr>
          <w:sz w:val="20"/>
        </w:rPr>
        <w:fldChar w:fldCharType="separate"/>
      </w:r>
      <w:r>
        <w:rPr>
          <w:sz w:val="20"/>
        </w:rPr>
        <w:t>9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27D91CD0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_Toc9374 </w:instrText>
      </w:r>
      <w:r>
        <w:rPr>
          <w:sz w:val="20"/>
        </w:rPr>
        <w:fldChar w:fldCharType="separate"/>
      </w:r>
      <w:r>
        <w:rPr>
          <w:sz w:val="20"/>
        </w:rPr>
        <w:t>5.3 Validação e integração das intervenções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_Toc9374 \h </w:instrText>
      </w:r>
      <w:r>
        <w:rPr>
          <w:sz w:val="20"/>
        </w:rPr>
        <w:fldChar w:fldCharType="separate"/>
      </w:r>
      <w:r>
        <w:rPr>
          <w:sz w:val="20"/>
        </w:rPr>
        <w:t>10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09798C94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_Toc13395 </w:instrText>
      </w:r>
      <w:r>
        <w:rPr>
          <w:sz w:val="20"/>
        </w:rPr>
        <w:fldChar w:fldCharType="separate"/>
      </w:r>
      <w:r>
        <w:rPr>
          <w:sz w:val="20"/>
        </w:rPr>
        <w:t>5.4 Cálculo de custos e persistência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_Toc13395 \h </w:instrText>
      </w:r>
      <w:r>
        <w:rPr>
          <w:sz w:val="20"/>
        </w:rPr>
        <w:fldChar w:fldCharType="separate"/>
      </w:r>
      <w:r>
        <w:rPr>
          <w:sz w:val="20"/>
        </w:rPr>
        <w:t>11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44A84EDF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_Toc9882 </w:instrText>
      </w:r>
      <w:r>
        <w:rPr>
          <w:sz w:val="20"/>
        </w:rPr>
        <w:fldChar w:fldCharType="separate"/>
      </w:r>
      <w:r>
        <w:rPr>
          <w:sz w:val="20"/>
        </w:rPr>
        <w:t>5.5 Resumos mensal e por serviço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_Toc9882 \h </w:instrText>
      </w:r>
      <w:r>
        <w:rPr>
          <w:sz w:val="20"/>
        </w:rPr>
        <w:fldChar w:fldCharType="separate"/>
      </w:r>
      <w:r>
        <w:rPr>
          <w:sz w:val="20"/>
        </w:rPr>
        <w:t>12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26A6CC65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_Toc27009 </w:instrText>
      </w:r>
      <w:r>
        <w:rPr>
          <w:sz w:val="20"/>
        </w:rPr>
        <w:fldChar w:fldCharType="separate"/>
      </w:r>
      <w:r>
        <w:rPr>
          <w:sz w:val="20"/>
        </w:rPr>
        <w:t>5.6 Consulta detalhada das intervenções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_Toc27009 \h </w:instrText>
      </w:r>
      <w:r>
        <w:rPr>
          <w:sz w:val="20"/>
        </w:rPr>
        <w:fldChar w:fldCharType="separate"/>
      </w:r>
      <w:r>
        <w:rPr>
          <w:sz w:val="20"/>
        </w:rPr>
        <w:t>13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352A252D">
      <w:pPr>
        <w:pStyle w:val="21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_Toc6599 </w:instrText>
      </w:r>
      <w:r>
        <w:rPr>
          <w:sz w:val="20"/>
        </w:rPr>
        <w:fldChar w:fldCharType="separate"/>
      </w:r>
      <w:r>
        <w:rPr>
          <w:sz w:val="20"/>
        </w:rPr>
        <w:t>6 Jobs e controlo da execução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_Toc6599 \h </w:instrText>
      </w:r>
      <w:r>
        <w:rPr>
          <w:sz w:val="20"/>
        </w:rPr>
        <w:fldChar w:fldCharType="separate"/>
      </w:r>
      <w:r>
        <w:rPr>
          <w:sz w:val="20"/>
        </w:rPr>
        <w:t>14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383E07F9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_Toc2927 </w:instrText>
      </w:r>
      <w:r>
        <w:rPr>
          <w:sz w:val="20"/>
        </w:rPr>
        <w:fldChar w:fldCharType="separate"/>
      </w:r>
      <w:r>
        <w:rPr>
          <w:sz w:val="20"/>
        </w:rPr>
        <w:t>6.1 Teste de falha controlada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_Toc2927 \h </w:instrText>
      </w:r>
      <w:r>
        <w:rPr>
          <w:sz w:val="20"/>
        </w:rPr>
        <w:fldChar w:fldCharType="separate"/>
      </w:r>
      <w:r>
        <w:rPr>
          <w:sz w:val="20"/>
        </w:rPr>
        <w:t>14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32F0A03B">
      <w:pPr>
        <w:pStyle w:val="21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_Toc9913 </w:instrText>
      </w:r>
      <w:r>
        <w:rPr>
          <w:sz w:val="20"/>
        </w:rPr>
        <w:fldChar w:fldCharType="separate"/>
      </w:r>
      <w:r>
        <w:rPr>
          <w:sz w:val="20"/>
        </w:rPr>
        <w:t>7 Validação e resultados obtidos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_Toc9913 \h </w:instrText>
      </w:r>
      <w:r>
        <w:rPr>
          <w:sz w:val="20"/>
        </w:rPr>
        <w:fldChar w:fldCharType="separate"/>
      </w:r>
      <w:r>
        <w:rPr>
          <w:sz w:val="20"/>
        </w:rPr>
        <w:t>15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054C6170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_Toc23815 </w:instrText>
      </w:r>
      <w:r>
        <w:rPr>
          <w:sz w:val="20"/>
        </w:rPr>
        <w:fldChar w:fldCharType="separate"/>
      </w:r>
      <w:r>
        <w:rPr>
          <w:sz w:val="20"/>
        </w:rPr>
        <w:t>7.1 Indicadores e leitura dos resultados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_Toc23815 \h </w:instrText>
      </w:r>
      <w:r>
        <w:rPr>
          <w:sz w:val="20"/>
        </w:rPr>
        <w:fldChar w:fldCharType="separate"/>
      </w:r>
      <w:r>
        <w:rPr>
          <w:sz w:val="20"/>
        </w:rPr>
        <w:t>16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3DB04BCF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_Toc22220 </w:instrText>
      </w:r>
      <w:r>
        <w:rPr>
          <w:sz w:val="20"/>
        </w:rPr>
        <w:fldChar w:fldCharType="separate"/>
      </w:r>
      <w:r>
        <w:rPr>
          <w:sz w:val="20"/>
        </w:rPr>
        <w:t>7.2 Comparação entre serviços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_Toc22220 \h </w:instrText>
      </w:r>
      <w:r>
        <w:rPr>
          <w:sz w:val="20"/>
        </w:rPr>
        <w:fldChar w:fldCharType="separate"/>
      </w:r>
      <w:r>
        <w:rPr>
          <w:sz w:val="20"/>
        </w:rPr>
        <w:t>17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7A164E40">
      <w:pPr>
        <w:pStyle w:val="21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_Toc13283 </w:instrText>
      </w:r>
      <w:r>
        <w:rPr>
          <w:sz w:val="20"/>
        </w:rPr>
        <w:fldChar w:fldCharType="separate"/>
      </w:r>
      <w:r>
        <w:rPr>
          <w:sz w:val="20"/>
        </w:rPr>
        <w:t>8 Representação visual no Power BI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_Toc13283 \h </w:instrText>
      </w:r>
      <w:r>
        <w:rPr>
          <w:sz w:val="20"/>
        </w:rPr>
        <w:fldChar w:fldCharType="separate"/>
      </w:r>
      <w:r>
        <w:rPr>
          <w:sz w:val="20"/>
        </w:rPr>
        <w:t>18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386860FF">
      <w:pPr>
        <w:pStyle w:val="35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_Toc7191 </w:instrText>
      </w:r>
      <w:r>
        <w:rPr>
          <w:sz w:val="20"/>
        </w:rPr>
        <w:fldChar w:fldCharType="separate"/>
      </w:r>
      <w:r>
        <w:rPr>
          <w:sz w:val="20"/>
        </w:rPr>
        <w:t>8.1 Tipos de dados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_Toc7191 \h </w:instrText>
      </w:r>
      <w:r>
        <w:rPr>
          <w:sz w:val="20"/>
        </w:rPr>
        <w:fldChar w:fldCharType="separate"/>
      </w:r>
      <w:r>
        <w:rPr>
          <w:sz w:val="20"/>
        </w:rPr>
        <w:t>18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3E3C2926">
      <w:pPr>
        <w:pStyle w:val="21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_Toc2306 </w:instrText>
      </w:r>
      <w:r>
        <w:rPr>
          <w:sz w:val="20"/>
        </w:rPr>
        <w:fldChar w:fldCharType="separate"/>
      </w:r>
      <w:r>
        <w:rPr>
          <w:sz w:val="20"/>
        </w:rPr>
        <w:t>Vídeo de demonstração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_Toc2306 \h </w:instrText>
      </w:r>
      <w:r>
        <w:rPr>
          <w:sz w:val="20"/>
        </w:rPr>
        <w:fldChar w:fldCharType="separate"/>
      </w:r>
      <w:r>
        <w:rPr>
          <w:sz w:val="20"/>
        </w:rPr>
        <w:t>19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74A268DD">
      <w:pPr>
        <w:pStyle w:val="21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_Toc9692 </w:instrText>
      </w:r>
      <w:r>
        <w:rPr>
          <w:sz w:val="20"/>
        </w:rPr>
        <w:fldChar w:fldCharType="separate"/>
      </w:r>
      <w:r>
        <w:rPr>
          <w:sz w:val="20"/>
        </w:rPr>
        <w:t>Referências bibliográficas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_Toc9692 \h </w:instrText>
      </w:r>
      <w:r>
        <w:rPr>
          <w:sz w:val="20"/>
        </w:rPr>
        <w:fldChar w:fldCharType="separate"/>
      </w:r>
      <w:r>
        <w:rPr>
          <w:sz w:val="20"/>
        </w:rPr>
        <w:t>20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521E71C0">
      <w:pPr>
        <w:pStyle w:val="21"/>
        <w:tabs>
          <w:tab w:val="right" w:leader="dot" w:pos="9706"/>
        </w:tabs>
        <w:spacing w:after="0" w:line="260" w:lineRule="exact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_Toc26606 </w:instrText>
      </w:r>
      <w:r>
        <w:rPr>
          <w:sz w:val="20"/>
        </w:rPr>
        <w:fldChar w:fldCharType="separate"/>
      </w:r>
      <w:r>
        <w:rPr>
          <w:sz w:val="20"/>
        </w:rPr>
        <w:t>9 Conclusão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_Toc26606 \h </w:instrText>
      </w:r>
      <w:r>
        <w:rPr>
          <w:sz w:val="20"/>
        </w:rPr>
        <w:fldChar w:fldCharType="separate"/>
      </w:r>
      <w:r>
        <w:rPr>
          <w:sz w:val="20"/>
        </w:rPr>
        <w:t>21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1441A6A2">
      <w:pPr>
        <w:spacing w:after="0" w:line="260" w:lineRule="exact"/>
      </w:pPr>
      <w:r>
        <w:rPr>
          <w:sz w:val="20"/>
        </w:rPr>
        <w:fldChar w:fldCharType="end"/>
      </w:r>
    </w:p>
    <w:p w14:paraId="1617D33C">
      <w:r>
        <w:br w:type="page"/>
      </w:r>
    </w:p>
    <w:p w14:paraId="3556F75D">
      <w:pPr>
        <w:pStyle w:val="38"/>
      </w:pPr>
      <w:r>
        <w:t>Índice de figuras</w:t>
      </w:r>
    </w:p>
    <w:p w14:paraId="45C5926A">
      <w:pPr>
        <w:pStyle w:val="19"/>
        <w:tabs>
          <w:tab w:val="right" w:leader="dot" w:pos="9706"/>
        </w:tabs>
      </w:pPr>
      <w:r>
        <w:fldChar w:fldCharType="begin"/>
      </w:r>
      <w:r>
        <w:instrText xml:space="preserve"> TOC \h \z \c "Figura" </w:instrText>
      </w:r>
      <w:r>
        <w:fldChar w:fldCharType="separate"/>
      </w:r>
      <w:r>
        <w:fldChar w:fldCharType="begin"/>
      </w:r>
      <w:r>
        <w:instrText xml:space="preserve"> HYPERLINK \l _Toc30804 </w:instrText>
      </w:r>
      <w:r>
        <w:fldChar w:fldCharType="separate"/>
      </w:r>
      <w:r>
        <w:t>Figura 1  — Arquitetura funcional da solução e circulação dos dados</w:t>
      </w:r>
      <w:r>
        <w:tab/>
      </w:r>
      <w:r>
        <w:fldChar w:fldCharType="begin"/>
      </w:r>
      <w:r>
        <w:instrText xml:space="preserve"> PAGEREF _Toc30804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1C1417A">
      <w:pPr>
        <w:pStyle w:val="19"/>
        <w:tabs>
          <w:tab w:val="right" w:leader="dot" w:pos="9706"/>
        </w:tabs>
      </w:pPr>
      <w:r>
        <w:fldChar w:fldCharType="begin"/>
      </w:r>
      <w:r>
        <w:instrText xml:space="preserve"> HYPERLINK \l _Toc32029 </w:instrText>
      </w:r>
      <w:r>
        <w:fldChar w:fldCharType="separate"/>
      </w:r>
      <w:r>
        <w:t>Figura 2  — Excertos dos ficheiros de entrada CSV JSON e XML</w:t>
      </w:r>
      <w:r>
        <w:tab/>
      </w:r>
      <w:r>
        <w:fldChar w:fldCharType="begin"/>
      </w:r>
      <w:r>
        <w:instrText xml:space="preserve"> PAGEREF _Toc32029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DBC1E6D">
      <w:pPr>
        <w:pStyle w:val="19"/>
        <w:tabs>
          <w:tab w:val="right" w:leader="dot" w:pos="9706"/>
        </w:tabs>
      </w:pPr>
      <w:r>
        <w:fldChar w:fldCharType="begin"/>
      </w:r>
      <w:r>
        <w:instrText xml:space="preserve"> HYPERLINK \l _Toc15748 </w:instrText>
      </w:r>
      <w:r>
        <w:fldChar w:fldCharType="separate"/>
      </w:r>
      <w:r>
        <w:t>Figura 3  — Esquema da transformação de clientes com ramo de avisos</w:t>
      </w:r>
      <w:r>
        <w:tab/>
      </w:r>
      <w:r>
        <w:fldChar w:fldCharType="begin"/>
      </w:r>
      <w:r>
        <w:instrText xml:space="preserve"> PAGEREF _Toc15748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292E120">
      <w:pPr>
        <w:pStyle w:val="19"/>
        <w:tabs>
          <w:tab w:val="right" w:leader="dot" w:pos="9706"/>
        </w:tabs>
      </w:pPr>
      <w:r>
        <w:fldChar w:fldCharType="begin"/>
      </w:r>
      <w:r>
        <w:instrText xml:space="preserve"> HYPERLINK \l _Toc12233 </w:instrText>
      </w:r>
      <w:r>
        <w:fldChar w:fldCharType="separate"/>
      </w:r>
      <w:r>
        <w:t>Figura 4  — Esquema da transformação de veículos e procura de proprietário</w:t>
      </w:r>
      <w:r>
        <w:tab/>
      </w:r>
      <w:r>
        <w:fldChar w:fldCharType="begin"/>
      </w:r>
      <w:r>
        <w:instrText xml:space="preserve"> PAGEREF _Toc12233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9743179">
      <w:pPr>
        <w:pStyle w:val="19"/>
        <w:tabs>
          <w:tab w:val="right" w:leader="dot" w:pos="9706"/>
        </w:tabs>
      </w:pPr>
      <w:r>
        <w:fldChar w:fldCharType="begin"/>
      </w:r>
      <w:r>
        <w:instrText xml:space="preserve"> HYPERLINK \l _Toc14946 </w:instrText>
      </w:r>
      <w:r>
        <w:fldChar w:fldCharType="separate"/>
      </w:r>
      <w:r>
        <w:t>Figura 5  — Esquema da validação das intervenções até à carga na base de dados</w:t>
      </w:r>
      <w:r>
        <w:tab/>
      </w:r>
      <w:r>
        <w:fldChar w:fldCharType="begin"/>
      </w:r>
      <w:r>
        <w:instrText xml:space="preserve"> PAGEREF _Toc14946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5BD6EC5">
      <w:pPr>
        <w:pStyle w:val="19"/>
        <w:tabs>
          <w:tab w:val="right" w:leader="dot" w:pos="9706"/>
        </w:tabs>
      </w:pPr>
      <w:r>
        <w:fldChar w:fldCharType="begin"/>
      </w:r>
      <w:r>
        <w:instrText xml:space="preserve"> HYPERLINK \l _Toc18401 </w:instrText>
      </w:r>
      <w:r>
        <w:fldChar w:fldCharType="separate"/>
      </w:r>
      <w:r>
        <w:t>Figura 6  — Dois ramos de agregação com cópia completa das intervenções</w:t>
      </w:r>
      <w:r>
        <w:tab/>
      </w:r>
      <w:r>
        <w:fldChar w:fldCharType="begin"/>
      </w:r>
      <w:r>
        <w:instrText xml:space="preserve"> PAGEREF _Toc18401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8E5EE74">
      <w:pPr>
        <w:pStyle w:val="19"/>
        <w:tabs>
          <w:tab w:val="right" w:leader="dot" w:pos="9706"/>
        </w:tabs>
      </w:pPr>
      <w:r>
        <w:fldChar w:fldCharType="begin"/>
      </w:r>
      <w:r>
        <w:instrText xml:space="preserve"> HYPERLINK \l _Toc2794 </w:instrText>
      </w:r>
      <w:r>
        <w:fldChar w:fldCharType="separate"/>
      </w:r>
      <w:r>
        <w:t>Figura 7  — Excerto do resumo mensal exportado em CSV</w:t>
      </w:r>
      <w:r>
        <w:tab/>
      </w:r>
      <w:r>
        <w:fldChar w:fldCharType="begin"/>
      </w:r>
      <w:r>
        <w:instrText xml:space="preserve"> PAGEREF _Toc2794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5365E67">
      <w:pPr>
        <w:pStyle w:val="19"/>
        <w:tabs>
          <w:tab w:val="right" w:leader="dot" w:pos="9706"/>
        </w:tabs>
      </w:pPr>
      <w:r>
        <w:fldChar w:fldCharType="begin"/>
      </w:r>
      <w:r>
        <w:instrText xml:space="preserve"> HYPERLINK \l _Toc31466 </w:instrText>
      </w:r>
      <w:r>
        <w:fldChar w:fldCharType="separate"/>
      </w:r>
      <w:r>
        <w:t>Figura 8  — Sequência do job principal e encaminhamento de falhas técnicas</w:t>
      </w:r>
      <w:r>
        <w:tab/>
      </w:r>
      <w:r>
        <w:fldChar w:fldCharType="begin"/>
      </w:r>
      <w:r>
        <w:instrText xml:space="preserve"> PAGEREF _Toc31466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94A0CF8">
      <w:pPr>
        <w:pStyle w:val="19"/>
        <w:tabs>
          <w:tab w:val="right" w:leader="dot" w:pos="9706"/>
        </w:tabs>
      </w:pPr>
      <w:r>
        <w:fldChar w:fldCharType="begin"/>
      </w:r>
      <w:r>
        <w:instrText xml:space="preserve"> HYPERLINK \l _Toc5995 </w:instrText>
      </w:r>
      <w:r>
        <w:fldChar w:fldCharType="separate"/>
      </w:r>
      <w:r>
        <w:t>Figura 9  — Evidência nos logs do sucesso do job e da falha controlada</w:t>
      </w:r>
      <w:r>
        <w:tab/>
      </w:r>
      <w:r>
        <w:fldChar w:fldCharType="begin"/>
      </w:r>
      <w:r>
        <w:instrText xml:space="preserve"> PAGEREF _Toc5995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92FD3C5">
      <w:pPr>
        <w:pStyle w:val="19"/>
        <w:tabs>
          <w:tab w:val="right" w:leader="dot" w:pos="9706"/>
        </w:tabs>
      </w:pPr>
      <w:r>
        <w:fldChar w:fldCharType="begin"/>
      </w:r>
      <w:r>
        <w:instrText xml:space="preserve"> HYPERLINK \l _Toc12099 </w:instrText>
      </w:r>
      <w:r>
        <w:fldChar w:fldCharType="separate"/>
      </w:r>
      <w:r>
        <w:t>Figura 10  — Captura do relatório Power BI durante a construção da página</w:t>
      </w:r>
      <w:r>
        <w:tab/>
      </w:r>
      <w:r>
        <w:fldChar w:fldCharType="begin"/>
      </w:r>
      <w:r>
        <w:instrText xml:space="preserve"> PAGEREF _Toc12099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A4AAB63">
      <w:pPr>
        <w:pStyle w:val="19"/>
        <w:tabs>
          <w:tab w:val="right" w:leader="dot" w:pos="9706"/>
        </w:tabs>
      </w:pPr>
      <w:r>
        <w:fldChar w:fldCharType="begin"/>
      </w:r>
      <w:r>
        <w:instrText xml:space="preserve"> HYPERLINK \l _Toc4585 </w:instrText>
      </w:r>
      <w:r>
        <w:fldChar w:fldCharType="separate"/>
      </w:r>
      <w:r>
        <w:t>Figura 11  — QR Code do vídeo de demonstração</w:t>
      </w:r>
      <w:r>
        <w:tab/>
      </w:r>
      <w:r>
        <w:fldChar w:fldCharType="begin"/>
      </w:r>
      <w:r>
        <w:instrText xml:space="preserve"> PAGEREF _Toc4585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2C9CFEE">
      <w:r>
        <w:fldChar w:fldCharType="end"/>
      </w:r>
    </w:p>
    <w:p w14:paraId="1B11A0FE">
      <w:r>
        <w:br w:type="page"/>
      </w:r>
    </w:p>
    <w:p w14:paraId="76F83202">
      <w:pPr>
        <w:pStyle w:val="2"/>
      </w:pPr>
      <w:bookmarkStart w:id="0" w:name="_Toc23176"/>
      <w:r>
        <w:t>1 Introdução e enquadramento</w:t>
      </w:r>
      <w:bookmarkEnd w:id="0"/>
    </w:p>
    <w:p w14:paraId="6255F121">
      <w:r>
        <w:rPr>
          <w:b w:val="0"/>
        </w:rPr>
        <w:t>Este trabalho integra dados de uma oficina automóvel que se encontram separados em ficheiros e numa base de dados. A solução desenvolvida permite reunir clientes, veículos, intervenções e preços de serviços, detetar problemas de qualidade e produzir informação organizada para consulta e análise.</w:t>
      </w:r>
    </w:p>
    <w:p w14:paraId="5319B604">
      <w:r>
        <w:rPr>
          <w:b w:val="0"/>
        </w:rPr>
        <w:t>O projeto foi realizado individualmente, no âmbito da unidade curricular de Integração de Sistemas de Informação. O cenário é fictício, mas representa dificuldades comuns quando uma organização utiliza várias aplicações ou ficheiros sem um modelo de dados uniforme.</w:t>
      </w:r>
    </w:p>
    <w:p w14:paraId="73993FD1">
      <w:pPr>
        <w:pStyle w:val="3"/>
      </w:pPr>
      <w:bookmarkStart w:id="1" w:name="_Toc11039"/>
      <w:r>
        <w:t>1.1 Objetivos e âmbito</w:t>
      </w:r>
      <w:bookmarkEnd w:id="1"/>
    </w:p>
    <w:p w14:paraId="16658404">
      <w:r>
        <w:rPr>
          <w:b w:val="0"/>
        </w:rPr>
        <w:t>O objetivo principal é demonstrar um processo ETL completo: extrair dados de origens heterogéneas, transformar os registos segundo regras de negócio e carregar os resultados num destino consistente. O enunciado orienta a organização destas três fases e a documentação das transformações e dos jobs.</w:t>
      </w:r>
    </w:p>
    <w:p w14:paraId="19C3A767">
      <w:r>
        <w:rPr>
          <w:b w:val="0"/>
        </w:rPr>
        <w:t>Foram utilizados CSV para clientes, JSON para veículos, XML para intervenções e PostgreSQL para o catálogo de serviços e para a persistência final. O Pentaho Data Integration executa o tratamento e a orquestração. O Power BI Desktop acrescenta uma representação visual dos resumos produzidos.</w:t>
      </w:r>
    </w:p>
    <w:p w14:paraId="606FACF9">
      <w:pPr>
        <w:pStyle w:val="3"/>
      </w:pPr>
      <w:bookmarkStart w:id="2" w:name="_Toc21719"/>
      <w:r>
        <w:t>1.2 Resultado principal</w:t>
      </w:r>
      <w:bookmarkEnd w:id="2"/>
    </w:p>
    <w:p w14:paraId="35D5A581">
      <w:r>
        <w:rPr>
          <w:b w:val="0"/>
        </w:rPr>
        <w:t>A execução com os dados fornecidos produz 140 intervenções aceites, correspondentes a 222,50 horas de trabalho e a um custo total simulado de 21 187,15 €. Os registos que não cumprem os critérios são separados, preservando o motivo da rejeição. Repetir o job mantém 140 intervenções na tabela de destino, sem duplicar os identificadores.</w:t>
      </w:r>
    </w:p>
    <w:p w14:paraId="4060DDB8">
      <w:r>
        <w:t>O campo custo_total representa o valor calculado de cada intervenção: horas de trabalho multiplicadas pela tarifa do serviço, acrescidas do valor das peças, antes de IVA. Os nomes, contactos, matrículas e restantes dados utilizados são sintéticos.</w:t>
      </w:r>
    </w:p>
    <w:p w14:paraId="10211AA2">
      <w:pPr>
        <w:pStyle w:val="3"/>
      </w:pPr>
      <w:bookmarkStart w:id="3" w:name="_Toc4643"/>
      <w:r>
        <w:t>1.3 Organização do relatório</w:t>
      </w:r>
      <w:bookmarkEnd w:id="3"/>
    </w:p>
    <w:p w14:paraId="30BB85F6">
      <w:r>
        <w:t>As secções seguintes apresentam o problema, a estratégia e a arquitetura, as transformações, os jobs e os testes. Seguem-se os resultados, a representação visual, o vídeo de demonstração, as referências e a conclusão. As instruções de execução encontram-se no README. As figuras distinguem esquemas, excertos de ficheiros e capturas da aplicação.</w:t>
      </w:r>
    </w:p>
    <w:p w14:paraId="3091DEBB">
      <w:r>
        <w:br w:type="page"/>
      </w:r>
    </w:p>
    <w:p w14:paraId="7B7B1F74">
      <w:pPr>
        <w:pStyle w:val="2"/>
      </w:pPr>
      <w:bookmarkStart w:id="4" w:name="_Toc17425"/>
      <w:r>
        <w:t>2 Problema e dados utilizados</w:t>
      </w:r>
      <w:bookmarkEnd w:id="4"/>
    </w:p>
    <w:p w14:paraId="40B86DAA">
      <w:r>
        <w:rPr>
          <w:b w:val="0"/>
        </w:rPr>
        <w:t>Numa oficina, conhecer o trabalho efetuado exige relacionar uma intervenção com o veículo, o proprietário e o serviço realizado. Se esta informação estiver dispersa, torna-se difícil confirmar a quem pertence o veículo, qual o preço por hora a aplicar e quanto custou cada intervenção. A contagem manual também pode ser afetada por duplicados e registos incompletos.</w:t>
      </w:r>
    </w:p>
    <w:p w14:paraId="61CB30AF">
      <w:r>
        <w:rPr>
          <w:b w:val="0"/>
        </w:rPr>
        <w:t>O problema explorado consiste em transformar essas fontes separadas numa visão coerente das intervenções, sem aceitar silenciosamente dados inválidos. A solução deve conservar informação suficiente para explicar as decisões de qualidade e permitir que uma nova execução seja realizada de forma controlada.</w:t>
      </w:r>
    </w:p>
    <w:tbl>
      <w:tblPr>
        <w:tblStyle w:val="12"/>
        <w:tblW w:w="0" w:type="auto"/>
        <w:tblInd w:w="0" w:type="dxa"/>
        <w:tblBorders>
          <w:top w:val="single" w:color="D6DCE0" w:sz="4" w:space="0"/>
          <w:left w:val="single" w:color="D6DCE0" w:sz="4" w:space="0"/>
          <w:bottom w:val="single" w:color="D6DCE0" w:sz="4" w:space="0"/>
          <w:right w:val="single" w:color="D6DCE0" w:sz="4" w:space="0"/>
          <w:insideH w:val="single" w:color="D6DCE0" w:sz="4" w:space="0"/>
          <w:insideV w:val="single" w:color="D6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312"/>
        <w:gridCol w:w="4032"/>
      </w:tblGrid>
      <w:tr w14:paraId="064AF4E1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04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DA1C1">
            <w:pPr>
              <w:spacing w:after="40" w:line="247" w:lineRule="auto"/>
            </w:pPr>
            <w:r>
              <w:rPr>
                <w:b/>
                <w:sz w:val="20"/>
              </w:rPr>
              <w:t>Origem</w:t>
            </w:r>
          </w:p>
        </w:tc>
        <w:tc>
          <w:tcPr>
            <w:tcW w:w="3312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42AB2">
            <w:pPr>
              <w:spacing w:after="40" w:line="247" w:lineRule="auto"/>
            </w:pPr>
            <w:r>
              <w:rPr>
                <w:b/>
                <w:sz w:val="20"/>
              </w:rPr>
              <w:t>Conteúdo e dimensão</w:t>
            </w:r>
          </w:p>
        </w:tc>
        <w:tc>
          <w:tcPr>
            <w:tcW w:w="4032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CE613">
            <w:pPr>
              <w:spacing w:after="40" w:line="247" w:lineRule="auto"/>
            </w:pPr>
            <w:r>
              <w:rPr>
                <w:b/>
                <w:sz w:val="20"/>
              </w:rPr>
              <w:t>Função no processo</w:t>
            </w:r>
          </w:p>
        </w:tc>
      </w:tr>
      <w:tr w14:paraId="263F43A9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FD56A">
            <w:pPr>
              <w:spacing w:after="40" w:line="247" w:lineRule="auto"/>
            </w:pPr>
            <w:r>
              <w:rPr>
                <w:b w:val="0"/>
                <w:sz w:val="20"/>
              </w:rPr>
              <w:t>clientes.csv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B7612">
            <w:pPr>
              <w:spacing w:after="40" w:line="247" w:lineRule="auto"/>
            </w:pPr>
            <w:r>
              <w:rPr>
                <w:b w:val="0"/>
                <w:sz w:val="20"/>
              </w:rPr>
              <w:t>31 linhas; 30 IDs distintos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ACC5D">
            <w:pPr>
              <w:spacing w:after="40" w:line="247" w:lineRule="auto"/>
            </w:pPr>
            <w:r>
              <w:rPr>
                <w:b w:val="0"/>
                <w:sz w:val="20"/>
              </w:rPr>
              <w:t>Identificação e contactos dos proprietários</w:t>
            </w:r>
          </w:p>
        </w:tc>
      </w:tr>
      <w:tr w14:paraId="181034AE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CECAF">
            <w:pPr>
              <w:spacing w:after="40" w:line="247" w:lineRule="auto"/>
            </w:pPr>
            <w:r>
              <w:rPr>
                <w:b w:val="0"/>
                <w:sz w:val="20"/>
              </w:rPr>
              <w:t>veiculos.json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175AE">
            <w:pPr>
              <w:spacing w:after="40" w:line="247" w:lineRule="auto"/>
            </w:pPr>
            <w:r>
              <w:rPr>
                <w:b w:val="0"/>
                <w:sz w:val="20"/>
              </w:rPr>
              <w:t>45 veículos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97C58">
            <w:pPr>
              <w:spacing w:after="40" w:line="247" w:lineRule="auto"/>
            </w:pPr>
            <w:r>
              <w:rPr>
                <w:b w:val="0"/>
                <w:sz w:val="20"/>
              </w:rPr>
              <w:t>Matrícula, marca, modelo e ligação ao cliente</w:t>
            </w:r>
          </w:p>
        </w:tc>
      </w:tr>
      <w:tr w14:paraId="0A02E86B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4FD46">
            <w:pPr>
              <w:spacing w:after="40" w:line="247" w:lineRule="auto"/>
            </w:pPr>
            <w:r>
              <w:rPr>
                <w:b w:val="0"/>
                <w:sz w:val="20"/>
              </w:rPr>
              <w:t>intervencoes.xml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636C0">
            <w:pPr>
              <w:spacing w:after="40" w:line="247" w:lineRule="auto"/>
            </w:pPr>
            <w:r>
              <w:rPr>
                <w:b w:val="0"/>
                <w:sz w:val="20"/>
              </w:rPr>
              <w:t>151 linhas; 150 IDs distintos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E7904">
            <w:pPr>
              <w:spacing w:after="40" w:line="247" w:lineRule="auto"/>
            </w:pPr>
            <w:r>
              <w:rPr>
                <w:b w:val="0"/>
                <w:sz w:val="20"/>
              </w:rPr>
              <w:t>Data, veículo, serviço, horas e peças</w:t>
            </w:r>
          </w:p>
        </w:tc>
      </w:tr>
      <w:tr w14:paraId="55C9EF9A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C3CBF">
            <w:pPr>
              <w:spacing w:after="40" w:line="247" w:lineRule="auto"/>
            </w:pPr>
            <w:r>
              <w:rPr>
                <w:b w:val="0"/>
                <w:sz w:val="20"/>
              </w:rPr>
              <w:t>origem.servicos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EA283">
            <w:pPr>
              <w:spacing w:after="40" w:line="247" w:lineRule="auto"/>
            </w:pPr>
            <w:r>
              <w:rPr>
                <w:b w:val="0"/>
                <w:sz w:val="20"/>
              </w:rPr>
              <w:t>8 serviços no PostgreSQL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EE1B6">
            <w:pPr>
              <w:spacing w:after="40" w:line="247" w:lineRule="auto"/>
            </w:pPr>
            <w:r>
              <w:rPr>
                <w:b w:val="0"/>
                <w:sz w:val="20"/>
              </w:rPr>
              <w:t>Descrição e preço por hora de referência</w:t>
            </w:r>
          </w:p>
        </w:tc>
      </w:tr>
    </w:tbl>
    <w:p w14:paraId="030C79F7"/>
    <w:p w14:paraId="76752F06">
      <w:pPr>
        <w:pStyle w:val="3"/>
      </w:pPr>
      <w:bookmarkStart w:id="5" w:name="_Toc25921"/>
      <w:r>
        <w:t>2.1 Problemas introduzidos para teste</w:t>
      </w:r>
      <w:bookmarkEnd w:id="5"/>
    </w:p>
    <w:p w14:paraId="19585593">
      <w:r>
        <w:rPr>
          <w:b w:val="0"/>
        </w:rPr>
        <w:t>As fontes incluem espaços adicionais, emails em maiúsculas, email ausente ou sem formato válido, matrículas mal formatadas, referências inexistentes, horas negativas ou vazias, custo de peças negativo e uma data impossível. Existem ainda representações diferentes para datas e separadores decimais. Os duplicados de cliente e de intervenção permitem verificar a deduplicação por identificador.</w:t>
      </w:r>
    </w:p>
    <w:p w14:paraId="79306A01">
      <w:pPr>
        <w:pStyle w:val="3"/>
      </w:pPr>
      <w:bookmarkStart w:id="6" w:name="_Toc16247"/>
      <w:r>
        <w:t>2.2 Decisões de negócio</w:t>
      </w:r>
      <w:bookmarkEnd w:id="6"/>
    </w:p>
    <w:p w14:paraId="25F7DBF3">
      <w:r>
        <w:rPr>
          <w:b w:val="0"/>
        </w:rPr>
        <w:t>Um email inválido gera um aviso, mas não impede a utilização do cliente: o contacto é anulado e o proprietário mantém-se disponível para os cruzamentos. Já um veículo sem proprietário válido ou uma intervenção sem veículo ou serviço válido não pode seguir para a carga final. Horas de trabalho têm de ser superiores a zero; o custo das peças pode ser zero, mas nunca negativo.</w:t>
      </w:r>
    </w:p>
    <w:p w14:paraId="08FD405D">
      <w:r>
        <w:rPr>
          <w:b w:val="0"/>
        </w:rPr>
        <w:t>Estas decisões distinguem um contacto incompleto de uma inconsistência que compromete o cálculo ou a identificação do trabalho. O processo não corrige dados de negócio por suposição: separa-os para posterior análise.</w:t>
      </w:r>
    </w:p>
    <w:p w14:paraId="3BA56FD3">
      <w:r>
        <w:br w:type="page"/>
      </w:r>
    </w:p>
    <w:p w14:paraId="1F7A1071">
      <w:pPr>
        <w:pStyle w:val="2"/>
      </w:pPr>
      <w:bookmarkStart w:id="7" w:name="_Toc3958"/>
      <w:r>
        <w:t>3 Estratégia e arquitetura da solução</w:t>
      </w:r>
      <w:bookmarkEnd w:id="7"/>
    </w:p>
    <w:p w14:paraId="4063CBC7">
      <w:r>
        <w:t>A implementação foi dividida em quatro transformações. As duas primeiras preparam referências fiáveis de clientes e veículos. A terceira valida e carrega as intervenções, utilizando essas referências e o catálogo PostgreSQL. A quarta produz os resumos e exporta um ficheiro detalhado com as intervenções, os veículos, os clientes e os valores calculados. O job garante esta sequência.</w:t>
      </w:r>
    </w:p>
    <w:p w14:paraId="4CB2A6F5">
      <w:pPr>
        <w:keepNext/>
        <w:jc w:val="center"/>
      </w:pPr>
      <w:r>
        <w:drawing>
          <wp:inline distT="0" distB="0" distL="114300" distR="114300">
            <wp:extent cx="6126480" cy="2613660"/>
            <wp:effectExtent l="0" t="0" r="762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4A01">
      <w:pPr>
        <w:pStyle w:val="18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bookmarkStart w:id="8" w:name="_Toc30804"/>
      <w:r>
        <w:t xml:space="preserve"> — Arquitetura funcional da solução e circulação dos dados</w:t>
      </w:r>
      <w:bookmarkEnd w:id="8"/>
    </w:p>
    <w:p w14:paraId="23A337E0">
      <w:r>
        <w:rPr>
          <w:b w:val="0"/>
        </w:rPr>
        <w:t>A separação entre etapas facilita a compreensão e a manutenção: é possível verificar os clientes antes de analisar os veículos e inspecionar os rejeitados antes de consultar os totais. Os ficheiros intermédios também permitem perceber em que fase um registo deixa de ser aceite.</w:t>
      </w:r>
    </w:p>
    <w:tbl>
      <w:tblPr>
        <w:tblStyle w:val="12"/>
        <w:tblW w:w="0" w:type="auto"/>
        <w:tblInd w:w="0" w:type="dxa"/>
        <w:tblBorders>
          <w:top w:val="single" w:color="D6DCE0" w:sz="4" w:space="0"/>
          <w:left w:val="single" w:color="D6DCE0" w:sz="4" w:space="0"/>
          <w:bottom w:val="single" w:color="D6DCE0" w:sz="4" w:space="0"/>
          <w:right w:val="single" w:color="D6DCE0" w:sz="4" w:space="0"/>
          <w:insideH w:val="single" w:color="D6DCE0" w:sz="4" w:space="0"/>
          <w:insideV w:val="single" w:color="D6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704"/>
      </w:tblGrid>
      <w:tr w14:paraId="1914C24D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44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E33C0">
            <w:pPr>
              <w:spacing w:after="40" w:line="247" w:lineRule="auto"/>
            </w:pPr>
            <w:r>
              <w:rPr>
                <w:b/>
                <w:sz w:val="20"/>
              </w:rPr>
              <w:t>Fase ETL</w:t>
            </w:r>
          </w:p>
        </w:tc>
        <w:tc>
          <w:tcPr>
            <w:tcW w:w="7704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DA783">
            <w:pPr>
              <w:spacing w:after="40" w:line="247" w:lineRule="auto"/>
            </w:pPr>
            <w:r>
              <w:rPr>
                <w:b/>
                <w:sz w:val="20"/>
              </w:rPr>
              <w:t>Aplicação no trabalho</w:t>
            </w:r>
          </w:p>
        </w:tc>
      </w:tr>
      <w:tr w14:paraId="35CF4584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9F57D">
            <w:pPr>
              <w:spacing w:after="40" w:line="247" w:lineRule="auto"/>
            </w:pPr>
            <w:r>
              <w:rPr>
                <w:b w:val="0"/>
                <w:sz w:val="20"/>
              </w:rPr>
              <w:t>Extração</w:t>
            </w:r>
          </w:p>
        </w:tc>
        <w:tc>
          <w:tcPr>
            <w:tcW w:w="77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CA4B6">
            <w:pPr>
              <w:spacing w:after="40" w:line="247" w:lineRule="auto"/>
            </w:pPr>
            <w:r>
              <w:rPr>
                <w:b w:val="0"/>
                <w:sz w:val="20"/>
              </w:rPr>
              <w:t>Leitura de CSV, JSON e XML e consulta SQL ao catálogo de serviços.</w:t>
            </w:r>
          </w:p>
        </w:tc>
      </w:tr>
      <w:tr w14:paraId="6A34968D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7A6FD">
            <w:pPr>
              <w:spacing w:after="40" w:line="247" w:lineRule="auto"/>
            </w:pPr>
            <w:r>
              <w:rPr>
                <w:b w:val="0"/>
                <w:sz w:val="20"/>
              </w:rPr>
              <w:t>Transformação</w:t>
            </w:r>
          </w:p>
        </w:tc>
        <w:tc>
          <w:tcPr>
            <w:tcW w:w="77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59EB6">
            <w:pPr>
              <w:spacing w:after="40" w:line="247" w:lineRule="auto"/>
            </w:pPr>
            <w:r>
              <w:rPr>
                <w:b w:val="0"/>
                <w:sz w:val="20"/>
              </w:rPr>
              <w:t>Limpeza, regex, deduplicação, conversão, filtros, lookups e cálculos.</w:t>
            </w:r>
          </w:p>
        </w:tc>
      </w:tr>
      <w:tr w14:paraId="1A45F108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42EA4">
            <w:pPr>
              <w:spacing w:after="40" w:line="247" w:lineRule="auto"/>
            </w:pPr>
            <w:r>
              <w:rPr>
                <w:b w:val="0"/>
                <w:sz w:val="20"/>
              </w:rPr>
              <w:t>Carga</w:t>
            </w:r>
          </w:p>
        </w:tc>
        <w:tc>
          <w:tcPr>
            <w:tcW w:w="77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9B962">
            <w:pPr>
              <w:spacing w:after="40" w:line="247" w:lineRule="auto"/>
            </w:pPr>
            <w:r>
              <w:rPr>
                <w:b w:val="0"/>
                <w:sz w:val="20"/>
              </w:rPr>
              <w:t>Insert/Update no PostgreSQL e exportação de ficheiros CSV.</w:t>
            </w:r>
          </w:p>
        </w:tc>
      </w:tr>
      <w:tr w14:paraId="0EB80B53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725CA">
            <w:pPr>
              <w:spacing w:after="40" w:line="247" w:lineRule="auto"/>
            </w:pPr>
            <w:r>
              <w:rPr>
                <w:b w:val="0"/>
                <w:sz w:val="20"/>
              </w:rPr>
              <w:t>Apresentação</w:t>
            </w:r>
          </w:p>
        </w:tc>
        <w:tc>
          <w:tcPr>
            <w:tcW w:w="77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E23B8">
            <w:pPr>
              <w:spacing w:after="40" w:line="247" w:lineRule="auto"/>
            </w:pPr>
            <w:r>
              <w:rPr>
                <w:b w:val="0"/>
                <w:sz w:val="20"/>
              </w:rPr>
              <w:t>Importação dos dois resumos no Power BI Desktop.</w:t>
            </w:r>
          </w:p>
        </w:tc>
      </w:tr>
    </w:tbl>
    <w:p w14:paraId="1A3B20A2"/>
    <w:p w14:paraId="00E7356E">
      <w:r>
        <w:rPr>
          <w:b w:val="0"/>
        </w:rPr>
        <w:t>A execução é local e por lote. Os gráficos são atualizados a partir dos ficheiros gerados; não existe recolha contínua nem atualização em tempo real. As transformações e os jobs são os ficheiros fonte da implementação, não sendo necessário um programa externo para gerar os dados durante a execução.</w:t>
      </w:r>
    </w:p>
    <w:p w14:paraId="45771852">
      <w:r>
        <w:br w:type="page"/>
      </w:r>
    </w:p>
    <w:p w14:paraId="2D15BB79">
      <w:pPr>
        <w:pStyle w:val="2"/>
      </w:pPr>
      <w:bookmarkStart w:id="9" w:name="_Toc31687"/>
      <w:r>
        <w:t>4 Fontes e preparação dos dados</w:t>
      </w:r>
      <w:bookmarkEnd w:id="9"/>
    </w:p>
    <w:p w14:paraId="3D2A51E0">
      <w:r>
        <w:rPr>
          <w:b w:val="0"/>
        </w:rPr>
        <w:t>O CSV é adequado aos clientes por representar uma tabela simples. O JSON permite agrupar os atributos de cada veículo num objeto. O XML organiza as intervenções em elementos com campos próprios. A utilização conjunta destes formatos obriga a definir explicitamente os campos que serão usados nos cruzamentos, em vez de depender apenas da sua apresentação visual.</w:t>
      </w:r>
    </w:p>
    <w:p w14:paraId="2E359589">
      <w:pPr>
        <w:keepNext/>
        <w:jc w:val="center"/>
      </w:pPr>
      <w:r>
        <w:drawing>
          <wp:inline distT="0" distB="0" distL="114300" distR="114300">
            <wp:extent cx="5897880" cy="4902835"/>
            <wp:effectExtent l="0" t="0" r="762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0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C259">
      <w:pPr>
        <w:pStyle w:val="18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</w:t>
      </w:r>
      <w:r>
        <w:fldChar w:fldCharType="end"/>
      </w:r>
      <w:bookmarkStart w:id="10" w:name="_Toc32029"/>
      <w:r>
        <w:t xml:space="preserve"> — Excertos dos ficheiros de entrada CSV JSON e XML</w:t>
      </w:r>
      <w:bookmarkEnd w:id="10"/>
    </w:p>
    <w:p w14:paraId="0BE67959">
      <w:r>
        <w:rPr>
          <w:b w:val="0"/>
        </w:rPr>
        <w:t>No XML, cada registo é obtido a partir de /intervencoes/intervencao. No JSON, os atributos são lidos a partir dos objetos da lista. Os identificadores id_cliente, id_veiculo e codigo_servico permitem estabelecer relações entre as fontes. id_intervencao identifica cada operação que será guardada no destino.</w:t>
      </w:r>
    </w:p>
    <w:p w14:paraId="2AA2DD1A">
      <w:r>
        <w:rPr>
          <w:b w:val="0"/>
        </w:rPr>
        <w:t>Os dados de entrada preservam os casos de erro para que os resultados sejam reproduzíveis. A limpeza acontece no ETL e os ficheiros de origem não são substituídos pelos resultados tratados.</w:t>
      </w:r>
    </w:p>
    <w:p w14:paraId="603E5FAF">
      <w:r>
        <w:br w:type="page"/>
      </w:r>
    </w:p>
    <w:p w14:paraId="1F450E11">
      <w:pPr>
        <w:pStyle w:val="2"/>
      </w:pPr>
      <w:bookmarkStart w:id="11" w:name="_Toc31062"/>
      <w:r>
        <w:t>5 Transformações desenvolvidas</w:t>
      </w:r>
      <w:bookmarkEnd w:id="11"/>
    </w:p>
    <w:p w14:paraId="783646EF">
      <w:pPr>
        <w:pStyle w:val="3"/>
      </w:pPr>
      <w:bookmarkStart w:id="12" w:name="_Toc29395"/>
      <w:r>
        <w:t>5.1 Preparação dos clientes</w:t>
      </w:r>
      <w:bookmarkEnd w:id="12"/>
    </w:p>
    <w:p w14:paraId="39D891E7">
      <w:r>
        <w:rPr>
          <w:b w:val="0"/>
        </w:rPr>
        <w:t>A transformação 01_clientes.ktr começa com a leitura do CSV. String Operations normaliza nomes e emails, enquanto Replace in string reduz sequências de espaços no nome a um único espaço através de \s+. Unique rows por conjunto hash elimina a repetição de id_cliente.</w:t>
      </w:r>
    </w:p>
    <w:p w14:paraId="2488D5DD">
      <w:pPr>
        <w:keepNext/>
        <w:jc w:val="center"/>
      </w:pPr>
      <w:r>
        <w:drawing>
          <wp:inline distT="0" distB="0" distL="114300" distR="114300">
            <wp:extent cx="6126480" cy="2613660"/>
            <wp:effectExtent l="0" t="0" r="762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B8DD">
      <w:pPr>
        <w:pStyle w:val="18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</w:t>
      </w:r>
      <w:r>
        <w:fldChar w:fldCharType="end"/>
      </w:r>
      <w:bookmarkStart w:id="13" w:name="_Toc15748"/>
      <w:r>
        <w:t xml:space="preserve"> — Esquema da transformação de clientes com ramo de avisos</w:t>
      </w:r>
      <w:bookmarkEnd w:id="13"/>
    </w:p>
    <w:p w14:paraId="285405EC">
      <w:r>
        <w:rPr>
          <w:b w:val="0"/>
        </w:rPr>
        <w:t>A validação do email usa Regex Evaluation e Filter rows. A expressão verifica a estrutura do endereço, incluindo o símbolo @ e um sufixo de domínio; não confirma a existência da caixa de correio. O ramo inválido acrescenta o motivo do aviso, exporta-o e coloca o email a nulo. Os dois ramos voltam a reunir-se antes da exportação dos clientes tratados.</w:t>
      </w:r>
    </w:p>
    <w:p w14:paraId="73FB659E">
      <w:pPr>
        <w:spacing w:line="240" w:lineRule="auto"/>
      </w:pPr>
      <w:r>
        <w:rPr>
          <w:rFonts w:ascii="Consolas" w:hAnsi="Consolas"/>
          <w:b w:val="0"/>
          <w:sz w:val="18"/>
        </w:rPr>
        <w:t>^[A-Za-z0-9._%+-]+@[A-Za-z0-9.-]+\.[A-Za-z]{2,}$</w:t>
      </w:r>
    </w:p>
    <w:p w14:paraId="2B00A298">
      <w:r>
        <w:rPr>
          <w:b w:val="0"/>
        </w:rPr>
        <w:t>O resultado contém 30 clientes distintos e dois avisos. Esta opção evita perder veículos e intervenções apenas porque um contacto está incompleto. O campo de aviso permite distinguir um email validado de um endereço removido durante o tratamento.</w:t>
      </w:r>
    </w:p>
    <w:p w14:paraId="3BFB0C82">
      <w:r>
        <w:rPr>
          <w:b w:val="0"/>
        </w:rPr>
        <w:t>Os campos exportados incluem o identificador, nome, email, telefone e informação de validação. O ficheiro clientes_tratados.csv passa a ser a referência utilizada na transformação seguinte.</w:t>
      </w:r>
    </w:p>
    <w:p w14:paraId="49EA854C">
      <w:r>
        <w:br w:type="page"/>
      </w:r>
    </w:p>
    <w:p w14:paraId="2B3C4C4C">
      <w:pPr>
        <w:pStyle w:val="3"/>
      </w:pPr>
      <w:bookmarkStart w:id="14" w:name="_Toc17106"/>
      <w:r>
        <w:t>5.2 Preparação dos veículos</w:t>
      </w:r>
      <w:bookmarkEnd w:id="14"/>
    </w:p>
    <w:p w14:paraId="594D1C97">
      <w:r>
        <w:rPr>
          <w:b w:val="0"/>
        </w:rPr>
        <w:t>A transformação 02_veiculos.ktr lê os 45 veículos do JSON. Primeiro remove espaços nas extremidades da matrícula e uniformiza as letras em maiúsculas. Em seguida, a expressão regular verifica o padrão definido para este cenário.</w:t>
      </w:r>
    </w:p>
    <w:p w14:paraId="72C663F4">
      <w:pPr>
        <w:spacing w:line="240" w:lineRule="auto"/>
      </w:pPr>
      <w:r>
        <w:rPr>
          <w:rFonts w:ascii="Consolas" w:hAnsi="Consolas"/>
          <w:b w:val="0"/>
          <w:sz w:val="18"/>
        </w:rPr>
        <w:t>^[A-Z]{2}-[0-9]{2}-[A-Z]{2}$</w:t>
      </w:r>
    </w:p>
    <w:p w14:paraId="24C847C3">
      <w:pPr>
        <w:keepNext/>
        <w:jc w:val="center"/>
      </w:pPr>
      <w:r>
        <w:drawing>
          <wp:inline distT="0" distB="0" distL="114300" distR="114300">
            <wp:extent cx="6126480" cy="3144520"/>
            <wp:effectExtent l="0" t="0" r="762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4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D080">
      <w:pPr>
        <w:pStyle w:val="18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4</w:t>
      </w:r>
      <w:r>
        <w:fldChar w:fldCharType="end"/>
      </w:r>
      <w:bookmarkStart w:id="15" w:name="_Toc12233"/>
      <w:r>
        <w:t xml:space="preserve"> — Esquema da transformação de veículos e procura de proprietário</w:t>
      </w:r>
      <w:bookmarkEnd w:id="15"/>
    </w:p>
    <w:p w14:paraId="13F58769">
      <w:r>
        <w:rPr>
          <w:b w:val="0"/>
        </w:rPr>
        <w:t>Uma matrícula com formato inválido é exportada para veiculos_rejeitados_matricula.csv. Para os veículos restantes, Stream lookup procura o id_cliente no fluxo dos clientes tratados. A ausência de correspondência é encaminhada para veiculos_rejeitados_cliente.csv.</w:t>
      </w:r>
    </w:p>
    <w:p w14:paraId="3F8FE60D">
      <w:r>
        <w:rPr>
          <w:b w:val="0"/>
        </w:rPr>
        <w:t>São aceites 43 veículos: um é rejeitado por matrícula e outro por proprietário inexistente. Os aceites recebem os campos necessários do cliente e são exportados para veiculos_tratados.csv. A transformação de intervenções utiliza este resultado, garantindo que o veículo referenciado já passou pelos controlos anteriores.</w:t>
      </w:r>
    </w:p>
    <w:p w14:paraId="037BA45F">
      <w:r>
        <w:rPr>
          <w:b w:val="0"/>
        </w:rPr>
        <w:t>O padrão da matrícula é uma regra limitada ao conjunto de demonstração. Não cobre todos os formatos históricos de matrículas portuguesas, pelo que teria de ser alargado se a solução passasse a tratar dados reais de uma oficina.</w:t>
      </w:r>
    </w:p>
    <w:p w14:paraId="578D7982">
      <w:r>
        <w:br w:type="page"/>
      </w:r>
    </w:p>
    <w:p w14:paraId="395E8DA7">
      <w:pPr>
        <w:pStyle w:val="3"/>
      </w:pPr>
      <w:bookmarkStart w:id="16" w:name="_Toc9374"/>
      <w:r>
        <w:t>5.3 Validação e integração das intervenções</w:t>
      </w:r>
      <w:bookmarkEnd w:id="16"/>
    </w:p>
    <w:p w14:paraId="25B82E25">
      <w:r>
        <w:rPr>
          <w:b w:val="0"/>
        </w:rPr>
        <w:t>A transformação 03_intervencoes.ktr concentra as regras de negócio. Lê as intervenções XML, elimina o duplicado por id_intervencao e normaliza os separadores decimais antes da conversão das horas e dos custos. Assim, valores escritos com vírgula e com ponto passam a ser interpretados da mesma forma.</w:t>
      </w:r>
    </w:p>
    <w:p w14:paraId="361B20A6">
      <w:pPr>
        <w:keepNext/>
        <w:jc w:val="center"/>
      </w:pPr>
      <w:r>
        <w:drawing>
          <wp:inline distT="0" distB="0" distL="114300" distR="114300">
            <wp:extent cx="5760720" cy="3379470"/>
            <wp:effectExtent l="0" t="0" r="1143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0782">
      <w:pPr>
        <w:pStyle w:val="18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5</w:t>
      </w:r>
      <w:r>
        <w:fldChar w:fldCharType="end"/>
      </w:r>
      <w:bookmarkStart w:id="17" w:name="_Toc14946"/>
      <w:r>
        <w:t xml:space="preserve"> — Esquema da validação das intervenções até à carga na base de dados</w:t>
      </w:r>
      <w:bookmarkEnd w:id="17"/>
    </w:p>
    <w:p w14:paraId="45AEC5B2">
      <w:r>
        <w:rPr>
          <w:b w:val="0"/>
        </w:rPr>
        <w:t>Os filtros verificam horas superiores a zero e peças com custo não negativo. As datas no formato dd/MM/yyyy são reordenadas para yyyy-MM-dd através de uma expressão regular. A conversão de datas é estrita: uma data impossível, como 30 de fevereiro, segue para o ramo de erro em vez de ser ajustada automaticamente.</w:t>
      </w:r>
    </w:p>
    <w:p w14:paraId="50E0BB54">
      <w:r>
        <w:rPr>
          <w:b w:val="0"/>
        </w:rPr>
        <w:t>Depois são realizados dois lookups: o primeiro procura o veículo nos veículos tratados; o segundo procura o serviço no catálogo PostgreSQL, recuperando a descrição e o preço por hora. Cada referência inexistente origina um ficheiro de rejeitados próprio.</w:t>
      </w:r>
    </w:p>
    <w:p w14:paraId="137389BB">
      <w:r>
        <w:rPr>
          <w:b w:val="0"/>
        </w:rPr>
        <w:t>Os controlos são sequenciais. Cada intervenção é contabilizada no primeiro controlo em que falha; o processo não pretende listar todos os problemas possíveis do mesmo registo. Este comportamento explica a distribuição das dez rejeições apresentada nos resultados.</w:t>
      </w:r>
    </w:p>
    <w:p w14:paraId="4392C9A5">
      <w:r>
        <w:br w:type="page"/>
      </w:r>
    </w:p>
    <w:p w14:paraId="37E1F1DD">
      <w:pPr>
        <w:pStyle w:val="3"/>
      </w:pPr>
      <w:bookmarkStart w:id="18" w:name="_Toc13395"/>
      <w:r>
        <w:t>5.4 Cálculo de custos e persistência</w:t>
      </w:r>
      <w:bookmarkEnd w:id="18"/>
    </w:p>
    <w:p w14:paraId="7DCB4E61">
      <w:r>
        <w:t>Depois de validar as referências, Calculator determina o valor de mão de obra e o total da intervenção. O preço por hora é a tarifa definida no catálogo para esse serviço. O total corresponde à soma da mão de obra com o valor das peças indicado na origem.</w:t>
      </w:r>
    </w:p>
    <w:tbl>
      <w:tblPr>
        <w:tblStyle w:val="12"/>
        <w:tblW w:w="0" w:type="auto"/>
        <w:tblInd w:w="0" w:type="dxa"/>
        <w:tblBorders>
          <w:top w:val="single" w:color="D6DCE0" w:sz="4" w:space="0"/>
          <w:left w:val="single" w:color="D6DCE0" w:sz="4" w:space="0"/>
          <w:bottom w:val="single" w:color="D6DCE0" w:sz="4" w:space="0"/>
          <w:right w:val="single" w:color="D6DCE0" w:sz="4" w:space="0"/>
          <w:insideH w:val="single" w:color="D6DCE0" w:sz="4" w:space="0"/>
          <w:insideV w:val="single" w:color="D6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488"/>
      </w:tblGrid>
      <w:tr w14:paraId="38AF0903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60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8248B">
            <w:pPr>
              <w:spacing w:after="40" w:line="247" w:lineRule="auto"/>
            </w:pPr>
            <w:r>
              <w:rPr>
                <w:b/>
                <w:sz w:val="20"/>
              </w:rPr>
              <w:t>Cálculo</w:t>
            </w:r>
          </w:p>
        </w:tc>
        <w:tc>
          <w:tcPr>
            <w:tcW w:w="7488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CE602">
            <w:pPr>
              <w:spacing w:after="40" w:line="247" w:lineRule="auto"/>
            </w:pPr>
            <w:r>
              <w:rPr>
                <w:b/>
                <w:sz w:val="20"/>
              </w:rPr>
              <w:t>Regra aplicada</w:t>
            </w:r>
          </w:p>
        </w:tc>
      </w:tr>
      <w:tr w14:paraId="7F27C38C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974EE">
            <w:pPr>
              <w:spacing w:after="40" w:line="247" w:lineRule="auto"/>
            </w:pPr>
            <w:r>
              <w:rPr>
                <w:b w:val="0"/>
                <w:sz w:val="20"/>
              </w:rPr>
              <w:t>Mão de obra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04908">
            <w:pPr>
              <w:spacing w:after="40" w:line="247" w:lineRule="auto"/>
            </w:pPr>
            <w:r>
              <w:rPr>
                <w:b w:val="0"/>
                <w:sz w:val="20"/>
              </w:rPr>
              <w:t>horas_trabalho × preco_hora</w:t>
            </w:r>
          </w:p>
        </w:tc>
      </w:tr>
      <w:tr w14:paraId="37EBC7AE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A5486">
            <w:pPr>
              <w:spacing w:after="40" w:line="247" w:lineRule="auto"/>
            </w:pPr>
            <w:r>
              <w:rPr>
                <w:b w:val="0"/>
                <w:sz w:val="20"/>
              </w:rPr>
              <w:t>Custo total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B7500">
            <w:pPr>
              <w:spacing w:after="40" w:line="247" w:lineRule="auto"/>
            </w:pPr>
            <w:r>
              <w:rPr>
                <w:b w:val="0"/>
                <w:sz w:val="20"/>
              </w:rPr>
              <w:t>custo_mao_obra + custo_pecas</w:t>
            </w:r>
          </w:p>
        </w:tc>
      </w:tr>
    </w:tbl>
    <w:p w14:paraId="493B586E"/>
    <w:p w14:paraId="6FF873B6">
      <w:r>
        <w:t>Por exemplo, uma intervenção com 2 horas, tarifa de 30 € por hora e 50 € em peças tem 60 € de mão de obra e 110 € de valor total calculado, antes de IVA.</w:t>
      </w:r>
    </w:p>
    <w:p w14:paraId="67489356">
      <w:r>
        <w:rPr>
          <w:b w:val="0"/>
        </w:rPr>
        <w:t>Insert/Update grava os registos em destino.intervencoes_integradas. A chave de procura é id_intervencao. Quando o identificador ainda não existe, o registo é inserido; quando existe, os campos configurados podem ser atualizados. O identificador também consta do mapeamento de inserção, com a atualização da chave desativada.</w:t>
      </w:r>
    </w:p>
    <w:p w14:paraId="5E80F340">
      <w:pPr>
        <w:pStyle w:val="3"/>
        <w:pageBreakBefore/>
      </w:pPr>
      <w:bookmarkStart w:id="19" w:name="_Toc9882"/>
      <w:r>
        <w:t>5.5 Resumos mensal e por serviço</w:t>
      </w:r>
      <w:bookmarkEnd w:id="19"/>
    </w:p>
    <w:p w14:paraId="3520928E">
      <w:r>
        <w:rPr>
          <w:b w:val="0"/>
        </w:rPr>
        <w:t>A transformação 04_resumos.ktr consulta as intervenções integradas e envia uma cópia completa das linhas para cada ramo. A opção Copy rows é essencial: distribuir alternadamente as linhas pelos destinos dividiria o conjunto e produziria totais incompletos.</w:t>
      </w:r>
    </w:p>
    <w:p w14:paraId="791F39FC">
      <w:pPr>
        <w:keepNext/>
        <w:jc w:val="center"/>
      </w:pPr>
      <w:r>
        <w:drawing>
          <wp:inline distT="0" distB="0" distL="114300" distR="114300">
            <wp:extent cx="6126480" cy="2613660"/>
            <wp:effectExtent l="0" t="0" r="762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C9D6">
      <w:pPr>
        <w:pStyle w:val="18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6</w:t>
      </w:r>
      <w:r>
        <w:fldChar w:fldCharType="end"/>
      </w:r>
      <w:bookmarkStart w:id="20" w:name="_Toc18401"/>
      <w:r>
        <w:t xml:space="preserve"> — Dois ramos de agregação com cópia completa das intervenções</w:t>
      </w:r>
      <w:bookmarkEnd w:id="20"/>
    </w:p>
    <w:p w14:paraId="1803CEF7">
      <w:r>
        <w:rPr>
          <w:b w:val="0"/>
        </w:rPr>
        <w:t>No resumo mensal, Select values obtém a representação do mês yyyy-MM antes do agrupamento. Memory Group By calcula número de intervenções, soma de horas, soma de peças, soma de custos e média do custo por intervenção. No outro ramo, o agrupamento é feito pelo código e descrição do serviço. Este operador aceita entradas não ordenadas e agru</w:t>
      </w:r>
      <w:r>
        <w:rPr>
          <w:rFonts w:hint="default"/>
          <w:b w:val="0"/>
          <w:lang w:val="pt-PT"/>
        </w:rPr>
        <w:t>p</w:t>
      </w:r>
      <w:r>
        <w:rPr>
          <w:b w:val="0"/>
        </w:rPr>
        <w:t>a em memória.</w:t>
      </w:r>
    </w:p>
    <w:p w14:paraId="0CCD30DA">
      <w:pPr>
        <w:keepNext/>
        <w:jc w:val="center"/>
      </w:pPr>
      <w:r>
        <w:drawing>
          <wp:inline distT="0" distB="0" distL="114300" distR="114300">
            <wp:extent cx="6126480" cy="136779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2DBD">
      <w:pPr>
        <w:pStyle w:val="18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7</w:t>
      </w:r>
      <w:r>
        <w:fldChar w:fldCharType="end"/>
      </w:r>
      <w:bookmarkStart w:id="21" w:name="_Toc2794"/>
      <w:r>
        <w:t xml:space="preserve"> — Excerto do resumo mensal exportado em CSV</w:t>
      </w:r>
      <w:bookmarkEnd w:id="21"/>
    </w:p>
    <w:p w14:paraId="4E669B79">
      <w:r>
        <w:rPr>
          <w:b w:val="0"/>
        </w:rPr>
        <w:t xml:space="preserve">Sort rows organiza os meses e os códigos de serviço antes da exportação. Os CSV usam UTF-8, cabeçalho, ponto e vírgula como delimitador e ponto decimal. São produzidas nove linhas mensais e oito linhas por serviço, sem nomes, contactos ou matrículas. </w:t>
      </w:r>
      <w:r>
        <w:br w:type="page"/>
      </w:r>
    </w:p>
    <w:p w14:paraId="131E0B70">
      <w:pPr>
        <w:pStyle w:val="3"/>
        <w:pageBreakBefore/>
      </w:pPr>
      <w:bookmarkStart w:id="22" w:name="_Toc27009"/>
      <w:r>
        <w:t>5.6 Consulta detalhada das intervenções</w:t>
      </w:r>
      <w:bookmarkEnd w:id="22"/>
    </w:p>
    <w:p w14:paraId="4D1E94AE">
      <w:r>
        <w:t>A tabela destino.intervencoes_integradas já permite identificar o trabalho realizado em cada carro e o respetivo proprietário. Para tornar essa consulta acessível num ficheiro, a transformação 04_resumos passou a exportar intervencoes_detalhadas.csv, por uma consulta independente dos dois ramos de agregação.</w:t>
      </w:r>
    </w:p>
    <w:p w14:paraId="602B7CE8">
      <w:r>
        <w:t>O ficheiro contém uma linha por intervenção aceite: identificador e data, identificação do veículo e do cliente, email disponível, serviço, horas, preço por hora, peças, valor de mão de obra e total. A ordenação por data e identificador facilita acompanhar o histórico. A tabela seguinte apresenta cinco exemplos reais do ficheiro gerado.</w:t>
      </w:r>
    </w:p>
    <w:tbl>
      <w:tblPr>
        <w:tblStyle w:val="12"/>
        <w:tblW w:w="0" w:type="auto"/>
        <w:tblInd w:w="0" w:type="dxa"/>
        <w:tblBorders>
          <w:top w:val="single" w:color="D6DCE0" w:sz="4" w:space="0"/>
          <w:left w:val="single" w:color="D6DCE0" w:sz="4" w:space="0"/>
          <w:bottom w:val="single" w:color="D6DCE0" w:sz="4" w:space="0"/>
          <w:right w:val="single" w:color="D6DCE0" w:sz="4" w:space="0"/>
          <w:insideH w:val="single" w:color="D6DCE0" w:sz="4" w:space="0"/>
          <w:insideV w:val="single" w:color="D6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800"/>
        <w:gridCol w:w="2088"/>
        <w:gridCol w:w="2952"/>
        <w:gridCol w:w="1584"/>
      </w:tblGrid>
      <w:tr w14:paraId="1DF0C791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24" w:type="dxa"/>
            <w:shd w:val="clear" w:color="auto" w:fill="EDF1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396ED8">
            <w:pPr>
              <w:spacing w:after="60" w:line="247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800" w:type="dxa"/>
            <w:shd w:val="clear" w:color="auto" w:fill="EDF1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5FC5A2">
            <w:pPr>
              <w:spacing w:after="60" w:line="247" w:lineRule="auto"/>
            </w:pPr>
            <w:r>
              <w:rPr>
                <w:b/>
                <w:sz w:val="19"/>
              </w:rPr>
              <w:t>Cliente</w:t>
            </w:r>
          </w:p>
        </w:tc>
        <w:tc>
          <w:tcPr>
            <w:tcW w:w="2088" w:type="dxa"/>
            <w:shd w:val="clear" w:color="auto" w:fill="EDF1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D3430E">
            <w:pPr>
              <w:spacing w:after="60" w:line="247" w:lineRule="auto"/>
            </w:pPr>
            <w:r>
              <w:rPr>
                <w:b/>
                <w:sz w:val="19"/>
              </w:rPr>
              <w:t>Veículo</w:t>
            </w:r>
          </w:p>
        </w:tc>
        <w:tc>
          <w:tcPr>
            <w:tcW w:w="2952" w:type="dxa"/>
            <w:shd w:val="clear" w:color="auto" w:fill="EDF1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376942">
            <w:pPr>
              <w:spacing w:after="60" w:line="247" w:lineRule="auto"/>
            </w:pPr>
            <w:r>
              <w:rPr>
                <w:b/>
                <w:sz w:val="19"/>
              </w:rPr>
              <w:t>Serviço</w:t>
            </w:r>
          </w:p>
        </w:tc>
        <w:tc>
          <w:tcPr>
            <w:tcW w:w="1584" w:type="dxa"/>
            <w:shd w:val="clear" w:color="auto" w:fill="EDF1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A6C0CF">
            <w:pPr>
              <w:spacing w:after="60" w:line="247" w:lineRule="auto"/>
            </w:pPr>
            <w:r>
              <w:rPr>
                <w:b/>
                <w:sz w:val="19"/>
              </w:rPr>
              <w:t>Total (€)</w:t>
            </w:r>
          </w:p>
        </w:tc>
      </w:tr>
      <w:tr w14:paraId="45F6D45E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B08246">
            <w:pPr>
              <w:spacing w:after="60" w:line="247" w:lineRule="auto"/>
            </w:pPr>
            <w:r>
              <w:rPr>
                <w:b w:val="0"/>
                <w:sz w:val="19"/>
              </w:rPr>
              <w:t>2026-01-04</w:t>
            </w:r>
          </w:p>
        </w:tc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7642FD">
            <w:pPr>
              <w:spacing w:after="60" w:line="247" w:lineRule="auto"/>
            </w:pPr>
            <w:r>
              <w:rPr>
                <w:b w:val="0"/>
                <w:sz w:val="19"/>
              </w:rPr>
              <w:t>Pedro Oliveira</w:t>
            </w:r>
          </w:p>
        </w:tc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1B0CA9">
            <w:pPr>
              <w:spacing w:after="60" w:line="247" w:lineRule="auto"/>
            </w:pPr>
            <w:r>
              <w:rPr>
                <w:b w:val="0"/>
                <w:sz w:val="19"/>
              </w:rPr>
              <w:t>Ford Fiesta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AA-10-BB</w:t>
            </w:r>
          </w:p>
        </w:tc>
        <w:tc>
          <w:tcPr>
            <w:tcW w:w="295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FA2D5D">
            <w:pPr>
              <w:spacing w:after="60" w:line="247" w:lineRule="auto"/>
            </w:pPr>
            <w:r>
              <w:rPr>
                <w:b w:val="0"/>
                <w:sz w:val="19"/>
              </w:rPr>
              <w:t>Manutenção de ar condicionado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868A7E">
            <w:pPr>
              <w:spacing w:after="60" w:line="247" w:lineRule="auto"/>
            </w:pPr>
            <w:r>
              <w:rPr>
                <w:b w:val="0"/>
                <w:sz w:val="19"/>
              </w:rPr>
              <w:t>260,30</w:t>
            </w:r>
          </w:p>
        </w:tc>
      </w:tr>
      <w:tr w14:paraId="1C5A1BF6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D3B538">
            <w:pPr>
              <w:spacing w:after="60" w:line="247" w:lineRule="auto"/>
            </w:pPr>
            <w:r>
              <w:rPr>
                <w:b w:val="0"/>
                <w:sz w:val="19"/>
              </w:rPr>
              <w:t>2026-01-06</w:t>
            </w:r>
          </w:p>
        </w:tc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DC4A24">
            <w:pPr>
              <w:spacing w:after="60" w:line="247" w:lineRule="auto"/>
            </w:pPr>
            <w:r>
              <w:rPr>
                <w:b w:val="0"/>
                <w:sz w:val="19"/>
              </w:rPr>
              <w:t>Miguel Santos</w:t>
            </w:r>
          </w:p>
        </w:tc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D0E970">
            <w:pPr>
              <w:spacing w:after="60" w:line="247" w:lineRule="auto"/>
            </w:pPr>
            <w:r>
              <w:rPr>
                <w:b w:val="0"/>
                <w:sz w:val="19"/>
              </w:rPr>
              <w:t>Renault Clio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AA-36-BB</w:t>
            </w:r>
          </w:p>
        </w:tc>
        <w:tc>
          <w:tcPr>
            <w:tcW w:w="295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57A155">
            <w:pPr>
              <w:spacing w:after="60" w:line="247" w:lineRule="auto"/>
            </w:pPr>
            <w:r>
              <w:rPr>
                <w:b w:val="0"/>
                <w:sz w:val="19"/>
              </w:rPr>
              <w:t>Substituição de bateria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9C5375">
            <w:pPr>
              <w:spacing w:after="60" w:line="247" w:lineRule="auto"/>
            </w:pPr>
            <w:r>
              <w:rPr>
                <w:b w:val="0"/>
                <w:sz w:val="19"/>
              </w:rPr>
              <w:t>194,10</w:t>
            </w:r>
          </w:p>
        </w:tc>
      </w:tr>
      <w:tr w14:paraId="1ED472E7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692257">
            <w:pPr>
              <w:spacing w:after="60" w:line="247" w:lineRule="auto"/>
            </w:pPr>
            <w:r>
              <w:rPr>
                <w:b w:val="0"/>
                <w:sz w:val="19"/>
              </w:rPr>
              <w:t>2026-01-08</w:t>
            </w:r>
          </w:p>
        </w:tc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E26CAE">
            <w:pPr>
              <w:spacing w:after="60" w:line="247" w:lineRule="auto"/>
            </w:pPr>
            <w:r>
              <w:rPr>
                <w:b w:val="0"/>
                <w:sz w:val="19"/>
              </w:rPr>
              <w:t>Diogo Pereira</w:t>
            </w:r>
          </w:p>
        </w:tc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DAD9C6">
            <w:pPr>
              <w:spacing w:after="60" w:line="247" w:lineRule="auto"/>
            </w:pPr>
            <w:r>
              <w:rPr>
                <w:b w:val="0"/>
                <w:sz w:val="19"/>
              </w:rPr>
              <w:t>Peugeot 208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AA-38-BB</w:t>
            </w:r>
          </w:p>
        </w:tc>
        <w:tc>
          <w:tcPr>
            <w:tcW w:w="295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00B6E0">
            <w:pPr>
              <w:spacing w:after="60" w:line="247" w:lineRule="auto"/>
            </w:pPr>
            <w:r>
              <w:rPr>
                <w:b w:val="0"/>
                <w:sz w:val="19"/>
              </w:rPr>
              <w:t>Alinhamento de direção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279A86">
            <w:pPr>
              <w:spacing w:after="60" w:line="247" w:lineRule="auto"/>
            </w:pPr>
            <w:r>
              <w:rPr>
                <w:b w:val="0"/>
                <w:sz w:val="19"/>
              </w:rPr>
              <w:t>118,49</w:t>
            </w:r>
          </w:p>
        </w:tc>
      </w:tr>
      <w:tr w14:paraId="5E9DBC6A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CA7DEC">
            <w:pPr>
              <w:spacing w:after="60" w:line="247" w:lineRule="auto"/>
            </w:pPr>
            <w:r>
              <w:rPr>
                <w:b w:val="0"/>
                <w:sz w:val="19"/>
              </w:rPr>
              <w:t>2026-01-08</w:t>
            </w:r>
          </w:p>
        </w:tc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FEE40D">
            <w:pPr>
              <w:spacing w:after="60" w:line="247" w:lineRule="auto"/>
            </w:pPr>
            <w:r>
              <w:rPr>
                <w:b w:val="0"/>
                <w:sz w:val="19"/>
              </w:rPr>
              <w:t>Carolina Gomes</w:t>
            </w:r>
          </w:p>
        </w:tc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287E78">
            <w:pPr>
              <w:spacing w:after="60" w:line="247" w:lineRule="auto"/>
            </w:pPr>
            <w:r>
              <w:rPr>
                <w:b w:val="0"/>
                <w:sz w:val="19"/>
              </w:rPr>
              <w:t>Renault Clio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AA-11-BB</w:t>
            </w:r>
          </w:p>
        </w:tc>
        <w:tc>
          <w:tcPr>
            <w:tcW w:w="295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11AB6A">
            <w:pPr>
              <w:spacing w:after="60" w:line="247" w:lineRule="auto"/>
            </w:pPr>
            <w:r>
              <w:rPr>
                <w:b w:val="0"/>
                <w:sz w:val="19"/>
              </w:rPr>
              <w:t>Troca de pneus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4CF905">
            <w:pPr>
              <w:spacing w:after="60" w:line="247" w:lineRule="auto"/>
            </w:pPr>
            <w:r>
              <w:rPr>
                <w:b w:val="0"/>
                <w:sz w:val="19"/>
              </w:rPr>
              <w:t>53,15</w:t>
            </w:r>
          </w:p>
        </w:tc>
      </w:tr>
      <w:tr w14:paraId="21FFF6B5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8B25D4">
            <w:pPr>
              <w:spacing w:after="60" w:line="247" w:lineRule="auto"/>
            </w:pPr>
            <w:r>
              <w:rPr>
                <w:b w:val="0"/>
                <w:sz w:val="19"/>
              </w:rPr>
              <w:t>2026-01-10</w:t>
            </w:r>
          </w:p>
        </w:tc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2BDCED">
            <w:pPr>
              <w:spacing w:after="60" w:line="247" w:lineRule="auto"/>
            </w:pPr>
            <w:r>
              <w:rPr>
                <w:b w:val="0"/>
                <w:sz w:val="19"/>
              </w:rPr>
              <w:t>Miguel Santos</w:t>
            </w:r>
          </w:p>
        </w:tc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EAB1A6">
            <w:pPr>
              <w:spacing w:after="60" w:line="247" w:lineRule="auto"/>
            </w:pPr>
            <w:r>
              <w:rPr>
                <w:b w:val="0"/>
                <w:sz w:val="19"/>
              </w:rPr>
              <w:t>Renault Clio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AA-36-BB</w:t>
            </w:r>
          </w:p>
        </w:tc>
        <w:tc>
          <w:tcPr>
            <w:tcW w:w="295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BB4395">
            <w:pPr>
              <w:spacing w:after="60" w:line="247" w:lineRule="auto"/>
            </w:pPr>
            <w:r>
              <w:rPr>
                <w:b w:val="0"/>
                <w:sz w:val="19"/>
              </w:rPr>
              <w:t>Diagnóstico eletrónico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33E6C0">
            <w:pPr>
              <w:spacing w:after="60" w:line="247" w:lineRule="auto"/>
            </w:pPr>
            <w:r>
              <w:rPr>
                <w:b w:val="0"/>
                <w:sz w:val="19"/>
              </w:rPr>
              <w:t>90,05</w:t>
            </w:r>
          </w:p>
        </w:tc>
      </w:tr>
    </w:tbl>
    <w:p w14:paraId="53345E7F">
      <w:pPr>
        <w:spacing w:before="160"/>
      </w:pPr>
      <w:r>
        <w:t>O ficheiro completo contém 140 intervenções e totaliza 21 187,15 €, em concordância com os resumos. Por exemplo, a intervenção 55 associa Pedro Oliveira ao Ford Fiesta AA-10-BB e ao serviço de manutenção de ar condicionado, com 120,00 € de mão de obra, 140,30 € em peças e 260,30 € de total calculado. O email e os identificadores adicionais constam do CSV completo.</w:t>
      </w:r>
    </w:p>
    <w:p w14:paraId="4749418C">
      <w:r>
        <w:t>O detalhe permite consultar o histórico de um veículo ou cliente, enquanto os resumos respondem a perguntas sobre a atividade global. Os emails inválidos ou ausentes permanecem vazios nos resultados, preservando a regra de qualidade adotada.</w:t>
      </w:r>
    </w:p>
    <w:p w14:paraId="3811CA08">
      <w:pPr>
        <w:pStyle w:val="2"/>
        <w:pageBreakBefore/>
      </w:pPr>
      <w:bookmarkStart w:id="23" w:name="_Toc6599"/>
      <w:r>
        <w:t>6 Jobs e controlo da execução</w:t>
      </w:r>
      <w:bookmarkEnd w:id="23"/>
    </w:p>
    <w:p w14:paraId="78AFDCF1">
      <w:r>
        <w:rPr>
          <w:b w:val="0"/>
        </w:rPr>
        <w:t>O job oficina_etl.kjb coordena as quatro transformações, respeitando as dependências entre os ficheiros intermédios. Uma transformação só é iniciada depois de a anterior terminar com sucesso. São gerados logs por etapa, que permitem identificar em que parte ocorreu um problema.</w:t>
      </w:r>
    </w:p>
    <w:p w14:paraId="442144C9">
      <w:pPr>
        <w:keepNext/>
        <w:jc w:val="center"/>
      </w:pPr>
      <w:r>
        <w:drawing>
          <wp:inline distT="0" distB="0" distL="114300" distR="114300">
            <wp:extent cx="6126480" cy="1837690"/>
            <wp:effectExtent l="0" t="0" r="762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9ABB">
      <w:pPr>
        <w:pStyle w:val="18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8</w:t>
      </w:r>
      <w:r>
        <w:fldChar w:fldCharType="end"/>
      </w:r>
      <w:bookmarkStart w:id="24" w:name="_Toc31466"/>
      <w:r>
        <w:t xml:space="preserve"> — Sequência do job principal e encaminhamento de falhas técnicas</w:t>
      </w:r>
      <w:bookmarkEnd w:id="24"/>
    </w:p>
    <w:p w14:paraId="6F056619">
      <w:r>
        <w:rPr>
          <w:b w:val="0"/>
        </w:rPr>
        <w:t>Os ramos de falha das transformações convergem em Registar falha do ETL e terminam no Abort job. Este mecanismo impede a continuação normal quando uma etapa falha tecnicamente. Não existe envio automático de email; o diagnóstico é feito através dos logs locais.</w:t>
      </w:r>
    </w:p>
    <w:p w14:paraId="31902D81">
      <w:pPr>
        <w:pStyle w:val="3"/>
      </w:pPr>
      <w:bookmarkStart w:id="25" w:name="_Toc2927"/>
      <w:r>
        <w:t>6.1 Teste de falha controlada</w:t>
      </w:r>
      <w:bookmarkEnd w:id="25"/>
    </w:p>
    <w:p w14:paraId="342E6681">
      <w:r>
        <w:rPr>
          <w:b w:val="0"/>
        </w:rPr>
        <w:t>O job oficina_etl_TESTE_FALHA.kjb utiliza uma referência deliberadamente inexistente na entrada 01_clientes: INEXISTENTE_TESTE_FALHA.ktr. Não é necessário apagar ou mudar o nome de um ficheiro real. A tentativa de abertura falha, o ramo de erro é seguido e o job termina com resultado falso. O job principal mantém o caminho correto.</w:t>
      </w:r>
    </w:p>
    <w:p w14:paraId="6D4C3854">
      <w:r>
        <w:rPr>
          <w:b w:val="0"/>
        </w:rPr>
        <w:t>Uma rejeição prevista de dados tem um significado diferente: o registo é separado e o restante conjunto válido pode continuar. A falha controlada demonstra o comportamento perante um problema de execução, não o tratamento de um email ou de uma data inválida.</w:t>
      </w:r>
    </w:p>
    <w:p w14:paraId="352361E3">
      <w:r>
        <w:br w:type="page"/>
      </w:r>
    </w:p>
    <w:p w14:paraId="26008CB2">
      <w:pPr>
        <w:pStyle w:val="2"/>
      </w:pPr>
      <w:bookmarkStart w:id="26" w:name="_Toc9913"/>
      <w:r>
        <w:t>7 Validação e resultados obtidos</w:t>
      </w:r>
      <w:bookmarkEnd w:id="26"/>
    </w:p>
    <w:p w14:paraId="00C9D53C">
      <w:r>
        <w:rPr>
          <w:b w:val="0"/>
        </w:rPr>
        <w:t>A verificação combina os ficheiros produzidos, os logs das execuções e a contagem da tabela de destino. O job principal terminou com sucesso. Os dois resumos representam o mesmo conjunto de 140 intervenções e apresentam totais coincidentes.</w:t>
      </w:r>
    </w:p>
    <w:tbl>
      <w:tblPr>
        <w:tblStyle w:val="12"/>
        <w:tblW w:w="0" w:type="auto"/>
        <w:tblInd w:w="0" w:type="dxa"/>
        <w:tblBorders>
          <w:top w:val="single" w:color="D6DCE0" w:sz="4" w:space="0"/>
          <w:left w:val="single" w:color="D6DCE0" w:sz="4" w:space="0"/>
          <w:bottom w:val="single" w:color="D6DCE0" w:sz="4" w:space="0"/>
          <w:right w:val="single" w:color="D6DCE0" w:sz="4" w:space="0"/>
          <w:insideH w:val="single" w:color="D6DCE0" w:sz="4" w:space="0"/>
          <w:insideV w:val="single" w:color="D6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2880"/>
        <w:gridCol w:w="4896"/>
      </w:tblGrid>
      <w:tr w14:paraId="17EA7E0E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2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A0065">
            <w:pPr>
              <w:spacing w:after="40" w:line="247" w:lineRule="auto"/>
            </w:pPr>
            <w:r>
              <w:rPr>
                <w:b/>
                <w:sz w:val="20"/>
              </w:rPr>
              <w:t>Conjunto</w:t>
            </w:r>
          </w:p>
        </w:tc>
        <w:tc>
          <w:tcPr>
            <w:tcW w:w="2880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6E3EF">
            <w:pPr>
              <w:spacing w:after="40" w:line="247" w:lineRule="auto"/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w="4896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669F3">
            <w:pPr>
              <w:spacing w:after="40" w:line="247" w:lineRule="auto"/>
            </w:pPr>
            <w:r>
              <w:rPr>
                <w:b/>
                <w:sz w:val="20"/>
              </w:rPr>
              <w:t>Saída verificada</w:t>
            </w:r>
          </w:p>
        </w:tc>
      </w:tr>
      <w:tr w14:paraId="069CB0D2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1B355">
            <w:pPr>
              <w:spacing w:after="40" w:line="247" w:lineRule="auto"/>
            </w:pPr>
            <w:r>
              <w:rPr>
                <w:b w:val="0"/>
                <w:sz w:val="20"/>
              </w:rPr>
              <w:t>Clientes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BE780">
            <w:pPr>
              <w:spacing w:after="40" w:line="247" w:lineRule="auto"/>
            </w:pPr>
            <w:r>
              <w:rPr>
                <w:b w:val="0"/>
                <w:sz w:val="20"/>
              </w:rPr>
              <w:t>31 linhas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B6351">
            <w:pPr>
              <w:spacing w:after="40" w:line="247" w:lineRule="auto"/>
            </w:pPr>
            <w:r>
              <w:rPr>
                <w:b w:val="0"/>
                <w:sz w:val="20"/>
              </w:rPr>
              <w:t>30 clientes e 2 avisos</w:t>
            </w:r>
          </w:p>
        </w:tc>
      </w:tr>
      <w:tr w14:paraId="5C2F2BCD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EEA58">
            <w:pPr>
              <w:spacing w:after="40" w:line="247" w:lineRule="auto"/>
            </w:pPr>
            <w:r>
              <w:rPr>
                <w:b w:val="0"/>
                <w:sz w:val="20"/>
              </w:rPr>
              <w:t>Veículos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1061A">
            <w:pPr>
              <w:spacing w:after="40" w:line="247" w:lineRule="auto"/>
            </w:pPr>
            <w:r>
              <w:rPr>
                <w:b w:val="0"/>
                <w:sz w:val="20"/>
              </w:rPr>
              <w:t>45 veículos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FE608">
            <w:pPr>
              <w:spacing w:after="40" w:line="247" w:lineRule="auto"/>
            </w:pPr>
            <w:r>
              <w:rPr>
                <w:b w:val="0"/>
                <w:sz w:val="20"/>
              </w:rPr>
              <w:t>43 aceites e 2 rejeitados</w:t>
            </w:r>
          </w:p>
        </w:tc>
      </w:tr>
      <w:tr w14:paraId="6EAECBCB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9D257">
            <w:pPr>
              <w:spacing w:after="40" w:line="247" w:lineRule="auto"/>
            </w:pPr>
            <w:r>
              <w:rPr>
                <w:b w:val="0"/>
                <w:sz w:val="20"/>
              </w:rPr>
              <w:t>Intervenções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1C402">
            <w:pPr>
              <w:spacing w:after="40" w:line="247" w:lineRule="auto"/>
            </w:pPr>
            <w:r>
              <w:rPr>
                <w:b w:val="0"/>
                <w:sz w:val="20"/>
              </w:rPr>
              <w:t>151 linhas; 150 IDs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42B5B">
            <w:pPr>
              <w:spacing w:after="40" w:line="247" w:lineRule="auto"/>
            </w:pPr>
            <w:r>
              <w:rPr>
                <w:b w:val="0"/>
                <w:sz w:val="20"/>
              </w:rPr>
              <w:t>140 aceites e 10 rejeitados</w:t>
            </w:r>
          </w:p>
        </w:tc>
      </w:tr>
      <w:tr w14:paraId="1CD1461D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85839">
            <w:pPr>
              <w:spacing w:after="40" w:line="247" w:lineRule="auto"/>
            </w:pPr>
            <w:r>
              <w:rPr>
                <w:b w:val="0"/>
                <w:sz w:val="20"/>
              </w:rPr>
              <w:t>Resumos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82117">
            <w:pPr>
              <w:spacing w:after="40" w:line="247" w:lineRule="auto"/>
            </w:pPr>
            <w:r>
              <w:rPr>
                <w:b w:val="0"/>
                <w:sz w:val="20"/>
              </w:rPr>
              <w:t>140 intervenções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A86B5">
            <w:pPr>
              <w:spacing w:after="40" w:line="247" w:lineRule="auto"/>
            </w:pPr>
            <w:r>
              <w:rPr>
                <w:b w:val="0"/>
                <w:sz w:val="20"/>
              </w:rPr>
              <w:t>9 meses e 8 serviços</w:t>
            </w:r>
          </w:p>
        </w:tc>
      </w:tr>
    </w:tbl>
    <w:p w14:paraId="1FC4F920"/>
    <w:tbl>
      <w:tblPr>
        <w:tblStyle w:val="12"/>
        <w:tblW w:w="0" w:type="auto"/>
        <w:tblInd w:w="0" w:type="dxa"/>
        <w:tblBorders>
          <w:top w:val="single" w:color="D6DCE0" w:sz="4" w:space="0"/>
          <w:left w:val="single" w:color="D6DCE0" w:sz="4" w:space="0"/>
          <w:bottom w:val="single" w:color="D6DCE0" w:sz="4" w:space="0"/>
          <w:right w:val="single" w:color="D6DCE0" w:sz="4" w:space="0"/>
          <w:insideH w:val="single" w:color="D6DCE0" w:sz="4" w:space="0"/>
          <w:insideV w:val="single" w:color="D6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1440"/>
        <w:gridCol w:w="3888"/>
      </w:tblGrid>
      <w:tr w14:paraId="5824B8FC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320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D99F6">
            <w:pPr>
              <w:spacing w:after="40" w:line="247" w:lineRule="auto"/>
            </w:pPr>
            <w:r>
              <w:rPr>
                <w:b/>
                <w:sz w:val="20"/>
              </w:rPr>
              <w:t>Motivo de rejeição da intervenção</w:t>
            </w:r>
          </w:p>
        </w:tc>
        <w:tc>
          <w:tcPr>
            <w:tcW w:w="1440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629F4">
            <w:pPr>
              <w:spacing w:after="40" w:line="247" w:lineRule="auto"/>
            </w:pPr>
            <w:r>
              <w:rPr>
                <w:b/>
                <w:sz w:val="20"/>
              </w:rPr>
              <w:t>Quantidade</w:t>
            </w:r>
          </w:p>
        </w:tc>
        <w:tc>
          <w:tcPr>
            <w:tcW w:w="3888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31479">
            <w:pPr>
              <w:spacing w:after="40" w:line="247" w:lineRule="auto"/>
            </w:pPr>
            <w:r>
              <w:rPr>
                <w:b/>
                <w:sz w:val="20"/>
              </w:rPr>
              <w:t>IDs</w:t>
            </w:r>
          </w:p>
        </w:tc>
      </w:tr>
      <w:tr w14:paraId="6B22688B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5EFCC">
            <w:pPr>
              <w:spacing w:after="40" w:line="247" w:lineRule="auto"/>
            </w:pPr>
            <w:r>
              <w:rPr>
                <w:b w:val="0"/>
                <w:sz w:val="20"/>
              </w:rPr>
              <w:t>Horas inválidas ou ausentes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99052">
            <w:pPr>
              <w:spacing w:after="40" w:line="247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18FC1">
            <w:pPr>
              <w:spacing w:after="40" w:line="247" w:lineRule="auto"/>
            </w:pPr>
            <w:r>
              <w:rPr>
                <w:b w:val="0"/>
                <w:sz w:val="20"/>
              </w:rPr>
              <w:t>3 e 7</w:t>
            </w:r>
          </w:p>
        </w:tc>
      </w:tr>
      <w:tr w14:paraId="326B9050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CA4C3">
            <w:pPr>
              <w:spacing w:after="40" w:line="247" w:lineRule="auto"/>
            </w:pPr>
            <w:r>
              <w:rPr>
                <w:b w:val="0"/>
                <w:sz w:val="20"/>
              </w:rPr>
              <w:t>Custo de peças negativo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A2341">
            <w:pPr>
              <w:spacing w:after="40" w:line="247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F259A">
            <w:pPr>
              <w:spacing w:after="40" w:line="247" w:lineRule="auto"/>
            </w:pPr>
            <w:r>
              <w:rPr>
                <w:b w:val="0"/>
                <w:sz w:val="20"/>
              </w:rPr>
              <w:t>4</w:t>
            </w:r>
          </w:p>
        </w:tc>
      </w:tr>
      <w:tr w14:paraId="3DD90E9D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2FD17">
            <w:pPr>
              <w:spacing w:after="40" w:line="247" w:lineRule="auto"/>
            </w:pPr>
            <w:r>
              <w:rPr>
                <w:b w:val="0"/>
                <w:sz w:val="20"/>
              </w:rPr>
              <w:t>Data inválida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A55C0">
            <w:pPr>
              <w:spacing w:after="40" w:line="247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2E7E3">
            <w:pPr>
              <w:spacing w:after="40" w:line="247" w:lineRule="auto"/>
            </w:pPr>
            <w:r>
              <w:rPr>
                <w:b w:val="0"/>
                <w:sz w:val="20"/>
              </w:rPr>
              <w:t>5</w:t>
            </w:r>
          </w:p>
        </w:tc>
      </w:tr>
      <w:tr w14:paraId="1E5294A5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53C0E">
            <w:pPr>
              <w:spacing w:after="40" w:line="247" w:lineRule="auto"/>
            </w:pPr>
            <w:r>
              <w:rPr>
                <w:b w:val="0"/>
                <w:sz w:val="20"/>
              </w:rPr>
              <w:t>Veículo sem correspondência válida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06DD6">
            <w:pPr>
              <w:spacing w:after="40" w:line="247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E63F2">
            <w:pPr>
              <w:spacing w:after="40" w:line="247" w:lineRule="auto"/>
            </w:pPr>
            <w:r>
              <w:rPr>
                <w:b w:val="0"/>
                <w:sz w:val="20"/>
              </w:rPr>
              <w:t>1, 58, 74, 94 e 135</w:t>
            </w:r>
          </w:p>
        </w:tc>
      </w:tr>
      <w:tr w14:paraId="4A819A69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671DA">
            <w:pPr>
              <w:spacing w:after="40" w:line="247" w:lineRule="auto"/>
            </w:pPr>
            <w:r>
              <w:rPr>
                <w:b w:val="0"/>
                <w:sz w:val="20"/>
              </w:rPr>
              <w:t>Serviço inexistente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32CE4">
            <w:pPr>
              <w:spacing w:after="40" w:line="247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BB1EC">
            <w:pPr>
              <w:spacing w:after="40" w:line="247" w:lineRule="auto"/>
            </w:pPr>
            <w:r>
              <w:rPr>
                <w:b w:val="0"/>
                <w:sz w:val="20"/>
              </w:rPr>
              <w:t>2</w:t>
            </w:r>
          </w:p>
        </w:tc>
      </w:tr>
      <w:tr w14:paraId="0C542F5F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07F87">
            <w:pPr>
              <w:spacing w:after="40" w:line="247" w:lineRule="auto"/>
            </w:pPr>
            <w:r>
              <w:rPr>
                <w:b w:val="0"/>
                <w:sz w:val="20"/>
              </w:rPr>
              <w:t>Total de rejeições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A9BA6">
            <w:pPr>
              <w:spacing w:after="40" w:line="247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6C726">
            <w:pPr>
              <w:spacing w:after="40" w:line="247" w:lineRule="auto"/>
            </w:pPr>
            <w:r>
              <w:rPr>
                <w:b w:val="0"/>
                <w:sz w:val="20"/>
              </w:rPr>
              <w:t>Após remoção de um duplicado</w:t>
            </w:r>
          </w:p>
        </w:tc>
      </w:tr>
    </w:tbl>
    <w:p w14:paraId="34E8CB2C"/>
    <w:p w14:paraId="27F580F0">
      <w:r>
        <w:rPr>
          <w:b w:val="0"/>
        </w:rPr>
        <w:t>A contagem reconcilia as fontes: 151 linhas menos uma repetição correspondem a 150 intervenções distintas; 140 aceites e 10 rejeitadas voltam a perfazer esse total. Nos veículos, 43 aceites e dois rejeitados correspondem aos 45 registos de entrada. Os avisos de email não subtraem clientes ao conjunto tratado.</w:t>
      </w:r>
    </w:p>
    <w:p w14:paraId="62656412">
      <w:r>
        <w:rPr>
          <w:b w:val="0"/>
        </w:rPr>
        <w:t>A reexecução e a atualização dos dados de identificação mantiveram 140 IDs na tabela. Este teste confirma o comportamento de inserção e atualização para o conjunto utilizado, sem demonstrar sincronização de eliminações na origem.</w:t>
      </w:r>
    </w:p>
    <w:p w14:paraId="28F44DEF">
      <w:pPr>
        <w:keepNext/>
        <w:jc w:val="center"/>
      </w:pPr>
      <w:r>
        <w:drawing>
          <wp:inline distT="0" distB="0" distL="114300" distR="114300">
            <wp:extent cx="6126480" cy="1564005"/>
            <wp:effectExtent l="0" t="0" r="7620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6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510D">
      <w:pPr>
        <w:pStyle w:val="18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9</w:t>
      </w:r>
      <w:r>
        <w:fldChar w:fldCharType="end"/>
      </w:r>
      <w:bookmarkStart w:id="27" w:name="_Toc5995"/>
      <w:r>
        <w:t xml:space="preserve"> — Evidência nos logs do sucesso do job e da falha controlada</w:t>
      </w:r>
      <w:bookmarkEnd w:id="27"/>
    </w:p>
    <w:p w14:paraId="6D76CFEB">
      <w:r>
        <w:br w:type="page"/>
      </w:r>
    </w:p>
    <w:p w14:paraId="2495DB15">
      <w:pPr>
        <w:pStyle w:val="3"/>
      </w:pPr>
      <w:bookmarkStart w:id="28" w:name="_Toc23815"/>
      <w:r>
        <w:t>7.1 Indicadores e leitura dos resultados</w:t>
      </w:r>
      <w:bookmarkEnd w:id="28"/>
    </w:p>
    <w:tbl>
      <w:tblPr>
        <w:tblStyle w:val="12"/>
        <w:tblW w:w="0" w:type="auto"/>
        <w:tblInd w:w="0" w:type="dxa"/>
        <w:tblBorders>
          <w:top w:val="single" w:color="D6DCE0" w:sz="4" w:space="0"/>
          <w:left w:val="single" w:color="D6DCE0" w:sz="4" w:space="0"/>
          <w:bottom w:val="single" w:color="D6DCE0" w:sz="4" w:space="0"/>
          <w:right w:val="single" w:color="D6DCE0" w:sz="4" w:space="0"/>
          <w:insideH w:val="single" w:color="D6DCE0" w:sz="4" w:space="0"/>
          <w:insideV w:val="single" w:color="D6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6"/>
        <w:gridCol w:w="4032"/>
      </w:tblGrid>
      <w:tr w14:paraId="2C401A5A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616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F4BA7">
            <w:pPr>
              <w:spacing w:after="40" w:line="247" w:lineRule="auto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w="4032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5FB36">
            <w:pPr>
              <w:spacing w:after="40" w:line="247" w:lineRule="auto"/>
            </w:pPr>
            <w:r>
              <w:rPr>
                <w:b/>
                <w:sz w:val="20"/>
              </w:rPr>
              <w:t>Valor</w:t>
            </w:r>
          </w:p>
        </w:tc>
      </w:tr>
      <w:tr w14:paraId="4C58AABE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24705">
            <w:pPr>
              <w:spacing w:after="40" w:line="247" w:lineRule="auto"/>
            </w:pPr>
            <w:r>
              <w:rPr>
                <w:b w:val="0"/>
                <w:sz w:val="20"/>
              </w:rPr>
              <w:t>Intervenções aceites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FCB9E">
            <w:pPr>
              <w:spacing w:after="40" w:line="247" w:lineRule="auto"/>
            </w:pPr>
            <w:r>
              <w:rPr>
                <w:b w:val="0"/>
                <w:sz w:val="20"/>
              </w:rPr>
              <w:t>140</w:t>
            </w:r>
          </w:p>
        </w:tc>
      </w:tr>
      <w:tr w14:paraId="442CF693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436A4">
            <w:pPr>
              <w:spacing w:after="40" w:line="247" w:lineRule="auto"/>
            </w:pPr>
            <w:r>
              <w:rPr>
                <w:b w:val="0"/>
                <w:sz w:val="20"/>
              </w:rPr>
              <w:t>Horas de trabalho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338B1">
            <w:pPr>
              <w:spacing w:after="40" w:line="247" w:lineRule="auto"/>
            </w:pPr>
            <w:r>
              <w:rPr>
                <w:b w:val="0"/>
                <w:sz w:val="20"/>
              </w:rPr>
              <w:t>222,50 h</w:t>
            </w:r>
          </w:p>
        </w:tc>
      </w:tr>
      <w:tr w14:paraId="725E74F0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60D93">
            <w:pPr>
              <w:spacing w:after="40" w:line="247" w:lineRule="auto"/>
            </w:pPr>
            <w:r>
              <w:rPr>
                <w:b w:val="0"/>
                <w:sz w:val="20"/>
              </w:rPr>
              <w:t>Custo das peças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BE188">
            <w:pPr>
              <w:spacing w:after="40" w:line="247" w:lineRule="auto"/>
            </w:pPr>
            <w:r>
              <w:rPr>
                <w:b w:val="0"/>
                <w:sz w:val="20"/>
              </w:rPr>
              <w:t>14 109,65 €</w:t>
            </w:r>
          </w:p>
        </w:tc>
      </w:tr>
      <w:tr w14:paraId="780FDB97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78F86">
            <w:pPr>
              <w:spacing w:after="40" w:line="247" w:lineRule="auto"/>
            </w:pPr>
            <w:r>
              <w:rPr>
                <w:b w:val="0"/>
                <w:sz w:val="20"/>
              </w:rPr>
              <w:t>Mão de obra calculada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F28FE">
            <w:pPr>
              <w:spacing w:after="40" w:line="247" w:lineRule="auto"/>
            </w:pPr>
            <w:r>
              <w:rPr>
                <w:b w:val="0"/>
                <w:sz w:val="20"/>
              </w:rPr>
              <w:t>7 077,50 €</w:t>
            </w:r>
          </w:p>
        </w:tc>
      </w:tr>
      <w:tr w14:paraId="618AB2E0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69DEB">
            <w:pPr>
              <w:spacing w:after="40" w:line="247" w:lineRule="auto"/>
            </w:pPr>
            <w:r>
              <w:rPr>
                <w:b w:val="0"/>
                <w:sz w:val="20"/>
              </w:rPr>
              <w:t>Custo total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1E467">
            <w:pPr>
              <w:spacing w:after="40" w:line="247" w:lineRule="auto"/>
            </w:pPr>
            <w:r>
              <w:rPr>
                <w:b w:val="0"/>
                <w:sz w:val="20"/>
              </w:rPr>
              <w:t>21 187,15 €</w:t>
            </w:r>
          </w:p>
        </w:tc>
      </w:tr>
      <w:tr w14:paraId="3E5C9531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CF731">
            <w:pPr>
              <w:spacing w:after="40" w:line="247" w:lineRule="auto"/>
            </w:pPr>
            <w:r>
              <w:rPr>
                <w:b w:val="0"/>
                <w:sz w:val="20"/>
              </w:rPr>
              <w:t>Custo médio global por intervenção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BD6D9">
            <w:pPr>
              <w:spacing w:after="40" w:line="247" w:lineRule="auto"/>
            </w:pPr>
            <w:r>
              <w:rPr>
                <w:b w:val="0"/>
                <w:sz w:val="20"/>
              </w:rPr>
              <w:t>151,34 €</w:t>
            </w:r>
          </w:p>
        </w:tc>
      </w:tr>
    </w:tbl>
    <w:p w14:paraId="5800D7BA"/>
    <w:p w14:paraId="6B61D7E2">
      <w:r>
        <w:rPr>
          <w:b w:val="0"/>
        </w:rPr>
        <w:t>A média global resulta de dividir 21 187,15 € por 140 intervenções. Não deve ser obtida somando médias mensais, nem pela média simples dessas médias quando os grupos têm dimensões diferentes.</w:t>
      </w:r>
    </w:p>
    <w:tbl>
      <w:tblPr>
        <w:tblStyle w:val="12"/>
        <w:tblW w:w="0" w:type="auto"/>
        <w:tblInd w:w="0" w:type="dxa"/>
        <w:tblBorders>
          <w:top w:val="single" w:color="D6DCE0" w:sz="4" w:space="0"/>
          <w:left w:val="single" w:color="D6DCE0" w:sz="4" w:space="0"/>
          <w:bottom w:val="single" w:color="D6DCE0" w:sz="4" w:space="0"/>
          <w:right w:val="single" w:color="D6DCE0" w:sz="4" w:space="0"/>
          <w:insideH w:val="single" w:color="D6DCE0" w:sz="4" w:space="0"/>
          <w:insideV w:val="single" w:color="D6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1872"/>
        <w:gridCol w:w="3744"/>
      </w:tblGrid>
      <w:tr w14:paraId="67818793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16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2CEF9">
            <w:pPr>
              <w:spacing w:after="40" w:line="247" w:lineRule="auto"/>
            </w:pPr>
            <w:r>
              <w:rPr>
                <w:b/>
                <w:sz w:val="20"/>
              </w:rPr>
              <w:t>Mês</w:t>
            </w:r>
          </w:p>
        </w:tc>
        <w:tc>
          <w:tcPr>
            <w:tcW w:w="2016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3DA24">
            <w:pPr>
              <w:spacing w:after="40" w:line="247" w:lineRule="auto"/>
            </w:pPr>
            <w:r>
              <w:rPr>
                <w:b/>
                <w:sz w:val="20"/>
              </w:rPr>
              <w:t>Intervenções</w:t>
            </w:r>
          </w:p>
        </w:tc>
        <w:tc>
          <w:tcPr>
            <w:tcW w:w="1872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4A89B">
            <w:pPr>
              <w:spacing w:after="40" w:line="247" w:lineRule="auto"/>
            </w:pPr>
            <w:r>
              <w:rPr>
                <w:b/>
                <w:sz w:val="20"/>
              </w:rPr>
              <w:t>Horas</w:t>
            </w:r>
          </w:p>
        </w:tc>
        <w:tc>
          <w:tcPr>
            <w:tcW w:w="3744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25740">
            <w:pPr>
              <w:spacing w:after="40" w:line="247" w:lineRule="auto"/>
            </w:pPr>
            <w:r>
              <w:rPr>
                <w:b/>
                <w:sz w:val="20"/>
              </w:rPr>
              <w:t>Custo total</w:t>
            </w:r>
          </w:p>
        </w:tc>
      </w:tr>
      <w:tr w14:paraId="3BF3BBEF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E3721">
            <w:pPr>
              <w:spacing w:after="40" w:line="247" w:lineRule="auto"/>
            </w:pPr>
            <w:r>
              <w:rPr>
                <w:b w:val="0"/>
                <w:sz w:val="20"/>
              </w:rPr>
              <w:t>2026-01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68DBF">
            <w:pPr>
              <w:spacing w:after="40" w:line="247" w:lineRule="auto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08780">
            <w:pPr>
              <w:spacing w:after="40" w:line="247" w:lineRule="auto"/>
            </w:pPr>
            <w:r>
              <w:rPr>
                <w:b w:val="0"/>
                <w:sz w:val="20"/>
              </w:rPr>
              <w:t>22,50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0E0A5">
            <w:pPr>
              <w:spacing w:after="40" w:line="247" w:lineRule="auto"/>
            </w:pPr>
            <w:r>
              <w:rPr>
                <w:b w:val="0"/>
                <w:sz w:val="20"/>
              </w:rPr>
              <w:t>2 387,34 €</w:t>
            </w:r>
          </w:p>
        </w:tc>
      </w:tr>
      <w:tr w14:paraId="39E9231A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A2F92">
            <w:pPr>
              <w:spacing w:after="40" w:line="247" w:lineRule="auto"/>
            </w:pPr>
            <w:r>
              <w:rPr>
                <w:b w:val="0"/>
                <w:sz w:val="20"/>
              </w:rPr>
              <w:t>2026-02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7F0B9">
            <w:pPr>
              <w:spacing w:after="40" w:line="247" w:lineRule="auto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3A692">
            <w:pPr>
              <w:spacing w:after="40" w:line="247" w:lineRule="auto"/>
            </w:pPr>
            <w:r>
              <w:rPr>
                <w:b w:val="0"/>
                <w:sz w:val="20"/>
              </w:rPr>
              <w:t>33,00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3C9DF">
            <w:pPr>
              <w:spacing w:after="40" w:line="247" w:lineRule="auto"/>
            </w:pPr>
            <w:r>
              <w:rPr>
                <w:b w:val="0"/>
                <w:sz w:val="20"/>
              </w:rPr>
              <w:t>3 052,30 €</w:t>
            </w:r>
          </w:p>
        </w:tc>
      </w:tr>
      <w:tr w14:paraId="678C6CDE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A765E">
            <w:pPr>
              <w:spacing w:after="40" w:line="247" w:lineRule="auto"/>
            </w:pPr>
            <w:r>
              <w:rPr>
                <w:b w:val="0"/>
                <w:sz w:val="20"/>
              </w:rPr>
              <w:t>2026-03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8BB18">
            <w:pPr>
              <w:spacing w:after="40" w:line="247" w:lineRule="auto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ADBF4">
            <w:pPr>
              <w:spacing w:after="40" w:line="247" w:lineRule="auto"/>
            </w:pPr>
            <w:r>
              <w:rPr>
                <w:b w:val="0"/>
                <w:sz w:val="20"/>
              </w:rPr>
              <w:t>25,00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84116">
            <w:pPr>
              <w:spacing w:after="40" w:line="247" w:lineRule="auto"/>
            </w:pPr>
            <w:r>
              <w:rPr>
                <w:b w:val="0"/>
                <w:sz w:val="20"/>
              </w:rPr>
              <w:t>2 505,72 €</w:t>
            </w:r>
          </w:p>
        </w:tc>
      </w:tr>
      <w:tr w14:paraId="352FD2F5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BA403">
            <w:pPr>
              <w:spacing w:after="40" w:line="247" w:lineRule="auto"/>
            </w:pPr>
            <w:r>
              <w:rPr>
                <w:b w:val="0"/>
                <w:sz w:val="20"/>
              </w:rPr>
              <w:t>2026-04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6FA4B">
            <w:pPr>
              <w:spacing w:after="40" w:line="247" w:lineRule="auto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65C53">
            <w:pPr>
              <w:spacing w:after="40" w:line="247" w:lineRule="auto"/>
            </w:pPr>
            <w:r>
              <w:rPr>
                <w:b w:val="0"/>
                <w:sz w:val="20"/>
              </w:rPr>
              <w:t>32,00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08077">
            <w:pPr>
              <w:spacing w:after="40" w:line="247" w:lineRule="auto"/>
            </w:pPr>
            <w:r>
              <w:rPr>
                <w:b w:val="0"/>
                <w:sz w:val="20"/>
              </w:rPr>
              <w:t>2 833,65 €</w:t>
            </w:r>
          </w:p>
        </w:tc>
      </w:tr>
      <w:tr w14:paraId="7743FD67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5A26E">
            <w:pPr>
              <w:spacing w:after="40" w:line="247" w:lineRule="auto"/>
            </w:pPr>
            <w:r>
              <w:rPr>
                <w:b w:val="0"/>
                <w:sz w:val="20"/>
              </w:rPr>
              <w:t>2026-05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8447B">
            <w:pPr>
              <w:spacing w:after="40" w:line="247" w:lineRule="auto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537AC">
            <w:pPr>
              <w:spacing w:after="40" w:line="247" w:lineRule="auto"/>
            </w:pPr>
            <w:r>
              <w:rPr>
                <w:b w:val="0"/>
                <w:sz w:val="20"/>
              </w:rPr>
              <w:t>22,50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3CDC2">
            <w:pPr>
              <w:spacing w:after="40" w:line="247" w:lineRule="auto"/>
            </w:pPr>
            <w:r>
              <w:rPr>
                <w:b w:val="0"/>
                <w:sz w:val="20"/>
              </w:rPr>
              <w:t>2 249,60 €</w:t>
            </w:r>
          </w:p>
        </w:tc>
      </w:tr>
      <w:tr w14:paraId="3CE15525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9AD94">
            <w:pPr>
              <w:spacing w:after="40" w:line="247" w:lineRule="auto"/>
            </w:pPr>
            <w:r>
              <w:rPr>
                <w:b w:val="0"/>
                <w:sz w:val="20"/>
              </w:rPr>
              <w:t>2026-06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DB44F">
            <w:pPr>
              <w:spacing w:after="40" w:line="247" w:lineRule="auto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A64E1">
            <w:pPr>
              <w:spacing w:after="40" w:line="247" w:lineRule="auto"/>
            </w:pPr>
            <w:r>
              <w:rPr>
                <w:b w:val="0"/>
                <w:sz w:val="20"/>
              </w:rPr>
              <w:t>27,00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364DF">
            <w:pPr>
              <w:spacing w:after="40" w:line="247" w:lineRule="auto"/>
            </w:pPr>
            <w:r>
              <w:rPr>
                <w:b w:val="0"/>
                <w:sz w:val="20"/>
              </w:rPr>
              <w:t>2 181,03 €</w:t>
            </w:r>
          </w:p>
        </w:tc>
      </w:tr>
      <w:tr w14:paraId="384D1506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77159">
            <w:pPr>
              <w:spacing w:after="40" w:line="247" w:lineRule="auto"/>
            </w:pPr>
            <w:r>
              <w:rPr>
                <w:b w:val="0"/>
                <w:sz w:val="20"/>
              </w:rPr>
              <w:t>2026-07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C5004">
            <w:pPr>
              <w:spacing w:after="40" w:line="247" w:lineRule="auto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16978">
            <w:pPr>
              <w:spacing w:after="40" w:line="247" w:lineRule="auto"/>
            </w:pPr>
            <w:r>
              <w:rPr>
                <w:b w:val="0"/>
                <w:sz w:val="20"/>
              </w:rPr>
              <w:t>21,50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7EF85">
            <w:pPr>
              <w:spacing w:after="40" w:line="247" w:lineRule="auto"/>
            </w:pPr>
            <w:r>
              <w:rPr>
                <w:b w:val="0"/>
                <w:sz w:val="20"/>
              </w:rPr>
              <w:t>2 013,63 €</w:t>
            </w:r>
          </w:p>
        </w:tc>
      </w:tr>
      <w:tr w14:paraId="13CCD80D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BD442">
            <w:pPr>
              <w:spacing w:after="40" w:line="247" w:lineRule="auto"/>
            </w:pPr>
            <w:r>
              <w:rPr>
                <w:b w:val="0"/>
                <w:sz w:val="20"/>
              </w:rPr>
              <w:t>2026-08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BC474">
            <w:pPr>
              <w:spacing w:after="40" w:line="247" w:lineRule="auto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3EB6A">
            <w:pPr>
              <w:spacing w:after="40" w:line="247" w:lineRule="auto"/>
            </w:pPr>
            <w:r>
              <w:rPr>
                <w:b w:val="0"/>
                <w:sz w:val="20"/>
              </w:rPr>
              <w:t>20,50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CA8BE">
            <w:pPr>
              <w:spacing w:after="40" w:line="247" w:lineRule="auto"/>
            </w:pPr>
            <w:r>
              <w:rPr>
                <w:b w:val="0"/>
                <w:sz w:val="20"/>
              </w:rPr>
              <w:t>2 311,39 €</w:t>
            </w:r>
          </w:p>
        </w:tc>
      </w:tr>
      <w:tr w14:paraId="0CF5F2A2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FCD6E">
            <w:pPr>
              <w:spacing w:after="40" w:line="247" w:lineRule="auto"/>
            </w:pPr>
            <w:r>
              <w:rPr>
                <w:b w:val="0"/>
                <w:sz w:val="20"/>
              </w:rPr>
              <w:t>2026-09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5E2A8">
            <w:pPr>
              <w:spacing w:after="40" w:line="247" w:lineRule="auto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54FDB">
            <w:pPr>
              <w:spacing w:after="40" w:line="247" w:lineRule="auto"/>
            </w:pPr>
            <w:r>
              <w:rPr>
                <w:b w:val="0"/>
                <w:sz w:val="20"/>
              </w:rPr>
              <w:t>18,50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7DA70">
            <w:pPr>
              <w:spacing w:after="40" w:line="247" w:lineRule="auto"/>
            </w:pPr>
            <w:r>
              <w:rPr>
                <w:b w:val="0"/>
                <w:sz w:val="20"/>
              </w:rPr>
              <w:t>1 652,49 €</w:t>
            </w:r>
          </w:p>
        </w:tc>
      </w:tr>
    </w:tbl>
    <w:p w14:paraId="3CDC22F6"/>
    <w:p w14:paraId="2B3AC5CC">
      <w:r>
        <w:rPr>
          <w:b w:val="0"/>
        </w:rPr>
        <w:t>Fevereiro concentra o maior número de intervenções, com 22, e o maior custo total mensal, 3 052,30 €. Setembro apresenta o menor total, 1 652,49 €, com 12 intervenções. Como os dados são sintéticos e abrangem apenas janeiro a setembro de 2026, estas diferenças ilustram a análise possível, sem sustentar conclusões sobre sazonalidade de uma oficina real.</w:t>
      </w:r>
    </w:p>
    <w:p w14:paraId="0C2CBEAC">
      <w:r>
        <w:br w:type="page"/>
      </w:r>
    </w:p>
    <w:p w14:paraId="56439E73">
      <w:pPr>
        <w:pStyle w:val="3"/>
      </w:pPr>
      <w:bookmarkStart w:id="29" w:name="_Toc22220"/>
      <w:r>
        <w:t>7.2 Comparação entre serviços</w:t>
      </w:r>
      <w:bookmarkEnd w:id="29"/>
    </w:p>
    <w:tbl>
      <w:tblPr>
        <w:tblStyle w:val="12"/>
        <w:tblW w:w="0" w:type="auto"/>
        <w:tblInd w:w="0" w:type="dxa"/>
        <w:tblBorders>
          <w:top w:val="single" w:color="D6DCE0" w:sz="4" w:space="0"/>
          <w:left w:val="single" w:color="D6DCE0" w:sz="4" w:space="0"/>
          <w:bottom w:val="single" w:color="D6DCE0" w:sz="4" w:space="0"/>
          <w:right w:val="single" w:color="D6DCE0" w:sz="4" w:space="0"/>
          <w:insideH w:val="single" w:color="D6DCE0" w:sz="4" w:space="0"/>
          <w:insideV w:val="single" w:color="D6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792"/>
        <w:gridCol w:w="1080"/>
        <w:gridCol w:w="2016"/>
        <w:gridCol w:w="2160"/>
      </w:tblGrid>
      <w:tr w14:paraId="586D25A1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38CCC">
            <w:pPr>
              <w:spacing w:after="40" w:line="247" w:lineRule="auto"/>
            </w:pPr>
            <w:r>
              <w:rPr>
                <w:b/>
                <w:sz w:val="20"/>
              </w:rPr>
              <w:t>Serviço</w:t>
            </w:r>
          </w:p>
        </w:tc>
        <w:tc>
          <w:tcPr>
            <w:tcW w:w="792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576C4">
            <w:pPr>
              <w:spacing w:after="40" w:line="247" w:lineRule="auto"/>
            </w:pPr>
            <w:r>
              <w:rPr>
                <w:b/>
                <w:sz w:val="20"/>
              </w:rPr>
              <w:t>N.º</w:t>
            </w:r>
          </w:p>
        </w:tc>
        <w:tc>
          <w:tcPr>
            <w:tcW w:w="1080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EE829">
            <w:pPr>
              <w:spacing w:after="40" w:line="247" w:lineRule="auto"/>
            </w:pPr>
            <w:r>
              <w:rPr>
                <w:b/>
                <w:sz w:val="20"/>
              </w:rPr>
              <w:t>Horas</w:t>
            </w:r>
          </w:p>
        </w:tc>
        <w:tc>
          <w:tcPr>
            <w:tcW w:w="2016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D00FF">
            <w:pPr>
              <w:spacing w:after="40" w:line="247" w:lineRule="auto"/>
            </w:pPr>
            <w:r>
              <w:rPr>
                <w:b/>
                <w:sz w:val="20"/>
              </w:rPr>
              <w:t>Peças em €</w:t>
            </w:r>
          </w:p>
        </w:tc>
        <w:tc>
          <w:tcPr>
            <w:tcW w:w="2160" w:type="dxa"/>
            <w:shd w:val="clear" w:color="auto" w:fill="EDF1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70950">
            <w:pPr>
              <w:spacing w:after="40" w:line="247" w:lineRule="auto"/>
            </w:pPr>
            <w:r>
              <w:rPr>
                <w:b/>
                <w:sz w:val="20"/>
              </w:rPr>
              <w:t>Total em €</w:t>
            </w:r>
          </w:p>
        </w:tc>
      </w:tr>
      <w:tr w14:paraId="721C11D7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35FD3">
            <w:pPr>
              <w:spacing w:after="40" w:line="247" w:lineRule="auto"/>
            </w:pPr>
            <w:r>
              <w:rPr>
                <w:b w:val="0"/>
                <w:sz w:val="20"/>
              </w:rPr>
              <w:t>Mudança de óleo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363B9">
            <w:pPr>
              <w:spacing w:after="40" w:line="247" w:lineRule="auto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CFF1B">
            <w:pPr>
              <w:spacing w:after="40" w:line="247" w:lineRule="auto"/>
            </w:pPr>
            <w:r>
              <w:rPr>
                <w:b w:val="0"/>
                <w:sz w:val="20"/>
              </w:rPr>
              <w:t>21,00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89591">
            <w:pPr>
              <w:spacing w:after="40" w:line="247" w:lineRule="auto"/>
            </w:pPr>
            <w:r>
              <w:rPr>
                <w:b w:val="0"/>
                <w:sz w:val="20"/>
              </w:rPr>
              <w:t>927,60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18B76">
            <w:pPr>
              <w:spacing w:after="40" w:line="247" w:lineRule="auto"/>
            </w:pPr>
            <w:r>
              <w:rPr>
                <w:b w:val="0"/>
                <w:sz w:val="20"/>
              </w:rPr>
              <w:t>1 557,60</w:t>
            </w:r>
          </w:p>
        </w:tc>
      </w:tr>
      <w:tr w14:paraId="133FD594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471A9">
            <w:pPr>
              <w:spacing w:after="40" w:line="247" w:lineRule="auto"/>
            </w:pPr>
            <w:r>
              <w:rPr>
                <w:b w:val="0"/>
                <w:sz w:val="20"/>
              </w:rPr>
              <w:t>Substituição de travões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B3326">
            <w:pPr>
              <w:spacing w:after="40" w:line="247" w:lineRule="auto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EE0A3">
            <w:pPr>
              <w:spacing w:after="40" w:line="247" w:lineRule="auto"/>
            </w:pPr>
            <w:r>
              <w:rPr>
                <w:b w:val="0"/>
                <w:sz w:val="20"/>
              </w:rPr>
              <w:t>25,00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D70F1">
            <w:pPr>
              <w:spacing w:after="40" w:line="247" w:lineRule="auto"/>
            </w:pPr>
            <w:r>
              <w:rPr>
                <w:b w:val="0"/>
                <w:sz w:val="20"/>
              </w:rPr>
              <w:t>1 252,01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C5E03">
            <w:pPr>
              <w:spacing w:after="40" w:line="247" w:lineRule="auto"/>
            </w:pPr>
            <w:r>
              <w:rPr>
                <w:b w:val="0"/>
                <w:sz w:val="20"/>
              </w:rPr>
              <w:t>2 127,01</w:t>
            </w:r>
          </w:p>
        </w:tc>
      </w:tr>
      <w:tr w14:paraId="22C7FC68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55D34">
            <w:pPr>
              <w:spacing w:after="40" w:line="247" w:lineRule="auto"/>
            </w:pPr>
            <w:r>
              <w:rPr>
                <w:b w:val="0"/>
                <w:sz w:val="20"/>
              </w:rPr>
              <w:t>Troca de pneus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4B966">
            <w:pPr>
              <w:spacing w:after="40" w:line="247" w:lineRule="auto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EE4CB">
            <w:pPr>
              <w:spacing w:after="40" w:line="247" w:lineRule="auto"/>
            </w:pPr>
            <w:r>
              <w:rPr>
                <w:b w:val="0"/>
                <w:sz w:val="20"/>
              </w:rPr>
              <w:t>42,50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79318">
            <w:pPr>
              <w:spacing w:after="40" w:line="247" w:lineRule="auto"/>
            </w:pPr>
            <w:r>
              <w:rPr>
                <w:b w:val="0"/>
                <w:sz w:val="20"/>
              </w:rPr>
              <w:t>2 514,27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883D0">
            <w:pPr>
              <w:spacing w:after="40" w:line="247" w:lineRule="auto"/>
            </w:pPr>
            <w:r>
              <w:rPr>
                <w:b w:val="0"/>
                <w:sz w:val="20"/>
              </w:rPr>
              <w:t>3 576,77</w:t>
            </w:r>
          </w:p>
        </w:tc>
      </w:tr>
      <w:tr w14:paraId="254DFC27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18422">
            <w:pPr>
              <w:spacing w:after="40" w:line="247" w:lineRule="auto"/>
            </w:pPr>
            <w:r>
              <w:rPr>
                <w:b w:val="0"/>
                <w:sz w:val="20"/>
              </w:rPr>
              <w:t>Diagnóstico eletrónico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ED0BB">
            <w:pPr>
              <w:spacing w:after="40" w:line="247" w:lineRule="auto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05514">
            <w:pPr>
              <w:spacing w:after="40" w:line="247" w:lineRule="auto"/>
            </w:pPr>
            <w:r>
              <w:rPr>
                <w:b w:val="0"/>
                <w:sz w:val="20"/>
              </w:rPr>
              <w:t>17,00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5BA44">
            <w:pPr>
              <w:spacing w:after="40" w:line="247" w:lineRule="auto"/>
            </w:pPr>
            <w:r>
              <w:rPr>
                <w:b w:val="0"/>
                <w:sz w:val="20"/>
              </w:rPr>
              <w:t>996,63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6FE3E">
            <w:pPr>
              <w:spacing w:after="40" w:line="247" w:lineRule="auto"/>
            </w:pPr>
            <w:r>
              <w:rPr>
                <w:b w:val="0"/>
                <w:sz w:val="20"/>
              </w:rPr>
              <w:t>1 676,63</w:t>
            </w:r>
          </w:p>
        </w:tc>
      </w:tr>
      <w:tr w14:paraId="7DCC8CD7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F1F18">
            <w:pPr>
              <w:spacing w:after="40" w:line="247" w:lineRule="auto"/>
            </w:pPr>
            <w:r>
              <w:rPr>
                <w:b w:val="0"/>
                <w:sz w:val="20"/>
              </w:rPr>
              <w:t>Revisão geral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1C5BB">
            <w:pPr>
              <w:spacing w:after="40" w:line="247" w:lineRule="auto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2D070">
            <w:pPr>
              <w:spacing w:after="40" w:line="247" w:lineRule="auto"/>
            </w:pPr>
            <w:r>
              <w:rPr>
                <w:b w:val="0"/>
                <w:sz w:val="20"/>
              </w:rPr>
              <w:t>33,50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F5261">
            <w:pPr>
              <w:spacing w:after="40" w:line="247" w:lineRule="auto"/>
            </w:pPr>
            <w:r>
              <w:rPr>
                <w:b w:val="0"/>
                <w:sz w:val="20"/>
              </w:rPr>
              <w:t>2 814,89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C67C4">
            <w:pPr>
              <w:spacing w:after="40" w:line="247" w:lineRule="auto"/>
            </w:pPr>
            <w:r>
              <w:rPr>
                <w:b w:val="0"/>
                <w:sz w:val="20"/>
              </w:rPr>
              <w:t>3 987,39</w:t>
            </w:r>
          </w:p>
        </w:tc>
      </w:tr>
      <w:tr w14:paraId="6ECC96D0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F40D3">
            <w:pPr>
              <w:spacing w:after="40" w:line="247" w:lineRule="auto"/>
            </w:pPr>
            <w:r>
              <w:rPr>
                <w:b w:val="0"/>
                <w:sz w:val="20"/>
              </w:rPr>
              <w:t>Substituição de bateria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9C17B">
            <w:pPr>
              <w:spacing w:after="40" w:line="247" w:lineRule="auto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6A1E3">
            <w:pPr>
              <w:spacing w:after="40" w:line="247" w:lineRule="auto"/>
            </w:pPr>
            <w:r>
              <w:rPr>
                <w:b w:val="0"/>
                <w:sz w:val="20"/>
              </w:rPr>
              <w:t>25,50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72F63">
            <w:pPr>
              <w:spacing w:after="40" w:line="247" w:lineRule="auto"/>
            </w:pPr>
            <w:r>
              <w:rPr>
                <w:b w:val="0"/>
                <w:sz w:val="20"/>
              </w:rPr>
              <w:t>1 681,68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91FBD">
            <w:pPr>
              <w:spacing w:after="40" w:line="247" w:lineRule="auto"/>
            </w:pPr>
            <w:r>
              <w:rPr>
                <w:b w:val="0"/>
                <w:sz w:val="20"/>
              </w:rPr>
              <w:t>2 319,18</w:t>
            </w:r>
          </w:p>
        </w:tc>
      </w:tr>
      <w:tr w14:paraId="55D043F0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C06D0">
            <w:pPr>
              <w:spacing w:after="40" w:line="247" w:lineRule="auto"/>
            </w:pPr>
            <w:r>
              <w:rPr>
                <w:b w:val="0"/>
                <w:sz w:val="20"/>
              </w:rPr>
              <w:t>Alinhamento de direção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CA8CA">
            <w:pPr>
              <w:spacing w:after="40" w:line="247" w:lineRule="auto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C8799">
            <w:pPr>
              <w:spacing w:after="40" w:line="247" w:lineRule="auto"/>
            </w:pPr>
            <w:r>
              <w:rPr>
                <w:b w:val="0"/>
                <w:sz w:val="20"/>
              </w:rPr>
              <w:t>30,00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235C0">
            <w:pPr>
              <w:spacing w:after="40" w:line="247" w:lineRule="auto"/>
            </w:pPr>
            <w:r>
              <w:rPr>
                <w:b w:val="0"/>
                <w:sz w:val="20"/>
              </w:rPr>
              <w:t>1 619,26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16333">
            <w:pPr>
              <w:spacing w:after="40" w:line="247" w:lineRule="auto"/>
            </w:pPr>
            <w:r>
              <w:rPr>
                <w:b w:val="0"/>
                <w:sz w:val="20"/>
              </w:rPr>
              <w:t>2 519,26</w:t>
            </w:r>
          </w:p>
        </w:tc>
      </w:tr>
      <w:tr w14:paraId="2154CC83">
        <w:tblPrEx>
          <w:tblBorders>
            <w:top w:val="single" w:color="D6DCE0" w:sz="4" w:space="0"/>
            <w:left w:val="single" w:color="D6DCE0" w:sz="4" w:space="0"/>
            <w:bottom w:val="single" w:color="D6DCE0" w:sz="4" w:space="0"/>
            <w:right w:val="single" w:color="D6DCE0" w:sz="4" w:space="0"/>
            <w:insideH w:val="single" w:color="D6DCE0" w:sz="4" w:space="0"/>
            <w:insideV w:val="single" w:color="D6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A7A54">
            <w:pPr>
              <w:spacing w:after="40" w:line="247" w:lineRule="auto"/>
            </w:pPr>
            <w:r>
              <w:rPr>
                <w:b w:val="0"/>
                <w:sz w:val="20"/>
              </w:rPr>
              <w:t>Manutenção de ar condicionado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DC9B5">
            <w:pPr>
              <w:spacing w:after="40" w:line="247" w:lineRule="auto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CE123">
            <w:pPr>
              <w:spacing w:after="40" w:line="247" w:lineRule="auto"/>
            </w:pPr>
            <w:r>
              <w:rPr>
                <w:b w:val="0"/>
                <w:sz w:val="20"/>
              </w:rPr>
              <w:t>28,00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E8A91">
            <w:pPr>
              <w:spacing w:after="40" w:line="247" w:lineRule="auto"/>
            </w:pPr>
            <w:r>
              <w:rPr>
                <w:b w:val="0"/>
                <w:sz w:val="20"/>
              </w:rPr>
              <w:t>2 303,31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6EA6D">
            <w:pPr>
              <w:spacing w:after="40" w:line="247" w:lineRule="auto"/>
            </w:pPr>
            <w:r>
              <w:rPr>
                <w:b w:val="0"/>
                <w:sz w:val="20"/>
              </w:rPr>
              <w:t>3 423,31</w:t>
            </w:r>
          </w:p>
        </w:tc>
      </w:tr>
    </w:tbl>
    <w:p w14:paraId="7588F0FE"/>
    <w:p w14:paraId="461497F1">
      <w:r>
        <w:rPr>
          <w:b w:val="0"/>
        </w:rPr>
        <w:t>A troca de pneus é o serviço mais frequente, com 23 intervenções. A revisão geral apresenta o maior custo agregado, 3 987,39 €, apesar de ter 22 intervenções. A diferença mostra por que motivo é útil observar a quantidade de trabalhos e os custos em gráficos distintos: mais intervenções não implicam automaticamente o maior custo total.</w:t>
      </w:r>
    </w:p>
    <w:p w14:paraId="09E74C54">
      <w:r>
        <w:rPr>
          <w:b w:val="0"/>
        </w:rPr>
        <w:t>Os custos dependem da combinação entre horas, tarifa e peças. A revisão geral tem 33,50 horas e 2 814,89 € em peças, enquanto a troca de pneus tem 42,50 horas e 2 514,27 € em peças. Estes valores ajudam a explicar o resultado sem reduzir a análise à contagem dos registos.</w:t>
      </w:r>
    </w:p>
    <w:p w14:paraId="4FFD5B1B">
      <w:pPr>
        <w:pStyle w:val="4"/>
      </w:pPr>
      <w:r>
        <w:t>Verificação dos agregados</w:t>
      </w:r>
    </w:p>
    <w:p w14:paraId="00D8476F">
      <w:r>
        <w:rPr>
          <w:b w:val="0"/>
        </w:rPr>
        <w:t>A soma das contagens por serviço é 140 e a soma dos custos é 21 187,15 €. As horas e os custos de peças também coincidem com o resumo mensal. Esta correspondência funciona como um controlo simples da integridade da etapa de agregação: nenhuma intervenção válida deve ficar de fora de um dos ramos.</w:t>
      </w:r>
    </w:p>
    <w:p w14:paraId="6A253472">
      <w:r>
        <w:rPr>
          <w:b w:val="0"/>
        </w:rPr>
        <w:t>O diagnóstico eletrónico tem a menor frequência, com 11 intervenções. A mudança de óleo apresenta o menor custo agregado, 1 557,60 €. Estes indicadores podem apoiar uma discussão sobre distribuição do trabalho e necessidades de recursos; para decisões reais seriam necessários dados representativos e uma definição rigorosa dos custos incluídos.</w:t>
      </w:r>
    </w:p>
    <w:p w14:paraId="13DDDFBF">
      <w:r>
        <w:br w:type="page"/>
      </w:r>
    </w:p>
    <w:p w14:paraId="4B95AB96">
      <w:pPr>
        <w:pStyle w:val="2"/>
      </w:pPr>
      <w:bookmarkStart w:id="30" w:name="_Toc13283"/>
      <w:r>
        <w:t>8 Representação visual no Power BI</w:t>
      </w:r>
      <w:bookmarkEnd w:id="30"/>
    </w:p>
    <w:p w14:paraId="70B7A3BA">
      <w:r>
        <w:rPr>
          <w:b w:val="0"/>
        </w:rPr>
        <w:t>O ficheiro dashboard/tabela_dashboard.pbix importa resumo_mensal.csv e resumo_servicos.csv. A página apresenta quatro cartões gerais, o custo das intervenções por mês e dois gráficos por serviço: quantidade de intervenções e custo total. A finalidade é tornar os resultados do ETL legíveis sem consultar diretamente os ficheiros ou executar SQL.</w:t>
      </w:r>
    </w:p>
    <w:p w14:paraId="62D41CDB">
      <w:pPr>
        <w:keepNext/>
        <w:jc w:val="center"/>
      </w:pPr>
      <w:r>
        <w:drawing>
          <wp:inline distT="0" distB="0" distL="114300" distR="114300">
            <wp:extent cx="6156325" cy="3017520"/>
            <wp:effectExtent l="0" t="0" r="1587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8CAC">
      <w:pPr>
        <w:pStyle w:val="18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10</w:t>
      </w:r>
      <w:r>
        <w:fldChar w:fldCharType="end"/>
      </w:r>
      <w:bookmarkStart w:id="31" w:name="_Toc12099"/>
      <w:r>
        <w:t xml:space="preserve"> — Captura do relatório Power BI durante a construção da página</w:t>
      </w:r>
      <w:bookmarkEnd w:id="31"/>
    </w:p>
    <w:p w14:paraId="54EDC88B">
      <w:r>
        <w:rPr>
          <w:b w:val="0"/>
        </w:rPr>
        <w:t>Os cartões mostram 140 intervenções, 21 187,15 € de custo total, 222,50 horas e 14 109,65 € em peças. O gráfico mensal permite comparar os nove meses; os gráficos horizontais facilitam a leitura das descrições dos serviços. A ordenação por valor destaca os serviços com maior frequência ou custo.</w:t>
      </w:r>
    </w:p>
    <w:p w14:paraId="120BEAC2">
      <w:pPr>
        <w:pStyle w:val="3"/>
      </w:pPr>
      <w:bookmarkStart w:id="32" w:name="_Toc7191"/>
      <w:r>
        <w:t>8.1 Tipos de dados</w:t>
      </w:r>
      <w:bookmarkEnd w:id="32"/>
    </w:p>
    <w:p w14:paraId="2AB753CF">
      <w:r>
        <w:t>As colunas numéricas dos CSV foram convertidas no Power Query com a região Inglês dos Estados Unidos, compatível com o ponto decimal dos ficheiros. A apresentação dos números pode depois usar vírgula decimal e duas casas. Esta distinção entre interpretação e apresentação evita transformar números em texto ou interpretar incorretamente os valores.</w:t>
      </w:r>
    </w:p>
    <w:p w14:paraId="591EFB65">
      <w:pPr>
        <w:pStyle w:val="2"/>
        <w:pageBreakBefore/>
      </w:pPr>
      <w:bookmarkStart w:id="33" w:name="_Toc2306"/>
      <w:r>
        <w:t>Vídeo de demonstração</w:t>
      </w:r>
      <w:bookmarkEnd w:id="33"/>
    </w:p>
    <w:p w14:paraId="6A5E69F2">
      <w:r>
        <w:t>O vídeo de demonstração apresenta o funcionamento da solução, a execução dos processos e os resultados obtidos. Pode ser consultado através do link seguinte ou do QR Code.</w:t>
      </w:r>
    </w:p>
    <w:p w14:paraId="1DF44354">
      <w:pPr>
        <w:pStyle w:val="4"/>
      </w:pPr>
      <w:r>
        <w:t>Link do vídeo</w:t>
      </w:r>
    </w:p>
    <w:p w14:paraId="527ABC84">
      <w:r>
        <w:fldChar w:fldCharType="begin"/>
      </w:r>
      <w:r>
        <w:instrText xml:space="preserve"> HYPERLINK "https://youtu.be/bRhBE6gT9Bc" \h </w:instrText>
      </w:r>
      <w:r>
        <w:fldChar w:fldCharType="separate"/>
      </w:r>
      <w:r>
        <w:rPr>
          <w:color w:val="0563C1"/>
          <w:u w:val="single"/>
        </w:rPr>
        <w:t>https://youtu.be/bRhBE6gT9Bc</w:t>
      </w:r>
      <w:r>
        <w:rPr>
          <w:color w:val="0563C1"/>
          <w:u w:val="single"/>
        </w:rPr>
        <w:fldChar w:fldCharType="end"/>
      </w:r>
    </w:p>
    <w:p w14:paraId="25B22E28">
      <w:pPr>
        <w:pStyle w:val="4"/>
      </w:pPr>
      <w:r>
        <w:t>QR Code do vídeo</w:t>
      </w:r>
    </w:p>
    <w:p w14:paraId="03FB1A88">
      <w:pPr>
        <w:keepNext/>
        <w:jc w:val="center"/>
      </w:pPr>
      <w:r>
        <w:drawing>
          <wp:inline distT="0" distB="0" distL="114300" distR="114300">
            <wp:extent cx="1828800" cy="1828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2C83">
      <w:pPr>
        <w:pStyle w:val="18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11</w:t>
      </w:r>
      <w:r>
        <w:fldChar w:fldCharType="end"/>
      </w:r>
      <w:bookmarkStart w:id="34" w:name="_Toc4585"/>
      <w:r>
        <w:t xml:space="preserve"> — QR Code do vídeo de demonstração</w:t>
      </w:r>
      <w:bookmarkEnd w:id="34"/>
    </w:p>
    <w:p w14:paraId="6E02F314">
      <w:pPr>
        <w:pStyle w:val="4"/>
      </w:pPr>
      <w:r>
        <w:t>Conteúdo da demonstração</w:t>
      </w:r>
    </w:p>
    <w:p w14:paraId="18DB0713">
      <w:r>
        <w:t>A demonstração inclui as fontes de dados, as transformações, a execução do job principal, os resultados no PostgreSQL e nos ficheiros exportados, a representação no Power BI e o teste de falha controlada.</w:t>
      </w:r>
    </w:p>
    <w:p w14:paraId="30FB89C9">
      <w:r>
        <w:t>O vídeo complementa as evidências do relatório e permite observar a execução da solução e a apresentação dos resultados.</w:t>
      </w:r>
    </w:p>
    <w:p w14:paraId="71653DEE">
      <w:r>
        <w:br w:type="page"/>
      </w:r>
    </w:p>
    <w:p w14:paraId="5E0E3D8E">
      <w:pPr>
        <w:pStyle w:val="2"/>
        <w:pageBreakBefore/>
      </w:pPr>
      <w:bookmarkStart w:id="35" w:name="_Toc9692"/>
      <w:r>
        <w:t>Referências bibliográficas</w:t>
      </w:r>
      <w:bookmarkEnd w:id="35"/>
    </w:p>
    <w:p w14:paraId="7C80FEF8">
      <w:r>
        <w:rPr>
          <w:b w:val="0"/>
        </w:rPr>
        <w:t>[1] Ferreira, Luís e Ribeiro, Óscar. Integração de Sistemas de Informação — Trabalho Prático I, 2026/27. Enunciado disponibilizado na unidade curricular. Ficheiro ESI-ISI 2026-27 - TP1 - enunciado.pdf.</w:t>
      </w:r>
    </w:p>
    <w:p w14:paraId="03E951D7">
      <w:r>
        <w:rPr>
          <w:b w:val="0"/>
        </w:rPr>
        <w:t>[2] Pentaho. Memory Group By e referência de operadores de transformação. Documentação oficial. https://docs.pentaho.com/pdia-data-integration/pdi-transformation-steps-reference-overview/memory-group-by</w:t>
      </w:r>
    </w:p>
    <w:p w14:paraId="787CB389">
      <w:r>
        <w:rPr>
          <w:b w:val="0"/>
        </w:rPr>
        <w:t>[3] PostgreSQL Global Development Group. PostgreSQL 17 Documentation — Constraints. https://www.postgresql.org/docs/17/ddl-constraints.html</w:t>
      </w:r>
    </w:p>
    <w:p w14:paraId="5E8C0D74">
      <w:r>
        <w:rPr>
          <w:b w:val="0"/>
        </w:rPr>
        <w:t>[4] Microsoft. Data types in Power Query. Microsoft Learn. https://learn.microsoft.com/en-us/power-query/data-types</w:t>
      </w:r>
    </w:p>
    <w:p w14:paraId="11A258A5">
      <w:r>
        <w:rPr>
          <w:b w:val="0"/>
        </w:rPr>
        <w:t>[5] Pentaho. Insert — Update. Pentaho Community Wiki. https://pentaho-public.atlassian.net/wiki/spaces/EAI/pages/371558126/Insert%2B-%2BUpdate</w:t>
      </w:r>
    </w:p>
    <w:p w14:paraId="7BC1FB5D">
      <w:r>
        <w:t>[6] Universidade Politécnica do Cávado e do Ave. Logótipos UPCA. Identidade institucional disponível em https://ipca.pt/apresentacao/normas-graficas/. Logótipo reproduzido em https://commons.wikimedia.org/wiki/File:UPCA_horizontal_2026.svg.</w:t>
      </w:r>
    </w:p>
    <w:p w14:paraId="61FF947F">
      <w:r>
        <w:rPr>
          <w:b w:val="0"/>
        </w:rPr>
        <w:t>Consulta das referências web em 20 de outubro de 2026. Os esquemas foram elaborados a partir dos ficheiros KTR e KJB do projeto. Os excertos de dados e logs provêm dos ficheiros do trabalho. As capturas do Power BI foram fornecidas pelo autor durante a construção do relatório visual.</w:t>
      </w:r>
    </w:p>
    <w:p w14:paraId="405A6451">
      <w:pPr>
        <w:pStyle w:val="4"/>
      </w:pPr>
      <w:r>
        <w:t>Materiais que acompanham o relatório</w:t>
      </w:r>
    </w:p>
    <w:p w14:paraId="443D2C6C">
      <w:r>
        <w:t>Quatro transformações KTR; job principal e job de teste de falha KJB; dados de entrada e exemplos de saída, incluindo as 140 intervenções detalhadas; script de preparação PostgreSQL; ficheiro PBIX; README com instruções e identificação. O vídeo está identificado no README e na secção Vídeo de demonstração deste relatório, com link e QR Code.</w:t>
      </w:r>
    </w:p>
    <w:p w14:paraId="188A9926">
      <w:pPr>
        <w:pStyle w:val="2"/>
        <w:pageBreakBefore/>
      </w:pPr>
      <w:bookmarkStart w:id="36" w:name="_Toc26606"/>
      <w:r>
        <w:t>9 Conclusão</w:t>
      </w:r>
      <w:bookmarkEnd w:id="36"/>
    </w:p>
    <w:p w14:paraId="3B43A8C8">
      <w:r>
        <w:t>O trabalho permitiu reunir e validar dados de clientes, veículos, intervenções e serviços que se encontravam em formatos diferentes. A solução em Pentaho Data Integration relaciona as fontes, identifica registos inconsistentes e guarda no PostgreSQL as intervenções aceites, mantendo avisos e rejeitados disponíveis para análise.</w:t>
      </w:r>
    </w:p>
    <w:p w14:paraId="5D1CA09C">
      <w:r>
        <w:t>A execução produz 140 intervenções válidas, correspondentes a 222,50 horas de trabalho e a 21 187,15 € de valor total calculado. Os resumos mensal e por serviço apresentam totais coincidentes. O ficheiro detalhado permite também mostrar quem é o proprietário, qual o veículo, que serviço foi realizado e qual o valor associado a cada intervenção.</w:t>
      </w:r>
    </w:p>
    <w:p w14:paraId="6277783C">
      <w:r>
        <w:t>Os testes confirmaram a reexecução sem duplicação de identificadores e o encaminhamento de uma falha técnica para registo e interrupção do job. A componente visual no Power BI torna os resultados mais fáceis de interpretar, permitindo comparar a atividade mensal e os serviços realizados.</w:t>
      </w:r>
    </w:p>
    <w:p w14:paraId="20C1D9D1">
      <w:r>
        <w:t>O projeto demonstrou como um processo ETL organizado transforma fontes dispersas em informação coerente e verificável. A integração, os ficheiros detalhados e os resumos permitem consultar as intervenções e analisar os resultados de forma consistente.</w:t>
      </w:r>
    </w:p>
    <w:sectPr>
      <w:headerReference r:id="rId5" w:type="default"/>
      <w:footerReference r:id="rId6" w:type="default"/>
      <w:pgSz w:w="12240" w:h="15840"/>
      <w:pgMar w:top="1123" w:right="1267" w:bottom="1037" w:left="1267" w:header="432" w:footer="432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3EA31">
    <w:pPr>
      <w:pStyle w:val="28"/>
      <w:jc w:val="right"/>
    </w:pPr>
    <w:r>
      <w:rPr>
        <w:sz w:val="18"/>
      </w:rPr>
      <w:t xml:space="preserve">Hugo Carvalho  ·  31519     |   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DA26A">
    <w:pPr>
      <w:pStyle w:val="18"/>
    </w:pPr>
    <w:r>
      <w:t>ISI  ·  Integração de dados de uma oficina automóvel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1222"/>
    <w:rsid w:val="00AA1D8D"/>
    <w:rsid w:val="00B47730"/>
    <w:rsid w:val="00CB0664"/>
    <w:rsid w:val="00FC693F"/>
    <w:rsid w:val="2E745254"/>
    <w:rsid w:val="32037120"/>
    <w:rsid w:val="381D4CE0"/>
    <w:rsid w:val="65777AAA"/>
    <w:rsid w:val="6F1639D2"/>
    <w:rsid w:val="7652538A"/>
    <w:rsid w:val="7C96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69" w:lineRule="auto"/>
    </w:pPr>
    <w:rPr>
      <w:rFonts w:ascii="Calibri" w:hAnsi="Calibri" w:eastAsiaTheme="minorEastAsia" w:cstheme="minorBidi"/>
      <w:color w:val="000000"/>
      <w:sz w:val="22"/>
      <w:szCs w:val="22"/>
      <w:lang w:val="pt-PT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280" w:after="18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80" w:after="18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80" w:after="18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ody Text 3"/>
    <w:basedOn w:val="1"/>
    <w:link w:val="51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Body Text 2"/>
    <w:basedOn w:val="1"/>
    <w:link w:val="50"/>
    <w:unhideWhenUsed/>
    <w:qFormat/>
    <w:uiPriority w:val="99"/>
    <w:pPr>
      <w:spacing w:after="120" w:line="480" w:lineRule="auto"/>
    </w:pPr>
  </w:style>
  <w:style w:type="paragraph" w:styleId="17">
    <w:name w:val="Body Text"/>
    <w:basedOn w:val="1"/>
    <w:link w:val="49"/>
    <w:unhideWhenUsed/>
    <w:qFormat/>
    <w:uiPriority w:val="99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after="180" w:line="240" w:lineRule="auto"/>
    </w:pPr>
    <w:rPr>
      <w:rFonts w:ascii="Calibri" w:hAnsi="Calibri"/>
      <w:b/>
      <w:bCs/>
      <w:color w:val="414141"/>
      <w:sz w:val="18"/>
      <w:szCs w:val="18"/>
    </w:rPr>
  </w:style>
  <w:style w:type="paragraph" w:styleId="19">
    <w:name w:val="table of figures"/>
    <w:basedOn w:val="1"/>
    <w:next w:val="1"/>
    <w:semiHidden/>
    <w:unhideWhenUsed/>
    <w:qFormat/>
    <w:uiPriority w:val="99"/>
    <w:pPr>
      <w:ind w:leftChars="200" w:hanging="200" w:hangingChars="200"/>
    </w:pPr>
  </w:style>
  <w:style w:type="paragraph" w:styleId="20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1">
    <w:name w:val="toc 1"/>
    <w:basedOn w:val="1"/>
    <w:next w:val="1"/>
    <w:semiHidden/>
    <w:unhideWhenUsed/>
    <w:qFormat/>
    <w:uiPriority w:val="39"/>
  </w:style>
  <w:style w:type="paragraph" w:styleId="2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Number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2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5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6">
    <w:name w:val="macro"/>
    <w:link w:val="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7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8">
    <w:name w:val="Title"/>
    <w:basedOn w:val="1"/>
    <w:next w:val="1"/>
    <w:link w:val="46"/>
    <w:qFormat/>
    <w:uiPriority w:val="1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0" w:after="1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2"/>
      <w:szCs w:val="52"/>
    </w:r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Header Char"/>
    <w:basedOn w:val="11"/>
    <w:link w:val="30"/>
    <w:qFormat/>
    <w:uiPriority w:val="99"/>
  </w:style>
  <w:style w:type="character" w:customStyle="1" w:styleId="41">
    <w:name w:val="Footer Char"/>
    <w:basedOn w:val="11"/>
    <w:link w:val="28"/>
    <w:qFormat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Body Text Char"/>
    <w:basedOn w:val="11"/>
    <w:link w:val="17"/>
    <w:qFormat/>
    <w:uiPriority w:val="99"/>
  </w:style>
  <w:style w:type="character" w:customStyle="1" w:styleId="50">
    <w:name w:val="Body Text 2 Char"/>
    <w:basedOn w:val="11"/>
    <w:link w:val="16"/>
    <w:qFormat/>
    <w:uiPriority w:val="99"/>
  </w:style>
  <w:style w:type="character" w:customStyle="1" w:styleId="51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52">
    <w:name w:val="Macro Text Char"/>
    <w:basedOn w:val="11"/>
    <w:link w:val="36"/>
    <w:qFormat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Quote Char"/>
    <w:basedOn w:val="1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Intense Quote Char"/>
    <w:basedOn w:val="11"/>
    <w:link w:val="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7">
    <w:name w:val="TOC 1"/>
    <w:qFormat/>
    <w:uiPriority w:val="0"/>
    <w:pPr>
      <w:spacing w:before="0" w:after="60" w:line="240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customStyle="1" w:styleId="168">
    <w:name w:val="TOC 2"/>
    <w:qFormat/>
    <w:uiPriority w:val="0"/>
    <w:pPr>
      <w:spacing w:before="0" w:after="60" w:line="240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4626</Words>
  <Characters>25487</Characters>
  <Lines>0</Lines>
  <Paragraphs>0</Paragraphs>
  <TotalTime>0</TotalTime>
  <ScaleCrop>false</ScaleCrop>
  <LinksUpToDate>false</LinksUpToDate>
  <CharactersWithSpaces>29773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Hugo Carvalho</dc:creator>
  <dc:description>generated by python-docx</dc:description>
  <cp:keywords>ISI, TP01, ETL, Pentaho, PostgreSQL, Power BI</cp:keywords>
  <cp:lastModifiedBy>Hugo Carvalho</cp:lastModifiedBy>
  <dcterms:modified xsi:type="dcterms:W3CDTF">2026-10-22T12:30:18Z</dcterms:modified>
  <dc:subject>TP01 — Integração de Sistemas de Informação</dc:subject>
  <dc:title>Integração e validação de dados de uma oficina automóvel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2070-12.1.0.29162</vt:lpwstr>
  </property>
  <property fmtid="{D5CDD505-2E9C-101B-9397-08002B2CF9AE}" pid="3" name="ICV">
    <vt:lpwstr>1854EB449E19463CA80C58C39A550CF1_12</vt:lpwstr>
  </property>
  <property fmtid="{D5CDD505-2E9C-101B-9397-08002B2CF9AE}" pid="4" name="KSOTemplateDocerSaveRecord">
    <vt:lpwstr>eyJoZGlkIjoiNTU0ZmIwYTQ3NzlmZGUxZmU3Zjk0M2IyZTNmM2IxNjAiLCJ1c2VySWQiOiI2NzM0NTEwNjkxMDA4In0=</vt:lpwstr>
  </property>
</Properties>
</file>