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Arquitetura de Integração Vertical em Ambientes IIoT: Otimização da Produção de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Diogo Pereira, ESTG, Portugal, 8200594@estg.ipp.pt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Hugo Guimarães, ESTG, Portugal, </w:t>
      </w:r>
      <w:r w:rsidDel="00000000" w:rsidR="00000000" w:rsidRPr="00000000">
        <w:rPr>
          <w:rtl w:val="0"/>
        </w:rPr>
        <w:t xml:space="preserve">8220337@estg.ipp.pt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Nuno Silva, ESTG, Portugal, 8180393@estg.ipp.pt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67" w:right="567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relatório descreve a arquitetura de integração vertical desenvolvida para a digitalização do processo produtivo de blocos de poliestireno expandido (EPS). O sistema implementado descreve o planeamento industrial, gerido pelo ERP Odoo, com o chão de fábrica através de um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middleware</w:t>
      </w:r>
      <w:r w:rsidDel="00000000" w:rsidR="00000000" w:rsidRPr="00000000">
        <w:rPr>
          <w:sz w:val="20"/>
          <w:szCs w:val="20"/>
          <w:rtl w:val="0"/>
        </w:rPr>
        <w:t xml:space="preserve"> de orquestração baseado em Node-RED. A comunicação entre dispositivos ciber-físicos, controladores Arduino e robots LEGO EV3, foi estabelecida via protocolos MQTT e Sparkplug B, assegurando interoperabilidade e baixa latência. A monitorização de indicadores de eficácia (OEE) e a inspeção de qualidade por visão artificial (Nicla Vision) foram centralizadas no Grafana, permitindo uma análise analítica em tempo real. A adoção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Asset Administration Shell</w:t>
      </w:r>
      <w:r w:rsidDel="00000000" w:rsidR="00000000" w:rsidRPr="00000000">
        <w:rPr>
          <w:sz w:val="20"/>
          <w:szCs w:val="20"/>
          <w:rtl w:val="0"/>
        </w:rPr>
        <w:t xml:space="preserve"> (AAS) e OPC UA conferiu ao sistema uma estrutura de dados interoperável e escalável. Os resultados obtidos validam a eficácia da solução, demonstrando uma rastreabilidade ponta-a-ponta e uma gestão inteligente do ciclo de vida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67" w:right="567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67" w:right="567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Palavras-chave: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Ind</w:t>
      </w:r>
      <w:r w:rsidDel="00000000" w:rsidR="00000000" w:rsidRPr="00000000">
        <w:rPr>
          <w:sz w:val="20"/>
          <w:szCs w:val="20"/>
          <w:rtl w:val="0"/>
        </w:rPr>
        <w:t xml:space="preserve">ústria 4.0; Interoperabilidade; SparkPlugB; OEE; AAS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240" w:before="360" w:line="240" w:lineRule="auto"/>
        <w:ind w:left="360" w:hanging="360"/>
        <w:jc w:val="left"/>
        <w:rPr/>
      </w:pP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A Indústria 4.0, ou a quarta revolução industrial, representa uma mudança de paradigma na organização e gestão das cadeias de valor da produção (Yang Lu, 2017). Este modelo assenta fundamentalmente na criação de Sistemas Ciber-Físicos (CPS), onde a maquinaria física converge com redes de sensores, software e sistemas de gestão, permitindo monitorar processos físicos (Yang Lu, 2017). O principal facilitador desta digitalização é a Internet Industrial das Coisas (IIoT), que atua como base de comunicação responsável por dotar os sistemas físicos de inteligência, permitindo uma comunicação e colaboração em tempo real e de forma descentralizada (Yang Lu, 2017).</w:t>
      </w:r>
    </w:p>
    <w:p w:rsidR="00000000" w:rsidDel="00000000" w:rsidP="00000000" w:rsidRDefault="00000000" w:rsidRPr="00000000" w14:paraId="0000000E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Neste contexto de modernização industrial, este projeto foca-se na gestão inteligente da produção de blocos de Poliestireno Expandido (EPS) para a construção civil. O EPS, composto por cerca de 98% de ar e 2% de plástico, tem-se assumido como uma opção de construção sustentável e eco-eficiente. O seu processo de fabrico é composto por diversas etapas críticas, nomeadamente a pré-expansão térmica da resina, a estabilização das partículas, a modelagem final com recurso a espaçadores (Web) e coloração, e, por fim, o controlo de qualidade.</w:t>
      </w:r>
    </w:p>
    <w:p w:rsidR="00000000" w:rsidDel="00000000" w:rsidP="00000000" w:rsidRDefault="00000000" w:rsidRPr="00000000" w14:paraId="0000000F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O problema central que motiva este trabalho é a necessidade de garantir a convergência IT/OT (Tecnologias de Informação e Tecnologias de Operação) no chão de fábrica. Atualmente, as fábricas necessitam de sistemas capazes de gerir o fluxo de materiais e máquinas de forma autónoma, ao mesmo tempo que mantêm o operador humano no centro da operação como um decisor estratégico (Gorecky et al., 2014). Assim, torna-se imperativo desenvolver uma arquitetura IIoT que não só orquestre as ordens de trabalho de forma automática, como também forneça visibilidade em tempo real sobre a eficiência do equipamento e o estado da produção (Shrouf et al, 2014).</w:t>
      </w:r>
    </w:p>
    <w:p w:rsidR="00000000" w:rsidDel="00000000" w:rsidP="00000000" w:rsidRDefault="00000000" w:rsidRPr="00000000" w14:paraId="00000010">
      <w:pPr>
        <w:keepNext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240" w:before="360" w:line="240" w:lineRule="auto"/>
        <w:ind w:left="792" w:hanging="432"/>
        <w:jc w:val="left"/>
        <w:rPr>
          <w:b w:val="1"/>
          <w:bCs w:val="1"/>
          <w:smallCap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11">
      <w:pPr>
        <w:keepNext w:val="1"/>
        <w:tabs>
          <w:tab w:val="left" w:leader="none" w:pos="360"/>
        </w:tabs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O principal objetivo deste projeto consiste em conceber, desenvolver e implementar uma arquitetura IIoT completa para simular e gerir autonomamente uma fábrica inteligente dedicada à produção de Blocos Retos de EPS (nas variantes azul, amarelo, verde e vermelho).</w:t>
      </w:r>
    </w:p>
    <w:p w:rsidR="00000000" w:rsidDel="00000000" w:rsidP="00000000" w:rsidRDefault="00000000" w:rsidRPr="00000000" w14:paraId="00000012">
      <w:pPr>
        <w:keepNext w:val="1"/>
        <w:tabs>
          <w:tab w:val="left" w:leader="none" w:pos="360"/>
        </w:tabs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Para atingir este propósito global, definiram-se os seguintes objetivos:</w:t>
      </w:r>
    </w:p>
    <w:p w:rsidR="00000000" w:rsidDel="00000000" w:rsidP="00000000" w:rsidRDefault="00000000" w:rsidRPr="00000000" w14:paraId="00000013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Configuração do Sistema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MRP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Parametrizar o sistema Odoo para a criação de materiais (Resina de </w:t>
      </w:r>
      <w:r w:rsidDel="00000000" w:rsidR="00000000" w:rsidRPr="00000000">
        <w:rPr>
          <w:i w:val="1"/>
          <w:iCs w:val="1"/>
          <w:rtl w:val="0"/>
        </w:rPr>
        <w:t xml:space="preserve">EPS</w:t>
      </w:r>
      <w:r w:rsidDel="00000000" w:rsidR="00000000" w:rsidRPr="00000000">
        <w:rPr>
          <w:rtl w:val="0"/>
        </w:rPr>
        <w:t xml:space="preserve">, Espaçadores e Tintas), definição da </w:t>
      </w:r>
      <w:r w:rsidDel="00000000" w:rsidR="00000000" w:rsidRPr="00000000">
        <w:rPr>
          <w:i w:val="1"/>
          <w:iCs w:val="1"/>
          <w:rtl w:val="0"/>
        </w:rPr>
        <w:t xml:space="preserve">Bill-Of-Materials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), e gestão de Ordens de Trabalho nos quatro </w:t>
      </w:r>
      <w:r w:rsidDel="00000000" w:rsidR="00000000" w:rsidRPr="00000000">
        <w:rPr>
          <w:i w:val="1"/>
          <w:iCs w:val="1"/>
          <w:rtl w:val="0"/>
        </w:rPr>
        <w:t xml:space="preserve">WorkCenters</w:t>
      </w:r>
      <w:r w:rsidDel="00000000" w:rsidR="00000000" w:rsidRPr="00000000">
        <w:rPr>
          <w:rtl w:val="0"/>
        </w:rPr>
        <w:t xml:space="preserve"> da fábrica.</w:t>
      </w:r>
    </w:p>
    <w:p w:rsidR="00000000" w:rsidDel="00000000" w:rsidP="00000000" w:rsidRDefault="00000000" w:rsidRPr="00000000" w14:paraId="00000014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Desenvolvimento da Plataforma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IIoT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Gateway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Implementar um orquestrador central com recurso ao Node-RED, capaz de atuar como </w:t>
      </w:r>
      <w:r w:rsidDel="00000000" w:rsidR="00000000" w:rsidRPr="00000000">
        <w:rPr>
          <w:i w:val="1"/>
          <w:i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de comunicação, obtendo as ordens de trabalho do MRP de forma autónoma e distribuindo as tarefas pelo chão de fábrica.</w:t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Implementação de Comunicação Normalizada:</w:t>
      </w:r>
      <w:r w:rsidDel="00000000" w:rsidR="00000000" w:rsidRPr="00000000">
        <w:rPr>
          <w:rtl w:val="0"/>
        </w:rPr>
        <w:t xml:space="preserve"> Garantir a interoperabilidade de todo o sistema através da implementação de um </w:t>
      </w:r>
      <w:r w:rsidDel="00000000" w:rsidR="00000000" w:rsidRPr="00000000">
        <w:rPr>
          <w:i w:val="1"/>
          <w:iCs w:val="1"/>
          <w:rtl w:val="0"/>
        </w:rPr>
        <w:t xml:space="preserve">Broker MQTT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Mosquitto</w:t>
      </w:r>
      <w:r w:rsidDel="00000000" w:rsidR="00000000" w:rsidRPr="00000000">
        <w:rPr>
          <w:rtl w:val="0"/>
        </w:rPr>
        <w:t xml:space="preserve">), utilizando a norma industrial </w:t>
      </w:r>
      <w:r w:rsidDel="00000000" w:rsidR="00000000" w:rsidRPr="00000000">
        <w:rPr>
          <w:i w:val="1"/>
          <w:iCs w:val="1"/>
          <w:rtl w:val="0"/>
        </w:rPr>
        <w:t xml:space="preserve">Sparkplug-B</w:t>
      </w:r>
      <w:r w:rsidDel="00000000" w:rsidR="00000000" w:rsidRPr="00000000">
        <w:rPr>
          <w:rtl w:val="0"/>
        </w:rPr>
        <w:t xml:space="preserve"> para o intercâmbio de mensagens entre as máquinas e o orquestrador.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Workcenters</w:t>
      </w:r>
      <w:r w:rsidDel="00000000" w:rsidR="00000000" w:rsidRPr="00000000">
        <w:rPr>
          <w:b w:val="1"/>
          <w:bCs w:val="1"/>
          <w:rtl w:val="0"/>
        </w:rPr>
        <w:t xml:space="preserve"> Inteligentes:</w:t>
      </w:r>
      <w:r w:rsidDel="00000000" w:rsidR="00000000" w:rsidRPr="00000000">
        <w:rPr>
          <w:rtl w:val="0"/>
        </w:rPr>
        <w:t xml:space="preserve"> Programar microcontroladores (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Giga</w:t>
      </w:r>
      <w:r w:rsidDel="00000000" w:rsidR="00000000" w:rsidRPr="00000000">
        <w:rPr>
          <w:rtl w:val="0"/>
        </w:rPr>
        <w:t xml:space="preserve">) dotados de interfaces Homem-Máquina (HMI) para auxiliar os operadores no arranque, pausa (com justificação do motivo) e paragem das tarefas de produção.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de Veículo Guiado Automaticamente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Programar um robô móvel (</w:t>
      </w:r>
      <w:r w:rsidDel="00000000" w:rsidR="00000000" w:rsidRPr="00000000">
        <w:rPr>
          <w:i w:val="1"/>
          <w:iCs w:val="1"/>
          <w:rtl w:val="0"/>
        </w:rPr>
        <w:t xml:space="preserve">iBrick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EV3</w:t>
      </w:r>
      <w:r w:rsidDel="00000000" w:rsidR="00000000" w:rsidRPr="00000000">
        <w:rPr>
          <w:rtl w:val="0"/>
        </w:rPr>
        <w:t xml:space="preserve"> com sensor </w:t>
      </w:r>
      <w:r w:rsidDel="00000000" w:rsidR="00000000" w:rsidRPr="00000000">
        <w:rPr>
          <w:i w:val="1"/>
          <w:iCs w:val="1"/>
          <w:rtl w:val="0"/>
        </w:rPr>
        <w:t xml:space="preserve">LiDAR</w:t>
      </w:r>
      <w:r w:rsidDel="00000000" w:rsidR="00000000" w:rsidRPr="00000000">
        <w:rPr>
          <w:rtl w:val="0"/>
        </w:rPr>
        <w:t xml:space="preserve"> e Arduino </w:t>
      </w:r>
      <w:r w:rsidDel="00000000" w:rsidR="00000000" w:rsidRPr="00000000">
        <w:rPr>
          <w:i w:val="1"/>
          <w:iCs w:val="1"/>
          <w:rtl w:val="0"/>
        </w:rPr>
        <w:t xml:space="preserve">MKR</w:t>
      </w:r>
      <w:r w:rsidDel="00000000" w:rsidR="00000000" w:rsidRPr="00000000">
        <w:rPr>
          <w:rtl w:val="0"/>
        </w:rPr>
        <w:t xml:space="preserve">) capaz de mapear o ambiente e navegar de forma autónoma entre a zona de armazenamento intermédio e o armazém, gerindo rotinas de desvio de obstáculos.</w:t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1"/>
        </w:numPr>
        <w:tabs>
          <w:tab w:val="left" w:leader="none" w:pos="360"/>
        </w:tabs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Implementação de Visão Artificial:</w:t>
      </w:r>
      <w:r w:rsidDel="00000000" w:rsidR="00000000" w:rsidRPr="00000000">
        <w:rPr>
          <w:rtl w:val="0"/>
        </w:rPr>
        <w:t xml:space="preserve"> Integrar uma câmara </w:t>
      </w:r>
      <w:r w:rsidDel="00000000" w:rsidR="00000000" w:rsidRPr="00000000">
        <w:rPr>
          <w:i w:val="1"/>
          <w:iCs w:val="1"/>
          <w:rtl w:val="0"/>
        </w:rPr>
        <w:t xml:space="preserve">Nicla Vision</w:t>
      </w:r>
      <w:r w:rsidDel="00000000" w:rsidR="00000000" w:rsidRPr="00000000">
        <w:rPr>
          <w:rtl w:val="0"/>
        </w:rPr>
        <w:t xml:space="preserve"> para automatizar a etapa de controlo de qualidade dos blocos produzidos.</w:t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1"/>
        </w:numPr>
        <w:tabs>
          <w:tab w:val="left" w:leader="none" w:pos="360"/>
        </w:tabs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Monitorização de Dados em Tempo Real:</w:t>
      </w:r>
      <w:r w:rsidDel="00000000" w:rsidR="00000000" w:rsidRPr="00000000">
        <w:rPr>
          <w:rtl w:val="0"/>
        </w:rPr>
        <w:t xml:space="preserve"> Criar um sistema de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utilizando o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e uma base de dados de séries temporais (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) para o registo contínuo de eventos e cálculo da métrica de eficiência </w:t>
      </w:r>
      <w:r w:rsidDel="00000000" w:rsidR="00000000" w:rsidRPr="00000000">
        <w:rPr>
          <w:i w:val="1"/>
          <w:iCs w:val="1"/>
          <w:rtl w:val="0"/>
        </w:rPr>
        <w:t xml:space="preserve">OEE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Overall Equipment Effectiveness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keepNext w:val="1"/>
        <w:tabs>
          <w:tab w:val="left" w:leader="none" w:pos="360"/>
        </w:tabs>
        <w:spacing w:after="24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240" w:before="360" w:line="240" w:lineRule="auto"/>
        <w:ind w:left="792" w:hanging="432"/>
        <w:jc w:val="left"/>
        <w:rPr>
          <w:b w:val="1"/>
          <w:bCs w:val="1"/>
          <w:smallCap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O presente projeto foca-se na implementação de uma arquitetura de integração vertical aplicada a uma linha de produção de blocos EPS. O âmbito funcional da solução desenvolvida abrange quatro pilares fundamentais: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tabs>
          <w:tab w:val="left" w:leader="none" w:pos="36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Orquestração de Processos:</w:t>
      </w:r>
      <w:r w:rsidDel="00000000" w:rsidR="00000000" w:rsidRPr="00000000">
        <w:rPr>
          <w:rtl w:val="0"/>
        </w:rPr>
        <w:t xml:space="preserve"> Integração entre o sistema de gestão (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) e a camada de controlo, permitindo que a emissão de ordens de fabrico no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automatize o agendamento das estações de trabalho.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tabs>
          <w:tab w:val="left" w:leader="none" w:pos="36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Monitorização Industrial:</w:t>
      </w:r>
      <w:r w:rsidDel="00000000" w:rsidR="00000000" w:rsidRPr="00000000">
        <w:rPr>
          <w:rtl w:val="0"/>
        </w:rPr>
        <w:t xml:space="preserve"> Recolha e persistência de dados de telemetria provenientes de dispositivos IIoT (controladores </w:t>
      </w:r>
      <w:r w:rsidDel="00000000" w:rsidR="00000000" w:rsidRPr="00000000">
        <w:rPr>
          <w:i w:val="1"/>
          <w:iCs w:val="1"/>
          <w:rtl w:val="0"/>
        </w:rPr>
        <w:t xml:space="preserve">Arduino GIGA</w:t>
      </w:r>
      <w:r w:rsidDel="00000000" w:rsidR="00000000" w:rsidRPr="00000000">
        <w:rPr>
          <w:rtl w:val="0"/>
        </w:rPr>
        <w:t xml:space="preserve">, sensor </w:t>
      </w:r>
      <w:r w:rsidDel="00000000" w:rsidR="00000000" w:rsidRPr="00000000">
        <w:rPr>
          <w:i w:val="1"/>
          <w:iCs w:val="1"/>
          <w:rtl w:val="0"/>
        </w:rPr>
        <w:t xml:space="preserve">Lidar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Nicla Vision</w:t>
      </w:r>
      <w:r w:rsidDel="00000000" w:rsidR="00000000" w:rsidRPr="00000000">
        <w:rPr>
          <w:rtl w:val="0"/>
        </w:rPr>
        <w:t xml:space="preserve">), utilizando o protocolo </w:t>
      </w:r>
      <w:r w:rsidDel="00000000" w:rsidR="00000000" w:rsidRPr="00000000">
        <w:rPr>
          <w:i w:val="1"/>
          <w:iCs w:val="1"/>
          <w:rtl w:val="0"/>
        </w:rPr>
        <w:t xml:space="preserve">MQTT/Sparkplug B</w:t>
      </w:r>
      <w:r w:rsidDel="00000000" w:rsidR="00000000" w:rsidRPr="00000000">
        <w:rPr>
          <w:rtl w:val="0"/>
        </w:rPr>
        <w:t xml:space="preserve"> para garantir a interoperabilidade.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tabs>
          <w:tab w:val="left" w:leader="none" w:pos="360"/>
        </w:tabs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Controlo de Qualidade Automatizado:</w:t>
      </w:r>
      <w:r w:rsidDel="00000000" w:rsidR="00000000" w:rsidRPr="00000000">
        <w:rPr>
          <w:rtl w:val="0"/>
        </w:rPr>
        <w:t xml:space="preserve"> Implementação de um módulo de visão artificial na estação de controlo de qualidade (WS4) para a deteção e registo automático de inconformidades, assegurando a rastreabilidade da qualidade do produto.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tabs>
          <w:tab w:val="left" w:leader="none" w:pos="360"/>
        </w:tabs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Análise de Desempenho:</w:t>
      </w:r>
      <w:r w:rsidDel="00000000" w:rsidR="00000000" w:rsidRPr="00000000">
        <w:rPr>
          <w:rtl w:val="0"/>
        </w:rPr>
        <w:t xml:space="preserve"> Visualização de indicadores de eficiência global (OEE) e estados operacionais através de dashboards em tempo real, suportados por uma base de dados de séries temporais (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) e modelos de dados normalizados (</w:t>
      </w:r>
      <w:r w:rsidDel="00000000" w:rsidR="00000000" w:rsidRPr="00000000">
        <w:rPr>
          <w:i w:val="1"/>
          <w:iCs w:val="1"/>
          <w:rtl w:val="0"/>
        </w:rPr>
        <w:t xml:space="preserve">AAS/OPC UA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240" w:before="360" w:line="240" w:lineRule="auto"/>
        <w:ind w:left="36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Arquiteturas IIoT  no contexto I4.0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Indústria 4.0 assenta na criação de Sistemas Ciber-Físicos (CPS), onde o mundo físico e o mundo digital se fundem para criar processos descentralizados, modulares e capazes de operar em tempo real (Lasi Heiner, 2014). O grande objetivo é permitir uma produção flexível e a customização em massa (Lasi Heiner, 2014).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viabilizar este modelo, a Internet Industrial das Coisas (IIoT) atua como o facilitador (enabler) tecnológico principal. Ao contrário do IoT doméstico, a IIoT foca-se na ligação de ativos industriais críticos, como sensores, atuadores e controladores, aos sistemas de informação e processos de negócio (Sisinni et al., 2018). Na prática, a IIoT garante dois eixos de integração (Yang Lu, 2017):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Vertical:</w:t>
      </w:r>
      <w:r w:rsidDel="00000000" w:rsidR="00000000" w:rsidRPr="00000000">
        <w:rPr>
          <w:rtl w:val="0"/>
        </w:rPr>
        <w:t xml:space="preserve"> Liga o chão de fábrica (OT) aos sistemas corporativos de gestão (IT).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Horizontal:</w:t>
      </w:r>
      <w:r w:rsidDel="00000000" w:rsidR="00000000" w:rsidRPr="00000000">
        <w:rPr>
          <w:rtl w:val="0"/>
        </w:rPr>
        <w:t xml:space="preserve"> Conecta toda a cadeia de valor, desde a receção da resina de EPS até à expedição do bloco final.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através do IIoT que as fábricas inteligentes adquirem a capacidade de recolher grandes volumes de dados (Big Data), comunicar de forma autónoma e alimentar análises avançadas para a tomada de decisão (Yang Lu., 2017).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implementação de arquiteturas IIoT no chão de fábrica enfrenta desafios complexos que não existem em redes de consumo. O primeiro é o desempenho em tempo real; a comunicação industrial exige baixíssima latência e alta fiabilidade, sob o risco de paragens críticas (Sisinni et al., 2018). O segundo é a cibersegurança, uma vez que abrir o chão de fábrica à rede expõe a infraestrutura a ataques (Sisinni et al., 2018). Por fim, existe o desafio da interoperabilidade, dada a necessidade de fazer coexistir equipamentos legados e protocolos proprietários no mesmo ecossistema (Sisinni et al., 2018).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Superados estes desafios, surgem oportunidades operacionais de elevado valor, como: a monitorização contínua de variáveis permite implementar estratégias de manutenção preditiva, evitando paragens não planeadas (Shrouf et al, 2014). Adicionalmente, a recolha de dados em tempo real permite calcular indicadores de eficiência como o OEE, otimizar o consumo energético para uma produção mais sustentável (Shrouf et al, 2014) e gerir os automatismos da fábrica com transparência total ponta-a-ponta (Shrouf et al, 2014).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estruturar estes sistemas complexos e garantir que todas as tecnologias comunicam na mesma linguagem, utilizam-se arquiteturas de referência normalizadas que orientam a integração entre as tecnologias de operação (OT) do chão de fábrica e as tecnologias de informação (IT) corporativas (Nakagawa et al., 2021):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Reference Architectural Model Industrie 4.0 (RAMI 4.0): </w:t>
      </w:r>
      <w:r w:rsidDel="00000000" w:rsidR="00000000" w:rsidRPr="00000000">
        <w:rPr>
          <w:rtl w:val="0"/>
        </w:rPr>
        <w:t xml:space="preserve">É um modelo tridimensional que funde o fluxo de valor e o ciclo de vida do produto (baseado na norma internacional </w:t>
      </w:r>
      <w:r w:rsidDel="00000000" w:rsidR="00000000" w:rsidRPr="00000000">
        <w:rPr>
          <w:i w:val="1"/>
          <w:iCs w:val="1"/>
          <w:rtl w:val="0"/>
        </w:rPr>
        <w:t xml:space="preserve">IEC 62890</w:t>
      </w:r>
      <w:r w:rsidDel="00000000" w:rsidR="00000000" w:rsidRPr="00000000">
        <w:rPr>
          <w:rtl w:val="0"/>
        </w:rPr>
        <w:t xml:space="preserve">), os níveis hierárquicos da fábrica (baseado nas normas </w:t>
      </w:r>
      <w:r w:rsidDel="00000000" w:rsidR="00000000" w:rsidRPr="00000000">
        <w:rPr>
          <w:i w:val="1"/>
          <w:iCs w:val="1"/>
          <w:rtl w:val="0"/>
        </w:rPr>
        <w:t xml:space="preserve">IEC 62264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IEC 61512</w:t>
      </w:r>
      <w:r w:rsidDel="00000000" w:rsidR="00000000" w:rsidRPr="00000000">
        <w:rPr>
          <w:rtl w:val="0"/>
        </w:rPr>
        <w:t xml:space="preserve">) e as seis camadas arquiteturais (desde o ativo físico, passando pela integração e comunicação, até ao negócio). Serve para garantir uma compreensão comum e padronizada de todos os componentes da fábrica inteligente</w:t>
      </w:r>
      <w:r w:rsidDel="00000000" w:rsidR="00000000" w:rsidRPr="00000000">
        <w:rPr>
          <w:rtl w:val="0"/>
        </w:rPr>
        <w:t xml:space="preserve"> (Nakagawa et al., 2021);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Industrial Internet Reference Architecture (IIRA):</w:t>
      </w:r>
      <w:r w:rsidDel="00000000" w:rsidR="00000000" w:rsidRPr="00000000">
        <w:rPr>
          <w:rtl w:val="0"/>
        </w:rPr>
        <w:t xml:space="preserve"> Desenvolvida pelo consórcio norte-americano IIC, é uma arquitetura independente do domínio (aplica-se à indústria, saúde, transportes) focada primordialmente no IIoT. É descrita através de quatro pontos de vista estruturais: negócios, uso, funcionalidade e implementação (Nakagawa et al., 2021);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Industrial Value Chain Reference Architecture (IVRA):</w:t>
      </w:r>
      <w:r w:rsidDel="00000000" w:rsidR="00000000" w:rsidRPr="00000000">
        <w:rPr>
          <w:rtl w:val="0"/>
        </w:rPr>
        <w:t xml:space="preserve"> Tem origem no Japão</w:t>
      </w:r>
      <w:r w:rsidDel="00000000" w:rsidR="00000000" w:rsidRPr="00000000">
        <w:rPr>
          <w:rtl w:val="0"/>
        </w:rPr>
        <w:t xml:space="preserve">, é uma arquitetura conceptual focada em agregar as atividades de manufatura dividindo-as em três camadas principais (Negócios, Atividade e Especificação). Baseia-se no ciclo contínuo de Planeamento, Execução, Verificação e Ação (PDCA) e foca-se amplamente no conhecimento humano integrado aos sistemas (Nakagawa et al., 2021).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Alternativas Académicas e Comerciais: </w:t>
      </w:r>
      <w:r w:rsidDel="00000000" w:rsidR="00000000" w:rsidRPr="00000000">
        <w:rPr>
          <w:rtl w:val="0"/>
        </w:rPr>
        <w:t xml:space="preserve">Para além dos grandes consórcios globais, existem arquiteturas que detalham a implementação prática e a integração de middlewares e Gêmeos Digitais (</w:t>
      </w:r>
      <w:r w:rsidDel="00000000" w:rsidR="00000000" w:rsidRPr="00000000">
        <w:rPr>
          <w:i w:val="1"/>
          <w:iCs w:val="1"/>
          <w:rtl w:val="0"/>
        </w:rPr>
        <w:t xml:space="preserve">Digital Twins</w:t>
      </w:r>
      <w:r w:rsidDel="00000000" w:rsidR="00000000" w:rsidRPr="00000000">
        <w:rPr>
          <w:rtl w:val="0"/>
        </w:rPr>
        <w:t xml:space="preserve">) (Nakagawa et al., 2021). Destacam-se as seguintes: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Stuttgart IT-Architecture for Manufacturing (SITAM):</w:t>
      </w:r>
      <w:r w:rsidDel="00000000" w:rsidR="00000000" w:rsidRPr="00000000">
        <w:rPr>
          <w:rtl w:val="0"/>
        </w:rPr>
        <w:t xml:space="preserve"> Uma arquitetura multicamadas focada na interoperabilidade através de três middlewares principais (Integração, Móvel e Analytics). O middleware de integração utiliza barramentos de dados para conectar sistemas de engenharia, sistemas de TI e dispositivos físicos ao longo de todo o ciclo de vida (Nakagawa et al., 2021).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LAsim Smart FActory (LASFA):</w:t>
      </w:r>
      <w:r w:rsidDel="00000000" w:rsidR="00000000" w:rsidRPr="00000000">
        <w:rPr>
          <w:rtl w:val="0"/>
        </w:rPr>
        <w:t xml:space="preserve"> Uma arquitetura baseada no RAMI 4.0 que se destaca por atribuir um espaço explícito para os Gêmeos Digitais. Divide a fábrica em quatro blocos de construção que vão desde a comunicação física com sensores até à gestão de processos de negócio, onde residem Gêmeos Digitais específicos para processos, logística e produtos (Nakagawa et al., 2021).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BaSys 4 (Eclipse BaSyx):</w:t>
      </w:r>
      <w:r w:rsidDel="00000000" w:rsidR="00000000" w:rsidRPr="00000000">
        <w:rPr>
          <w:rtl w:val="0"/>
        </w:rPr>
        <w:t xml:space="preserve"> Uma arquitetura implementada como um projeto de código aberto, também construída sobre os princípios do RAMI 4.0. Introduz o uso de </w:t>
      </w:r>
      <w:r w:rsidDel="00000000" w:rsidR="00000000" w:rsidRPr="00000000">
        <w:rPr>
          <w:i w:val="1"/>
          <w:iCs w:val="1"/>
          <w:rtl w:val="0"/>
        </w:rPr>
        <w:t xml:space="preserve">Asset Administration Shells</w:t>
      </w:r>
      <w:r w:rsidDel="00000000" w:rsidR="00000000" w:rsidRPr="00000000">
        <w:rPr>
          <w:rtl w:val="0"/>
        </w:rPr>
        <w:t xml:space="preserve"> (AAS) para a modelação de Gêmeos Digitais e um </w:t>
      </w:r>
      <w:r w:rsidDel="00000000" w:rsidR="00000000" w:rsidRPr="00000000">
        <w:rPr>
          <w:i w:val="1"/>
          <w:iCs w:val="1"/>
          <w:rtl w:val="0"/>
        </w:rPr>
        <w:t xml:space="preserve">"Virtual Automation Bus"</w:t>
      </w:r>
      <w:r w:rsidDel="00000000" w:rsidR="00000000" w:rsidRPr="00000000">
        <w:rPr>
          <w:rtl w:val="0"/>
        </w:rPr>
        <w:t xml:space="preserve"> que atua como um </w:t>
      </w:r>
      <w:r w:rsidDel="00000000" w:rsidR="00000000" w:rsidRPr="00000000">
        <w:rPr>
          <w:i w:val="1"/>
          <w:iCs w:val="1"/>
          <w:rtl w:val="0"/>
        </w:rPr>
        <w:t xml:space="preserve">gateway IIoT</w:t>
      </w:r>
      <w:r w:rsidDel="00000000" w:rsidR="00000000" w:rsidRPr="00000000">
        <w:rPr>
          <w:rtl w:val="0"/>
        </w:rPr>
        <w:t xml:space="preserve"> para traduzir e integrar tecnologias de comunicação legadas com as redes modernas (como OPC UA e MQTT) (Nakagawa et al., 2021).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IBM Industry 4.0:</w:t>
      </w:r>
      <w:r w:rsidDel="00000000" w:rsidR="00000000" w:rsidRPr="00000000">
        <w:rPr>
          <w:rtl w:val="0"/>
        </w:rPr>
        <w:t xml:space="preserve"> Representa as arquiteturas comerciais, desenhadas para equilibrar a carga de processamento e a gestão de fluxos de trabalho distribuindo-as por três camadas fundamentais: a Borda (Edge e dispositivos no chão de fábrica), a Plataforma (fábrica) e a Empresa (TI Corporativa) (Nakagawa et al., 2021).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Frameworks de Interoperabilidade:</w:t>
      </w:r>
      <w:r w:rsidDel="00000000" w:rsidR="00000000" w:rsidRPr="00000000">
        <w:rPr>
          <w:rtl w:val="0"/>
        </w:rPr>
        <w:t xml:space="preserve"> Adicionalmente à estruturação física e de rede, a digitalização suportada pela IIoT requer frameworks de interoperabilidade (como o ATHENA, IDABC e C4ISR) que atuam em quatro níveis: operacional, sistemático, técnico e semântico (Yang Lu, 2017). Estes garantem que os dados recolhidos (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) e as informações trocadas entre sistemas heterogéneos sejam interpretados de forma partilhada e sem ambiguidades (Yang Lu, 2017).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Solução desenvolvida</w:t>
      </w:r>
    </w:p>
    <w:p w:rsidR="00000000" w:rsidDel="00000000" w:rsidP="00000000" w:rsidRDefault="00000000" w:rsidRPr="00000000" w14:paraId="00000039">
      <w:pPr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  <w:t xml:space="preserve">Este capítulo detalha a implementação da solução proposta, descrevendo a arquitetura de sistemas desde a camada de gestão (ERP) até ao chão de fábrica (dispositivos </w:t>
      </w:r>
      <w:r w:rsidDel="00000000" w:rsidR="00000000" w:rsidRPr="00000000">
        <w:rPr>
          <w:i w:val="1"/>
          <w:iCs w:val="1"/>
          <w:rtl w:val="0"/>
        </w:rPr>
        <w:t xml:space="preserve">IIoT</w:t>
      </w:r>
      <w:r w:rsidDel="00000000" w:rsidR="00000000" w:rsidRPr="00000000">
        <w:rPr>
          <w:rtl w:val="0"/>
        </w:rPr>
        <w:t xml:space="preserve">). A solução foi desenhada com foco na interoperabilidade e na escalabilidade, utilizando </w:t>
      </w:r>
      <w:r w:rsidDel="00000000" w:rsidR="00000000" w:rsidRPr="00000000">
        <w:rPr>
          <w:i w:val="1"/>
          <w:iCs w:val="1"/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industriais para garantir a consistência de dados ao longo de todo o ciclo de vida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Arquitetura Global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Figura 1 apresenta a arquitetura global da solução, desenhada segundo um paradigma de integração vertical, onde a camada de gestão (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) é conectada ao chão de fábrica (dispositivos </w:t>
      </w:r>
      <w:r w:rsidDel="00000000" w:rsidR="00000000" w:rsidRPr="00000000">
        <w:rPr>
          <w:i w:val="1"/>
          <w:iCs w:val="1"/>
          <w:rtl w:val="0"/>
        </w:rPr>
        <w:t xml:space="preserve">IIoT</w:t>
      </w:r>
      <w:r w:rsidDel="00000000" w:rsidR="00000000" w:rsidRPr="00000000">
        <w:rPr>
          <w:rtl w:val="0"/>
        </w:rPr>
        <w:t xml:space="preserve">) através de um middleware de orquestração (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). O sistema foi estruturado para garantir a rastreabilidade ponta-a-ponta, desde a emissão da Ordem de Fabrico até à visualização de indicadores </w:t>
      </w:r>
      <w:r w:rsidDel="00000000" w:rsidR="00000000" w:rsidRPr="00000000">
        <w:rPr>
          <w:i w:val="1"/>
          <w:iCs w:val="1"/>
          <w:rtl w:val="0"/>
        </w:rPr>
        <w:t xml:space="preserve">OEE</w:t>
      </w:r>
      <w:r w:rsidDel="00000000" w:rsidR="00000000" w:rsidRPr="00000000">
        <w:rPr>
          <w:rtl w:val="0"/>
        </w:rPr>
        <w:t xml:space="preserve"> em tempo real.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ilustra o fluxo de dados em três principais domínios: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de Gestão e Planeamento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MRP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Odoo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Representa a camada de negócio e decisão. É aqui que reside a fonte de verdade sobre o planeamento, a definição de </w:t>
      </w:r>
      <w:r w:rsidDel="00000000" w:rsidR="00000000" w:rsidRPr="00000000">
        <w:rPr>
          <w:i w:val="1"/>
          <w:iCs w:val="1"/>
          <w:rtl w:val="0"/>
        </w:rPr>
        <w:t xml:space="preserve">BoMs</w:t>
      </w:r>
      <w:r w:rsidDel="00000000" w:rsidR="00000000" w:rsidRPr="00000000">
        <w:rPr>
          <w:rtl w:val="0"/>
        </w:rPr>
        <w:t xml:space="preserve"> e a estruturação das </w:t>
      </w:r>
      <w:r w:rsidDel="00000000" w:rsidR="00000000" w:rsidRPr="00000000">
        <w:rPr>
          <w:i w:val="1"/>
          <w:iCs w:val="1"/>
          <w:rtl w:val="0"/>
        </w:rPr>
        <w:t xml:space="preserve">Workstations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atua como o sistema transacional que regista a intenção produtiva.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de Orquestração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Middleware - Node-RED):</w:t>
      </w:r>
      <w:r w:rsidDel="00000000" w:rsidR="00000000" w:rsidRPr="00000000">
        <w:rPr>
          <w:rtl w:val="0"/>
        </w:rPr>
        <w:t xml:space="preserve"> Funciona como orquestrador central e </w:t>
      </w:r>
      <w:r w:rsidDel="00000000" w:rsidR="00000000" w:rsidRPr="00000000">
        <w:rPr>
          <w:i w:val="1"/>
          <w:i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industrial. É a ponte que traduz as decisões do domínio transacional para protocolos de chão de fábrica, assegurando a persistência de eventos no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 e a normalização de dados.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de Execução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Edge</w:t>
      </w:r>
      <w:r w:rsidDel="00000000" w:rsidR="00000000" w:rsidRPr="00000000">
        <w:rPr>
          <w:b w:val="1"/>
          <w:bCs w:val="1"/>
          <w:rtl w:val="0"/>
        </w:rPr>
        <w:t xml:space="preserve">/Chão de Fábrica):</w:t>
      </w:r>
      <w:r w:rsidDel="00000000" w:rsidR="00000000" w:rsidRPr="00000000">
        <w:rPr>
          <w:rtl w:val="0"/>
        </w:rPr>
        <w:t xml:space="preserve"> Composto pelos controladores </w:t>
      </w:r>
      <w:r w:rsidDel="00000000" w:rsidR="00000000" w:rsidRPr="00000000">
        <w:rPr>
          <w:i w:val="1"/>
          <w:iCs w:val="1"/>
          <w:rtl w:val="0"/>
        </w:rPr>
        <w:t xml:space="preserve">Arduino GIGA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robots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LEGO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EV3</w:t>
      </w:r>
      <w:r w:rsidDel="00000000" w:rsidR="00000000" w:rsidRPr="00000000">
        <w:rPr>
          <w:rtl w:val="0"/>
        </w:rPr>
        <w:t xml:space="preserve">) e sensores (</w:t>
      </w:r>
      <w:r w:rsidDel="00000000" w:rsidR="00000000" w:rsidRPr="00000000">
        <w:rPr>
          <w:i w:val="1"/>
          <w:iCs w:val="1"/>
          <w:rtl w:val="0"/>
        </w:rPr>
        <w:t xml:space="preserve">Lidar</w:t>
      </w:r>
      <w:r w:rsidDel="00000000" w:rsidR="00000000" w:rsidRPr="00000000">
        <w:rPr>
          <w:rtl w:val="0"/>
        </w:rPr>
        <w:t xml:space="preserve">). É nesta camada que a execução física ocorre e onde a telemetria é recolhida e normalizada via </w:t>
      </w:r>
      <w:r w:rsidDel="00000000" w:rsidR="00000000" w:rsidRPr="00000000">
        <w:rPr>
          <w:i w:val="1"/>
          <w:iCs w:val="1"/>
          <w:rtl w:val="0"/>
        </w:rPr>
        <w:t xml:space="preserve">Sparkplug B.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Domínio de Análise e Interoperabilidade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(IT/Analytics - Grafana/AAS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Este domínio é distinto da gestão operacional. Enquanto 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gere o "processo", este domínio consome os dados históricos e em tempo real para fornecer visibilidade analítica (</w:t>
      </w:r>
      <w:r w:rsidDel="00000000" w:rsidR="00000000" w:rsidRPr="00000000">
        <w:rPr>
          <w:i w:val="1"/>
          <w:iCs w:val="1"/>
          <w:rtl w:val="0"/>
        </w:rPr>
        <w:t xml:space="preserve">Dashboards de OEE</w:t>
      </w:r>
      <w:r w:rsidDel="00000000" w:rsidR="00000000" w:rsidRPr="00000000">
        <w:rPr>
          <w:rtl w:val="0"/>
        </w:rPr>
        <w:t xml:space="preserve">) e serviços de interoperabilidade semântica (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OPC-UA</w:t>
      </w:r>
      <w:r w:rsidDel="00000000" w:rsidR="00000000" w:rsidRPr="00000000">
        <w:rPr>
          <w:rtl w:val="0"/>
        </w:rPr>
        <w:t xml:space="preserve">), permitindo que os ativos sejam consultados por sistemas externos como gémeos digitais.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assegurar a interoperabilidade, a arquitetura baseia-se em normas e protocolos industriais reconhecidos, garantindo que o sistema não é isolado, mas sim parte de um ecossistema Indústria 4.0: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IIoT:</w:t>
      </w:r>
      <w:r w:rsidDel="00000000" w:rsidR="00000000" w:rsidRPr="00000000">
        <w:rPr>
          <w:rtl w:val="0"/>
        </w:rPr>
        <w:t xml:space="preserve"> O protocolo </w:t>
      </w:r>
      <w:r w:rsidDel="00000000" w:rsidR="00000000" w:rsidRPr="00000000">
        <w:rPr>
          <w:i w:val="1"/>
          <w:i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ISO/IEC 20922</w:t>
      </w:r>
      <w:r w:rsidDel="00000000" w:rsidR="00000000" w:rsidRPr="00000000">
        <w:rPr>
          <w:rtl w:val="0"/>
        </w:rPr>
        <w:t xml:space="preserve">), complementado pela especificação </w:t>
      </w:r>
      <w:r w:rsidDel="00000000" w:rsidR="00000000" w:rsidRPr="00000000">
        <w:rPr>
          <w:i w:val="1"/>
          <w:iCs w:val="1"/>
          <w:rtl w:val="0"/>
        </w:rPr>
        <w:t xml:space="preserve">Sparkplug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foi adotado para a comunicação entre dispositivos e gestor, conferindo leveza e entrega garantida de mensagens.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Industrial: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OPC-UA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IEC 62541</w:t>
      </w:r>
      <w:r w:rsidDel="00000000" w:rsidR="00000000" w:rsidRPr="00000000">
        <w:rPr>
          <w:rtl w:val="0"/>
        </w:rPr>
        <w:t xml:space="preserve">) foi integrado como servidor industrial para assegurar a compatibilidade com sistemas de automação </w:t>
      </w:r>
      <w:r w:rsidDel="00000000" w:rsidR="00000000" w:rsidRPr="00000000">
        <w:rPr>
          <w:i w:val="1"/>
          <w:i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, permitindo a troca de dados semânticos entre máquinas.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e Persistência:</w:t>
      </w:r>
      <w:r w:rsidDel="00000000" w:rsidR="00000000" w:rsidRPr="00000000">
        <w:rPr>
          <w:rtl w:val="0"/>
        </w:rPr>
        <w:t xml:space="preserve"> A integração com 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 é efetuada via </w:t>
      </w:r>
      <w:r w:rsidDel="00000000" w:rsidR="00000000" w:rsidRPr="00000000">
        <w:rPr>
          <w:i w:val="1"/>
          <w:i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 de saída no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 que realizam a persistência direta dos eventos de produção. A visualização dos dados é assegurada por uma ligação nativa entre o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, permitindo consultas SQL eficientes para a análise de OEE em tempo real.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de Sensores e Navegação: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ROS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Robot Operating System</w:t>
      </w:r>
      <w:r w:rsidDel="00000000" w:rsidR="00000000" w:rsidRPr="00000000">
        <w:rPr>
          <w:rtl w:val="0"/>
        </w:rPr>
        <w:t xml:space="preserve">) serviu de framework para o processamento de dados do sensor Lidar, permitindo a navegação autónoma e a recolha de dados robóticos.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Gémeo Digital:</w:t>
      </w:r>
      <w:r w:rsidDel="00000000" w:rsidR="00000000" w:rsidRPr="00000000">
        <w:rPr>
          <w:rtl w:val="0"/>
        </w:rPr>
        <w:t xml:space="preserve"> A adoção do Asset Administration Shell (AAS) permite a representação digital dos ativos, dotando o sistema de uma estrutura de dados interoperável, essencial para a escalabilidade da solução. Os KPIs estão a ser representados no AAS segundo a norma </w:t>
      </w:r>
      <w:r w:rsidDel="00000000" w:rsidR="00000000" w:rsidRPr="00000000">
        <w:rPr>
          <w:i w:val="1"/>
          <w:iCs w:val="1"/>
          <w:rtl w:val="0"/>
        </w:rPr>
        <w:t xml:space="preserve">ISO 22400-2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7948.0" w:type="dxa"/>
        <w:jc w:val="left"/>
        <w:tblInd w:w="792.0" w:type="dxa"/>
        <w:tblLayout w:type="fixed"/>
        <w:tblLook w:val="0600"/>
      </w:tblPr>
      <w:tblGrid>
        <w:gridCol w:w="7948"/>
        <w:tblGridChange w:id="0">
          <w:tblGrid>
            <w:gridCol w:w="7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910254" cy="3814890"/>
                  <wp:effectExtent b="0" l="0" r="0" t="0"/>
                  <wp:docPr id="3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254" cy="38148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1 - Arquitetura de Alto Nível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Configuração do Sistema de Gestão (</w:t>
      </w:r>
      <w:r w:rsidDel="00000000" w:rsidR="00000000" w:rsidRPr="00000000">
        <w:rPr>
          <w:b w:val="1"/>
          <w:bCs w:val="1"/>
          <w:i w:val="1"/>
          <w:iCs w:val="1"/>
          <w:smallCaps w:val="1"/>
          <w:sz w:val="24"/>
          <w:szCs w:val="24"/>
          <w:rtl w:val="0"/>
        </w:rPr>
        <w:t xml:space="preserve">Odoo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foi selecionado como central para a gestão do sistema, operando como uma plataforma unificada que integra as funções de </w:t>
      </w:r>
      <w:r w:rsidDel="00000000" w:rsidR="00000000" w:rsidRPr="00000000">
        <w:rPr>
          <w:i w:val="1"/>
          <w:iCs w:val="1"/>
          <w:rtl w:val="0"/>
        </w:rPr>
        <w:t xml:space="preserve">ERP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MRP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. O Odoo atua como a "fonte da verdade" para todo o processo produtivo, desde a gestão de inventário de componentes até à orquestração das ordens de trabalho nas estações físicas.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sistema implementado, o foco está sobre o produto "Bloco Reto”, tendo sidas definidas variantes baseadas no atributo "Cor" (Vermelho, Azul, Amarelo e Verde). O Odoo processa estas variantes de forma automática: cada combinação de atributo gera um identificador único, garantindo que o sistema de gestão mantém o controlo individualizado de stock para cada variante.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  <w:t xml:space="preserve">Quanto aos insumos, como a tinta acrílica, estes foram parametrizados como produtos de stock (</w:t>
      </w:r>
      <w:r w:rsidDel="00000000" w:rsidR="00000000" w:rsidRPr="00000000">
        <w:rPr>
          <w:i w:val="1"/>
          <w:iCs w:val="1"/>
          <w:rtl w:val="0"/>
        </w:rPr>
        <w:t xml:space="preserve">Stockable Products</w:t>
      </w:r>
      <w:r w:rsidDel="00000000" w:rsidR="00000000" w:rsidRPr="00000000">
        <w:rPr>
          <w:rtl w:val="0"/>
        </w:rPr>
        <w:t xml:space="preserve">) com a opção "Pode ser vendido" desativada, isolando assim os componentes de consumo direto do inventário de produtos comercializáveis, garantindo que o planeamento de materiais (</w:t>
      </w:r>
      <w:r w:rsidDel="00000000" w:rsidR="00000000" w:rsidRPr="00000000">
        <w:rPr>
          <w:i w:val="1"/>
          <w:iCs w:val="1"/>
          <w:rtl w:val="0"/>
        </w:rPr>
        <w:t xml:space="preserve">MRP</w:t>
      </w:r>
      <w:r w:rsidDel="00000000" w:rsidR="00000000" w:rsidRPr="00000000">
        <w:rPr>
          <w:rtl w:val="0"/>
        </w:rPr>
        <w:t xml:space="preserve">) reflita apenas o consumo real no chão de fábrica e não potenciais vendas indevidas de matéria-prima. Os diferentes insumos e variantes do Bloco Reto podem ser visualizados na Figura 2.</w:t>
      </w:r>
      <w:r w:rsidDel="00000000" w:rsidR="00000000" w:rsidRPr="00000000">
        <w:rPr>
          <w:rtl w:val="0"/>
        </w:rPr>
      </w:r>
    </w:p>
    <w:tbl>
      <w:tblPr>
        <w:tblStyle w:val="Table2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jc w:val="left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5343047" cy="896938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047" cy="896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2 - Configuração das variantes do produto no Odoo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planeamento é sustentado por um sistema </w:t>
      </w:r>
      <w:r w:rsidDel="00000000" w:rsidR="00000000" w:rsidRPr="00000000">
        <w:rPr>
          <w:i w:val="1"/>
          <w:iCs w:val="1"/>
          <w:rtl w:val="0"/>
        </w:rPr>
        <w:t xml:space="preserve">Material Requirements Planning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MRP</w:t>
      </w:r>
      <w:r w:rsidDel="00000000" w:rsidR="00000000" w:rsidRPr="00000000">
        <w:rPr>
          <w:rtl w:val="0"/>
        </w:rPr>
        <w:t xml:space="preserve">), que coordena a disponibilidade de materiais com a cadência de produção. A estrutura do produto foi modelada através de um </w:t>
      </w:r>
      <w:r w:rsidDel="00000000" w:rsidR="00000000" w:rsidRPr="00000000">
        <w:rPr>
          <w:i w:val="1"/>
          <w:iCs w:val="1"/>
          <w:rtl w:val="0"/>
        </w:rPr>
        <w:t xml:space="preserve">Bill of Materials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), funcionando como a "receita" do Bloco Reto.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 é composto por dois pilares: os componentes, que são uma lista detalhada de insumos (tinta acrílica, espaçadores e resina EPS), ilustrado na Figura 3; e as operações, que são a sequência de trabalho necessária para a transformação da matéria-prima. Conforme ilustrado na Figura 4, cada operação está associada a um tempo estimado, que serve de referência para o cálculo de eficiência das estações.</w:t>
      </w:r>
      <w:r w:rsidDel="00000000" w:rsidR="00000000" w:rsidRPr="00000000">
        <w:rPr>
          <w:rtl w:val="0"/>
        </w:rPr>
      </w:r>
    </w:p>
    <w:tbl>
      <w:tblPr>
        <w:tblStyle w:val="Table3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351338" cy="2425084"/>
                  <wp:effectExtent b="0" l="0" r="0" t="0"/>
                  <wp:docPr id="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38" cy="2425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3 - Cabeçalho do BoM do Bloco 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384698" cy="2041730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698" cy="2041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4 - Operações associadas à BoM do Bloco 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vertente </w:t>
      </w:r>
      <w:r w:rsidDel="00000000" w:rsidR="00000000" w:rsidRPr="00000000">
        <w:rPr>
          <w:i w:val="1"/>
          <w:iCs w:val="1"/>
          <w:rtl w:val="0"/>
        </w:rPr>
        <w:t xml:space="preserve">MES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é materializada através da configuração de </w:t>
      </w:r>
      <w:r w:rsidDel="00000000" w:rsidR="00000000" w:rsidRPr="00000000">
        <w:rPr>
          <w:i w:val="1"/>
          <w:iCs w:val="1"/>
          <w:rtl w:val="0"/>
        </w:rPr>
        <w:t xml:space="preserve">Work Centers</w:t>
      </w:r>
      <w:r w:rsidDel="00000000" w:rsidR="00000000" w:rsidRPr="00000000">
        <w:rPr>
          <w:rtl w:val="0"/>
        </w:rPr>
        <w:t xml:space="preserve"> (Centros de Trabalho) e </w:t>
      </w:r>
      <w:r w:rsidDel="00000000" w:rsidR="00000000" w:rsidRPr="00000000">
        <w:rPr>
          <w:i w:val="1"/>
          <w:iCs w:val="1"/>
          <w:rtl w:val="0"/>
        </w:rPr>
        <w:t xml:space="preserve">Work Orders</w:t>
      </w:r>
      <w:r w:rsidDel="00000000" w:rsidR="00000000" w:rsidRPr="00000000">
        <w:rPr>
          <w:rtl w:val="0"/>
        </w:rPr>
        <w:t xml:space="preserve"> (Ordens de Trabalho).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 Center:</w:t>
      </w:r>
      <w:r w:rsidDel="00000000" w:rsidR="00000000" w:rsidRPr="00000000">
        <w:rPr>
          <w:rtl w:val="0"/>
        </w:rPr>
        <w:t xml:space="preserve"> Foram criadas quatro instâncias no Odoo “WS1”, “WS2”, “WS3” e “W4” (Figura 5), representando cada uma um processo produtivo diferente para a confecção do Bloco Reto.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 Orders:</w:t>
      </w:r>
      <w:r w:rsidDel="00000000" w:rsidR="00000000" w:rsidRPr="00000000">
        <w:rPr>
          <w:rtl w:val="0"/>
        </w:rPr>
        <w:t xml:space="preserve"> Sempre que uma </w:t>
      </w:r>
      <w:r w:rsidDel="00000000" w:rsidR="00000000" w:rsidRPr="00000000">
        <w:rPr>
          <w:rtl w:val="0"/>
        </w:rPr>
        <w:t xml:space="preserve">Manufacturing Order</w:t>
      </w:r>
      <w:r w:rsidDel="00000000" w:rsidR="00000000" w:rsidRPr="00000000">
        <w:rPr>
          <w:rtl w:val="0"/>
        </w:rPr>
        <w:t xml:space="preserve"> é validada, o Odoo gera </w:t>
      </w:r>
      <w:r w:rsidDel="00000000" w:rsidR="00000000" w:rsidRPr="00000000">
        <w:rPr>
          <w:rtl w:val="0"/>
        </w:rPr>
        <w:t xml:space="preserve">Work Orders</w:t>
      </w:r>
      <w:r w:rsidDel="00000000" w:rsidR="00000000" w:rsidRPr="00000000">
        <w:rPr>
          <w:rtl w:val="0"/>
        </w:rPr>
        <w:t xml:space="preserve"> distintas para cada centro de trabalho. Este é o momento em que a produção começa a executar, onde 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 via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, sinaliza o início da tarefa na interface física da estação (Figura 6).</w:t>
      </w:r>
    </w:p>
    <w:tbl>
      <w:tblPr>
        <w:tblStyle w:val="Table5"/>
        <w:tblW w:w="8020.0" w:type="dxa"/>
        <w:jc w:val="left"/>
        <w:tblInd w:w="720.0" w:type="dxa"/>
        <w:tblLayout w:type="fixed"/>
        <w:tblLook w:val="0600"/>
      </w:tblPr>
      <w:tblGrid>
        <w:gridCol w:w="8020"/>
        <w:tblGridChange w:id="0">
          <w:tblGrid>
            <w:gridCol w:w="802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65141" cy="1449387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141" cy="1449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5 - Configuração dos Work Centers no Odoo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5008563" cy="989346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563" cy="989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6 -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Manufacturing Order</w:t>
            </w:r>
            <w:r w:rsidDel="00000000" w:rsidR="00000000" w:rsidRPr="00000000">
              <w:rPr>
                <w:rtl w:val="0"/>
              </w:rPr>
              <w:t xml:space="preserve"> com as respetivas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Work Orders</w:t>
            </w:r>
            <w:r w:rsidDel="00000000" w:rsidR="00000000" w:rsidRPr="00000000">
              <w:rPr>
                <w:rtl w:val="0"/>
              </w:rPr>
              <w:t xml:space="preserve"> geradas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both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Implementação das Worksations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 estações de trabalho desenvolvidas pelo grupo foram: </w:t>
      </w:r>
      <w:r w:rsidDel="00000000" w:rsidR="00000000" w:rsidRPr="00000000">
        <w:rPr>
          <w:i w:val="1"/>
          <w:iCs w:val="1"/>
          <w:rtl w:val="0"/>
        </w:rPr>
        <w:t xml:space="preserve">Workstation</w:t>
      </w:r>
      <w:r w:rsidDel="00000000" w:rsidR="00000000" w:rsidRPr="00000000">
        <w:rPr>
          <w:rtl w:val="0"/>
        </w:rPr>
        <w:t xml:space="preserve"> 1 (Pré-Expansão) e a </w:t>
      </w:r>
      <w:r w:rsidDel="00000000" w:rsidR="00000000" w:rsidRPr="00000000">
        <w:rPr>
          <w:i w:val="1"/>
          <w:iCs w:val="1"/>
          <w:rtl w:val="0"/>
        </w:rPr>
        <w:t xml:space="preserve">Workstation</w:t>
      </w:r>
      <w:r w:rsidDel="00000000" w:rsidR="00000000" w:rsidRPr="00000000">
        <w:rPr>
          <w:rtl w:val="0"/>
        </w:rPr>
        <w:t xml:space="preserve"> 3 (Modelagem). Ambas as estações funcionam como pontos de controlo no chão de fábrica, sendo constituídas por um controlador </w:t>
      </w:r>
      <w:r w:rsidDel="00000000" w:rsidR="00000000" w:rsidRPr="00000000">
        <w:rPr>
          <w:i w:val="1"/>
          <w:iCs w:val="1"/>
          <w:rtl w:val="0"/>
        </w:rPr>
        <w:t xml:space="preserve">Arduino GIGA R1</w:t>
      </w:r>
      <w:r w:rsidDel="00000000" w:rsidR="00000000" w:rsidRPr="00000000">
        <w:rPr>
          <w:rtl w:val="0"/>
        </w:rPr>
        <w:t xml:space="preserve"> equipado com um interface </w:t>
      </w:r>
      <w:r w:rsidDel="00000000" w:rsidR="00000000" w:rsidRPr="00000000">
        <w:rPr>
          <w:i w:val="1"/>
          <w:i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Human-Machine Interface</w:t>
      </w:r>
      <w:r w:rsidDel="00000000" w:rsidR="00000000" w:rsidRPr="00000000">
        <w:rPr>
          <w:rtl w:val="0"/>
        </w:rPr>
        <w:t xml:space="preserve">), permitindo ao operador a interação direta com o ciclo produtivo através de três comandos operacionais: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comunicação entre estas estações e o sistema central é realizada através do protocolo </w:t>
      </w:r>
      <w:r w:rsidDel="00000000" w:rsidR="00000000" w:rsidRPr="00000000">
        <w:rPr>
          <w:i w:val="1"/>
          <w:i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com a especificação </w:t>
      </w:r>
      <w:r w:rsidDel="00000000" w:rsidR="00000000" w:rsidRPr="00000000">
        <w:rPr>
          <w:i w:val="1"/>
          <w:iCs w:val="1"/>
          <w:rtl w:val="0"/>
        </w:rPr>
        <w:t xml:space="preserve">Sparkplug B</w:t>
      </w:r>
      <w:r w:rsidDel="00000000" w:rsidR="00000000" w:rsidRPr="00000000">
        <w:rPr>
          <w:rtl w:val="0"/>
        </w:rPr>
        <w:t xml:space="preserve">, garantindo a robustez, a entrega garantida de mensagens e a estrutura necessária para a Indústria 4.0.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 Figuras 7 e 8 ilustram os fluxos de comunicação para as respectivas estações. O modelo operacional baseia-se num paradigma de eventos síncronos e assíncronos: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Atribuição de Ordens de Trabalho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DCMD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Node-Red está constantemente a fazer pedidos ao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através dos nós disponíveis da biblioteca </w:t>
      </w:r>
      <w:r w:rsidDel="00000000" w:rsidR="00000000" w:rsidRPr="00000000">
        <w:rPr>
          <w:i w:val="1"/>
          <w:iCs w:val="1"/>
          <w:rtl w:val="0"/>
        </w:rPr>
        <w:t xml:space="preserve">node-red-odoo</w:t>
      </w:r>
      <w:r w:rsidDel="00000000" w:rsidR="00000000" w:rsidRPr="00000000">
        <w:rPr>
          <w:rtl w:val="0"/>
        </w:rPr>
        <w:t xml:space="preserve">. Assim, quando existe uma nova ordem de trabalho para cada workstation, o Node-RED pública de forma assíncrona as ordens de trabalho (</w:t>
      </w:r>
      <w:r w:rsidDel="00000000" w:rsidR="00000000" w:rsidRPr="00000000">
        <w:rPr>
          <w:i w:val="1"/>
          <w:iCs w:val="1"/>
          <w:rtl w:val="0"/>
        </w:rPr>
        <w:t xml:space="preserve">ASSIGN_WORKORDER</w:t>
      </w:r>
      <w:r w:rsidDel="00000000" w:rsidR="00000000" w:rsidRPr="00000000">
        <w:rPr>
          <w:rtl w:val="0"/>
        </w:rPr>
        <w:t xml:space="preserve">) para o controlador de cada estação, que as armazena localmente.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Reporte de Eventos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DDATA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Sempre que o operador interage com a </w:t>
      </w:r>
      <w:r w:rsidDel="00000000" w:rsidR="00000000" w:rsidRPr="00000000">
        <w:rPr>
          <w:i w:val="1"/>
          <w:i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, o Arduino envia um evento (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 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) para 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. Este evento é enviado e validado no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e persistido cronologicamente no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 para fins de auditoria e análise de indicadores </w:t>
      </w:r>
      <w:r w:rsidDel="00000000" w:rsidR="00000000" w:rsidRPr="00000000">
        <w:rPr>
          <w:i w:val="1"/>
          <w:iCs w:val="1"/>
          <w:rtl w:val="0"/>
        </w:rPr>
        <w:t xml:space="preserve">Overall Equipment Effectiveness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OEE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Confirmação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ciclo de comunicação apenas é considerado concluído após o envio de uma mensagem de confirmação (</w:t>
      </w:r>
      <w:r w:rsidDel="00000000" w:rsidR="00000000" w:rsidRPr="00000000">
        <w:rPr>
          <w:i w:val="1"/>
          <w:iCs w:val="1"/>
          <w:rtl w:val="0"/>
        </w:rPr>
        <w:t xml:space="preserve">Machine/Ack</w:t>
      </w:r>
      <w:r w:rsidDel="00000000" w:rsidR="00000000" w:rsidRPr="00000000">
        <w:rPr>
          <w:rtl w:val="0"/>
        </w:rPr>
        <w:t xml:space="preserve">) pelo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 que garante que a alteração de estado foi aceite pelos sistemas superiores, mantendo a consistência entre o chão de fábrica e os sistemas de gestão.</w:t>
      </w:r>
      <w:r w:rsidDel="00000000" w:rsidR="00000000" w:rsidRPr="00000000">
        <w:rPr>
          <w:rtl w:val="0"/>
        </w:rPr>
      </w:r>
    </w:p>
    <w:tbl>
      <w:tblPr>
        <w:tblStyle w:val="Table7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818063" cy="403999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063" cy="4039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Figura 7 - Comunicação entre a Estação de Pré-Expansão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NodeRed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40.0" w:type="dxa"/>
        <w:jc w:val="center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622800" cy="3904791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39047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8 - Comunicação entre a Estação de Modelagem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NodeRed</w:t>
            </w: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comportamento operacional de cada estação é ditado por uma máquina de estados, representada na Figura 9, permitindo com que exista integridade no processo produtivo ao introduzir estados intermédios de verificação (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). Sempre que um operador aciona um comando, a interface </w:t>
      </w:r>
      <w:r w:rsidDel="00000000" w:rsidR="00000000" w:rsidRPr="00000000">
        <w:rPr>
          <w:i w:val="1"/>
          <w:iCs w:val="1"/>
          <w:rtl w:val="0"/>
        </w:rPr>
        <w:t xml:space="preserve">HMI</w:t>
      </w:r>
      <w:r w:rsidDel="00000000" w:rsidR="00000000" w:rsidRPr="00000000">
        <w:rPr>
          <w:rtl w:val="0"/>
        </w:rPr>
        <w:t xml:space="preserve"> entra num estado de bloqueio, aguardando que 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confirme a validação da transição no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Algo importante a destacar é que o comando de “</w:t>
      </w:r>
      <w:r w:rsidDel="00000000" w:rsidR="00000000" w:rsidRPr="00000000">
        <w:rPr>
          <w:i w:val="1"/>
          <w:iCs w:val="1"/>
          <w:rtl w:val="0"/>
        </w:rPr>
        <w:t xml:space="preserve">Pause”</w:t>
      </w:r>
      <w:r w:rsidDel="00000000" w:rsidR="00000000" w:rsidRPr="00000000">
        <w:rPr>
          <w:rtl w:val="0"/>
        </w:rPr>
        <w:t xml:space="preserve"> não é apenas uma interrupção, mas um evento contextual que obriga o operador a especificar o motivo da paragem. As paragens são categorizadas em diversas tipologias: Pausa do Operador, </w:t>
      </w:r>
      <w:r w:rsidDel="00000000" w:rsidR="00000000" w:rsidRPr="00000000">
        <w:rPr>
          <w:i w:val="1"/>
          <w:i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/Preparação, Controlo de Qualidade, Falha da Máquina ou Falta de Material, sendo necessário especificar se a mesma é planeada ou não planeada. Esta distinção é fundamental para que, na camada de análise de dados, o cálculo do OEE possa distinguir as ineficiências técnicas das paragens inerentes ao ciclo produtivo.</w:t>
      </w:r>
    </w:p>
    <w:tbl>
      <w:tblPr>
        <w:tblStyle w:val="Table9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2241550" cy="4269619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4269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9 - Máquina de Estados Implementada em cada Estação de Trabalho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estrutura de dados que suporta este intercâmbio é definida pelo protocolo </w:t>
      </w:r>
      <w:r w:rsidDel="00000000" w:rsidR="00000000" w:rsidRPr="00000000">
        <w:rPr>
          <w:i w:val="1"/>
          <w:iCs w:val="1"/>
          <w:rtl w:val="0"/>
        </w:rPr>
        <w:t xml:space="preserve">Sparkplug B</w:t>
      </w:r>
      <w:r w:rsidDel="00000000" w:rsidR="00000000" w:rsidRPr="00000000">
        <w:rPr>
          <w:rtl w:val="0"/>
        </w:rPr>
        <w:t xml:space="preserve">, conforme detalhado na Tabela 1, garantindo que a informação flui do chão de fábrica para o sistema de gestão com uma estrutura semântica normalizada.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0"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Tabela 1 - Estrutura de métricas </w:t>
      </w:r>
      <w:r w:rsidDel="00000000" w:rsidR="00000000" w:rsidRPr="00000000">
        <w:rPr>
          <w:i w:val="1"/>
          <w:iCs w:val="1"/>
          <w:rtl w:val="0"/>
        </w:rPr>
        <w:t xml:space="preserve">SparkplugB</w:t>
      </w:r>
    </w:p>
    <w:tbl>
      <w:tblPr>
        <w:tblStyle w:val="Table10"/>
        <w:tblW w:w="88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065"/>
        <w:gridCol w:w="2475"/>
        <w:gridCol w:w="3300"/>
        <w:tblGridChange w:id="0">
          <w:tblGrid>
            <w:gridCol w:w="1995"/>
            <w:gridCol w:w="1065"/>
            <w:gridCol w:w="2475"/>
            <w:gridCol w:w="3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Direção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Event/Type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DDATA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(device → Node-Red)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evento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Pause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WorkOrder/Id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DDATA / DCMD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da ordem de produção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ManufacturingOrder/Id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DDATA / DCMD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da Ordem de Fabrico associada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WorkOrder/PauseReason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DDATA</w:t>
            </w:r>
          </w:p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(device → Node-Red)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 específico da paragem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WorkOrder/PauseReasonType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DDATA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(device → Node-Red)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Classificação da paragem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PLANNED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UNPLANNED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Command/Type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DCMD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(Node-Red → device)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Comando enviado ao device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ASSIGN_WORKORDER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Machine/Ack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DCMD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(Node-Red → device)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de reconhecimento/ack da máquina para confirmar/rejeitar um comando (“200” para sucesso ou “400” para erro)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Integração de Dados e OPC UA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 projeto realizado foi adotado como norma de comunicação o protocolo Open Platform Communications Unified Architecture (OPC UA) de modo a servir de ponte entre os eventos do chão de fábrica e os modelos de informação baseados em AAS. A integração deste protocolo responde diretamente ao requisito de interoperabilidade da Indústria 4.0, garantindo a exposição de dados estruturados e semanticamente tipificados para toda a infraestrutura digital da empresa.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Num cenário de implementação industrial ideal, o controlador Arduino de cada posto de trabalho exporia nativamente um servidor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UA,</w:t>
      </w:r>
      <w:r w:rsidDel="00000000" w:rsidR="00000000" w:rsidRPr="00000000">
        <w:rPr>
          <w:rtl w:val="0"/>
        </w:rPr>
        <w:t xml:space="preserve"> dado que este protocolo foi concebido para correr diretamente em dispositivos de campo e Controladores Lógicos Programáveis (PLCs). Isto permitiria que qualquer cliente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, como o módulo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, se ligasse diretamente ao dispositivo físico para ler o seu estado em tempo real, sem necessidade de intermediários. Contudo, a implementação de uma stack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completa no microcontrolador </w:t>
      </w:r>
      <w:r w:rsidDel="00000000" w:rsidR="00000000" w:rsidRPr="00000000">
        <w:rPr>
          <w:i w:val="1"/>
          <w:iCs w:val="1"/>
          <w:rtl w:val="0"/>
        </w:rPr>
        <w:t xml:space="preserve">Arduino Giga R1</w:t>
      </w:r>
      <w:r w:rsidDel="00000000" w:rsidR="00000000" w:rsidRPr="00000000">
        <w:rPr>
          <w:rtl w:val="0"/>
        </w:rPr>
        <w:t xml:space="preserve"> não se revelou viável no escopo deste projeto, devido, essencialmente, aos recursos limitados de processamento e memória da plataforma e à complexidade associada à adaptação para este ambiente. Consequentemente, a arquitetura adotada utiliza 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como um servidor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baseado em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a correr no servidor central, atuando como um intermediário entre o 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e o restante ecossistema.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fluxo de dados inicia-se com o 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a publicar eventos via </w:t>
      </w:r>
      <w:r w:rsidDel="00000000" w:rsidR="00000000" w:rsidRPr="00000000">
        <w:rPr>
          <w:i w:val="1"/>
          <w:i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através do protocolo </w:t>
      </w:r>
      <w:r w:rsidDel="00000000" w:rsidR="00000000" w:rsidRPr="00000000">
        <w:rPr>
          <w:i w:val="1"/>
          <w:iCs w:val="1"/>
          <w:rtl w:val="0"/>
        </w:rPr>
        <w:t xml:space="preserve">Sparkplug-B</w:t>
      </w:r>
      <w:r w:rsidDel="00000000" w:rsidR="00000000" w:rsidRPr="00000000">
        <w:rPr>
          <w:rtl w:val="0"/>
        </w:rPr>
        <w:t xml:space="preserve">, sempre que uma ordem de trabalho é iniciada, pausada ou concluída no posto de trabalho. 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subscreve estes tópicos </w:t>
      </w:r>
      <w:r w:rsidDel="00000000" w:rsidR="00000000" w:rsidRPr="00000000">
        <w:rPr>
          <w:i w:val="1"/>
          <w:i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e processa os respetivos payloads </w:t>
      </w:r>
      <w:r w:rsidDel="00000000" w:rsidR="00000000" w:rsidRPr="00000000">
        <w:rPr>
          <w:i w:val="1"/>
          <w:iCs w:val="1"/>
          <w:rtl w:val="0"/>
        </w:rPr>
        <w:t xml:space="preserve">Sparkplug-B</w:t>
      </w:r>
      <w:r w:rsidDel="00000000" w:rsidR="00000000" w:rsidRPr="00000000">
        <w:rPr>
          <w:rtl w:val="0"/>
        </w:rPr>
        <w:t xml:space="preserve">, extraindo valores estruturados como o estado atual, o identificador da ordem de trabalho ativa, o identificador da ordem de produção e o motivo de eventual paragem. Estes valores são subsequentemente registados num espaço de endereçamento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que o próprio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aloja e expõe na porta 4840, recorrendo ao pacote </w:t>
      </w:r>
      <w:r w:rsidDel="00000000" w:rsidR="00000000" w:rsidRPr="00000000">
        <w:rPr>
          <w:i w:val="1"/>
          <w:iCs w:val="1"/>
          <w:rtl w:val="0"/>
        </w:rPr>
        <w:t xml:space="preserve">node-red-contrib-opcua</w:t>
      </w:r>
      <w:r w:rsidDel="00000000" w:rsidR="00000000" w:rsidRPr="00000000">
        <w:rPr>
          <w:rtl w:val="0"/>
        </w:rPr>
        <w:t xml:space="preserve">. Cada propriedade de cada posto de trabalho é representada como um nó (</w:t>
      </w:r>
      <w:r w:rsidDel="00000000" w:rsidR="00000000" w:rsidRPr="00000000">
        <w:rPr>
          <w:i w:val="1"/>
          <w:i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independente, organizado sob um espaço de nomes (</w:t>
      </w:r>
      <w:r w:rsidDel="00000000" w:rsidR="00000000" w:rsidRPr="00000000">
        <w:rPr>
          <w:i w:val="1"/>
          <w:i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) que espelha a estrutura do gémeo digital. Do ponto de vista funcional, esta abordagem alcança o mesmo resultado que uma implementação direta no hardware: os dados são disponibilizados através do protocolo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, salvaguardando o endereçamento e a tipificação normalizados do padrão, ainda que a tradução física de </w:t>
      </w:r>
      <w:r w:rsidDel="00000000" w:rsidR="00000000" w:rsidRPr="00000000">
        <w:rPr>
          <w:i w:val="1"/>
          <w:i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ocorra uma camada acima, no nível de orquestração de edge, e não no dispositivo em si.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Para isso foi necessário a introdução de um componente adicional, o </w:t>
      </w:r>
      <w:r w:rsidDel="00000000" w:rsidR="00000000" w:rsidRPr="00000000">
        <w:rPr>
          <w:i w:val="1"/>
          <w:iCs w:val="1"/>
          <w:rtl w:val="0"/>
        </w:rPr>
        <w:t xml:space="preserve">Eclipse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BaSyx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, entre o servidor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e o ambiente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, justifica-se pela discrepância fundamental entre os protocolos e as representações de dados de ambos os sistemas. 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é um protocolo binário, baseado em sessões e otimizado para a automação industrial, ao passo que o ambiente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disponibiliza os seus submodelos através de uma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baseada na norma </w:t>
      </w:r>
      <w:r w:rsidDel="00000000" w:rsidR="00000000" w:rsidRPr="00000000">
        <w:rPr>
          <w:i w:val="1"/>
          <w:iCs w:val="1"/>
          <w:rtl w:val="0"/>
        </w:rPr>
        <w:t xml:space="preserve">IEC 63278</w:t>
      </w:r>
      <w:r w:rsidDel="00000000" w:rsidR="00000000" w:rsidRPr="00000000">
        <w:rPr>
          <w:rtl w:val="0"/>
        </w:rPr>
        <w:t xml:space="preserve">, utilizando formatação </w:t>
      </w:r>
      <w:r w:rsidDel="00000000" w:rsidR="00000000" w:rsidRPr="00000000">
        <w:rPr>
          <w:i w:val="1"/>
          <w:i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i w:val="1"/>
          <w:i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. Não existindo uma via nativa para que um servidor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subscreva nós</w:t>
      </w:r>
      <w:r w:rsidDel="00000000" w:rsidR="00000000" w:rsidRPr="00000000">
        <w:rPr>
          <w:i w:val="1"/>
          <w:iCs w:val="1"/>
          <w:rtl w:val="0"/>
        </w:rPr>
        <w:t xml:space="preserve"> 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de forma direta, o DataBridge atua especificamente na resolução desta incompatibilidade de protocolos. Este componente opera como um cliente </w:t>
      </w:r>
      <w:r w:rsidDel="00000000" w:rsidR="00000000" w:rsidRPr="00000000">
        <w:rPr>
          <w:i w:val="1"/>
          <w:i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que subscreve as alterações nos nós relevantes e, perante qualquer modificação de valor, converte a informação para o formato </w:t>
      </w:r>
      <w:r w:rsidDel="00000000" w:rsidR="00000000" w:rsidRPr="00000000">
        <w:rPr>
          <w:i w:val="1"/>
          <w:i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exigido pela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, executando a respetiva atualização por intermédio de um pedido </w:t>
      </w:r>
      <w:r w:rsidDel="00000000" w:rsidR="00000000" w:rsidRPr="00000000">
        <w:rPr>
          <w:i w:val="1"/>
          <w:i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. A utilização de uma ferramenta oficial do projeto </w:t>
      </w:r>
      <w:r w:rsidDel="00000000" w:rsidR="00000000" w:rsidRPr="00000000">
        <w:rPr>
          <w:i w:val="1"/>
          <w:iCs w:val="1"/>
          <w:rtl w:val="0"/>
        </w:rPr>
        <w:t xml:space="preserve">Eclipse BaSyx</w:t>
      </w:r>
      <w:r w:rsidDel="00000000" w:rsidR="00000000" w:rsidRPr="00000000">
        <w:rPr>
          <w:rtl w:val="0"/>
        </w:rPr>
        <w:t xml:space="preserve"> assegura que a cadeia de ligação entre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respeita as especificações dos organismos de normalização aberta e as implementações de referência da Indústria 4.0.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dados que transita do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exige duas etapas consecutivas de transformação. A primeira etapa converte o valor bruto do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, que chega como um objeto estruturado contendo o dado em si, metadados de qualidade e a respetiva marca temporal (</w:t>
      </w:r>
      <w:r w:rsidDel="00000000" w:rsidR="00000000" w:rsidRPr="00000000">
        <w:rPr>
          <w:i w:val="1"/>
          <w:i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), numa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linear. A segunda etapa aplica uma expressão </w:t>
      </w:r>
      <w:r w:rsidDel="00000000" w:rsidR="00000000" w:rsidRPr="00000000">
        <w:rPr>
          <w:i w:val="1"/>
          <w:iCs w:val="1"/>
          <w:rtl w:val="0"/>
        </w:rPr>
        <w:t xml:space="preserve">JSONata</w:t>
      </w:r>
      <w:r w:rsidDel="00000000" w:rsidR="00000000" w:rsidRPr="00000000">
        <w:rPr>
          <w:rtl w:val="0"/>
        </w:rPr>
        <w:t xml:space="preserve"> para extrair unicamente o valor de interesse dessa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descartando os metadados nativos do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que não integram o modelo de dados da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. Esta transformação em duas fases evidencia que, embora o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sejam padrões consolidados, ambos codificam a informação de maneira distinta, tornando indispensável uma camada de tradução para conciliar as duas extremidades, mesmo quando ambas estão em conformidade com especificações abertas.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Resumidamente, a camada </w:t>
      </w:r>
      <w:r w:rsidDel="00000000" w:rsidR="00000000" w:rsidRPr="00000000">
        <w:rPr>
          <w:i w:val="1"/>
          <w:iCs w:val="1"/>
          <w:rtl w:val="0"/>
        </w:rPr>
        <w:t xml:space="preserve">OPC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UA</w:t>
      </w:r>
      <w:r w:rsidDel="00000000" w:rsidR="00000000" w:rsidRPr="00000000">
        <w:rPr>
          <w:rtl w:val="0"/>
        </w:rPr>
        <w:t xml:space="preserve"> implementada neste projeto fornece dados operacionais, informação de rastreabilidade de ordens de trabalho, telemetria dos robôs de transporte e métricas calculadas de </w:t>
      </w:r>
      <w:r w:rsidDel="00000000" w:rsidR="00000000" w:rsidRPr="00000000">
        <w:rPr>
          <w:i w:val="1"/>
          <w:iCs w:val="1"/>
          <w:rtl w:val="0"/>
        </w:rPr>
        <w:t xml:space="preserve">OEE</w:t>
      </w:r>
      <w:r w:rsidDel="00000000" w:rsidR="00000000" w:rsidRPr="00000000">
        <w:rPr>
          <w:rtl w:val="0"/>
        </w:rPr>
        <w:t xml:space="preserve"> para os quatro postos de trabalho. Todas estas variáveis são continuamente sincronizadas nos respetivos </w:t>
      </w:r>
      <w:r w:rsidDel="00000000" w:rsidR="00000000" w:rsidRPr="00000000">
        <w:rPr>
          <w:i w:val="1"/>
          <w:iCs w:val="1"/>
          <w:rtl w:val="0"/>
        </w:rPr>
        <w:t xml:space="preserve">AAS</w:t>
      </w:r>
      <w:r w:rsidDel="00000000" w:rsidR="00000000" w:rsidRPr="00000000">
        <w:rPr>
          <w:rtl w:val="0"/>
        </w:rPr>
        <w:t xml:space="preserve"> através desta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composto por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 e plataforma </w:t>
      </w:r>
      <w:r w:rsidDel="00000000" w:rsidR="00000000" w:rsidRPr="00000000">
        <w:rPr>
          <w:i w:val="1"/>
          <w:iCs w:val="1"/>
          <w:rtl w:val="0"/>
        </w:rPr>
        <w:t xml:space="preserve">BaSyx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Persistência e Estrutura de Dados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Para garantir a persistência de dados de telemetria e eventos de produção, foi implementado 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. A escolha deste motor de bases de dados deveu-se à sua capacidade de processar grandes volumes de dados temporais de forma eficiente e à sua compatibilidade nativa com a linguagem SQL. A Figura 10 apresenta o modelo relacional das tabelas configuradas no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. A organização dos dados em tabelas funcionais permite uma separação clara entre eventos de processo (</w:t>
      </w:r>
      <w:r w:rsidDel="00000000" w:rsidR="00000000" w:rsidRPr="00000000">
        <w:rPr>
          <w:i w:val="1"/>
          <w:iCs w:val="1"/>
          <w:rtl w:val="0"/>
        </w:rPr>
        <w:t xml:space="preserve">factory_events</w:t>
      </w:r>
      <w:r w:rsidDel="00000000" w:rsidR="00000000" w:rsidRPr="00000000">
        <w:rPr>
          <w:rtl w:val="0"/>
        </w:rPr>
        <w:t xml:space="preserve">), métricas de performance (</w:t>
      </w:r>
      <w:r w:rsidDel="00000000" w:rsidR="00000000" w:rsidRPr="00000000">
        <w:rPr>
          <w:i w:val="1"/>
          <w:iCs w:val="1"/>
          <w:rtl w:val="0"/>
        </w:rPr>
        <w:t xml:space="preserve">oee_metrics</w:t>
      </w:r>
      <w:r w:rsidDel="00000000" w:rsidR="00000000" w:rsidRPr="00000000">
        <w:rPr>
          <w:rtl w:val="0"/>
        </w:rPr>
        <w:t xml:space="preserve">) e registos de qualidade (</w:t>
      </w:r>
      <w:r w:rsidDel="00000000" w:rsidR="00000000" w:rsidRPr="00000000">
        <w:rPr>
          <w:i w:val="1"/>
          <w:iCs w:val="1"/>
          <w:rtl w:val="0"/>
        </w:rPr>
        <w:t xml:space="preserve">defects</w:t>
      </w:r>
      <w:r w:rsidDel="00000000" w:rsidR="00000000" w:rsidRPr="00000000">
        <w:rPr>
          <w:rtl w:val="0"/>
        </w:rPr>
        <w:t xml:space="preserve">), facilitando a extração de métricas de OEE através de consultas SQL otimizadas no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1"/>
        <w:tblW w:w="8740.0" w:type="dxa"/>
        <w:jc w:val="center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70250" cy="3571193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3571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10 - Modelo Relacional das tabelas configuradas no CrateDB</w:t>
            </w:r>
          </w:p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 forma a detalhar a estrutura lógica da base de dados, a Tabela 1 apresenta a descrição técnica dos atributos essenciais de cada entidade.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0" w:line="240" w:lineRule="auto"/>
        <w:jc w:val="center"/>
        <w:rPr/>
      </w:pPr>
      <w:r w:rsidDel="00000000" w:rsidR="00000000" w:rsidRPr="00000000">
        <w:rPr>
          <w:rtl w:val="0"/>
        </w:rPr>
        <w:t xml:space="preserve">Tabela 2 - Estrutura técnica das tabelas de dados e respectivos atributos</w:t>
      </w:r>
    </w:p>
    <w:tbl>
      <w:tblPr>
        <w:tblStyle w:val="Table12"/>
        <w:tblW w:w="87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.143505952541"/>
        <w:gridCol w:w="2084.593265432265"/>
        <w:gridCol w:w="2039.9234097444307"/>
        <w:gridCol w:w="2590.8516298943864"/>
        <w:tblGridChange w:id="0">
          <w:tblGrid>
            <w:gridCol w:w="2010.143505952541"/>
            <w:gridCol w:w="2084.593265432265"/>
            <w:gridCol w:w="2039.9234097444307"/>
            <w:gridCol w:w="2590.8516298943864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restart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factory_events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 temporal do evento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workcenter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Identificação da estação de trabalho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da operação (Start, Pause, Stop)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workorder_id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Chave de ligação à Ordem de Trabalho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oee_metrics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Momento do cálculo da métrica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oee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de Eficácia Global (%)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Disponibilidade da estação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 temporal da deteção do defeito</w:t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defect_code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 do defeito detetado (WS4)</w:t>
            </w:r>
          </w:p>
        </w:tc>
      </w:tr>
      <w:tr>
        <w:trPr>
          <w:cantSplit w:val="0"/>
          <w:trHeight w:val="55.95703125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defect_quantity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Quantidade de peças não conformes</w:t>
            </w:r>
          </w:p>
        </w:tc>
      </w:tr>
      <w:tr>
        <w:trPr>
          <w:cantSplit w:val="0"/>
          <w:trHeight w:val="415.95703125" w:hRule="atLeast"/>
          <w:tblHeader w:val="0"/>
        </w:trPr>
        <w:tc>
          <w:tcPr>
            <w:vMerge w:val="restart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robot_events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 temporal da atividade robótica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roda1 / roda2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Velocidade angular das rodas do robot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obstaculo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deteção de obstáculos (Lidar)</w:t>
            </w:r>
          </w:p>
        </w:tc>
      </w:tr>
    </w:tbl>
    <w:p w:rsidR="00000000" w:rsidDel="00000000" w:rsidP="00000000" w:rsidRDefault="00000000" w:rsidRPr="00000000" w14:paraId="000000E4">
      <w:pPr>
        <w:ind w:left="792" w:firstLine="0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ind w:left="792" w:hanging="432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Métricas de Performance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performance da linha de produção foi avaliada através do indicador </w:t>
      </w:r>
      <w:r w:rsidDel="00000000" w:rsidR="00000000" w:rsidRPr="00000000">
        <w:rPr>
          <w:i w:val="1"/>
          <w:iCs w:val="1"/>
          <w:rtl w:val="0"/>
        </w:rPr>
        <w:t xml:space="preserve">Overall Equipment Effectiveness</w:t>
      </w:r>
      <w:r w:rsidDel="00000000" w:rsidR="00000000" w:rsidRPr="00000000">
        <w:rPr>
          <w:rtl w:val="0"/>
        </w:rPr>
        <w:t xml:space="preserve"> (OEE), calculado ao nível da Ordem de Fabrico (MO). A metodologia de cálculo baseou-se na integração de dados transacionais do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com a telemetria de tempo real persistida no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, permitindo uma análise granular de cada </w:t>
      </w:r>
      <w:r w:rsidDel="00000000" w:rsidR="00000000" w:rsidRPr="00000000">
        <w:rPr>
          <w:i w:val="1"/>
          <w:iCs w:val="1"/>
          <w:rtl w:val="0"/>
        </w:rPr>
        <w:t xml:space="preserve">Work Order</w:t>
      </w:r>
      <w:r w:rsidDel="00000000" w:rsidR="00000000" w:rsidRPr="00000000">
        <w:rPr>
          <w:rtl w:val="0"/>
        </w:rPr>
        <w:t xml:space="preserve"> (WO). O cálculo do OEE foi decomposto nos três pilares fundamentais: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Calculada como a razão entre o tempo efetivo de operação e o tempo planeado, recorrendo aos registos de estado </w:t>
      </w:r>
      <w:r w:rsidDel="00000000" w:rsidR="00000000" w:rsidRPr="00000000">
        <w:rPr>
          <w:i w:val="1"/>
          <w:i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para identificar interrupções no ciclo produtivo.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Obtida pela comparação entre o tempo de execução expectável (definido na BoM do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) e o tempo real, descontando o período de pausas.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Determinada pela razão entre o volume de produção conforme e o total planeado, subtraindo as unidades registadas como </w:t>
      </w:r>
      <w:r w:rsidDel="00000000" w:rsidR="00000000" w:rsidRPr="00000000">
        <w:rPr>
          <w:i w:val="1"/>
          <w:iCs w:val="1"/>
          <w:rtl w:val="0"/>
        </w:rPr>
        <w:t xml:space="preserve">scrap</w:t>
      </w:r>
      <w:r w:rsidDel="00000000" w:rsidR="00000000" w:rsidRPr="00000000">
        <w:rPr>
          <w:rtl w:val="0"/>
        </w:rPr>
        <w:t xml:space="preserve"> durante a execução.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valor final do OEE por MO é obtido pela multiplicação dos três fatores normalizados: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</w:rPr>
        <w:drawing>
          <wp:inline distB="114300" distT="114300" distL="114300" distR="114300">
            <wp:extent cx="4333713" cy="58442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713" cy="58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Discussão dos Resultados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Nesta secção, apresenta-se a validação funcional da arquitetura desenvolvida, com foco na eficácia da integração entre as camadas de gestão e de execução. O sistema foi testado através de cenários de operação que simulam o ciclo de vida de uma ordem de produção, desde a sua emissão no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até ao registo final de qualidade no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. Os resultados descritos a seguir evidenciam a capacidade de resposta dos dispositivos </w:t>
      </w:r>
      <w:r w:rsidDel="00000000" w:rsidR="00000000" w:rsidRPr="00000000">
        <w:rPr>
          <w:i w:val="1"/>
          <w:iCs w:val="1"/>
          <w:rtl w:val="0"/>
        </w:rPr>
        <w:t xml:space="preserve">Edge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 e robótica), a fiabilidade da persistência de dados no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 e a precisão da monitorização em tempo real via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 Pretende-se, assim, demonstrar que a solução implementada cumpre os requisitos de interoperabilidade e rastreabilidade definidos inicialmente, validando o modelo de comunicação como uma base robusta para a digitalização de processos produtivos.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92" w:right="0" w:hanging="432"/>
        <w:jc w:val="both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Validação da Integração Vertical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arquitetura de rastreabilidade foi desenhada com base numa estrutura de dados hierárquica. O sistema MRP (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) gere a produção ao nível da </w:t>
      </w:r>
      <w:r w:rsidDel="00000000" w:rsidR="00000000" w:rsidRPr="00000000">
        <w:rPr>
          <w:i w:val="1"/>
          <w:iCs w:val="1"/>
          <w:rtl w:val="0"/>
        </w:rPr>
        <w:t xml:space="preserve">Manufacturing Order</w:t>
      </w:r>
      <w:r w:rsidDel="00000000" w:rsidR="00000000" w:rsidRPr="00000000">
        <w:rPr>
          <w:rtl w:val="0"/>
        </w:rPr>
        <w:t xml:space="preserve"> (MO), enquanto o chão de fábrica opera ao nível da </w:t>
      </w:r>
      <w:r w:rsidDel="00000000" w:rsidR="00000000" w:rsidRPr="00000000">
        <w:rPr>
          <w:i w:val="1"/>
          <w:iCs w:val="1"/>
          <w:rtl w:val="0"/>
        </w:rPr>
        <w:t xml:space="preserve">Work Order</w:t>
      </w:r>
      <w:r w:rsidDel="00000000" w:rsidR="00000000" w:rsidRPr="00000000">
        <w:rPr>
          <w:rtl w:val="0"/>
        </w:rPr>
        <w:t xml:space="preserve"> (WO). Esta distinção é fundamental para a Indústria 4.0, pois permite que uma única MO seja decomposta em múltiplas WO executadas em diferentes estações de trabalho de forma paralela ou sequencial. O </w:t>
      </w:r>
      <w:r w:rsidDel="00000000" w:rsidR="00000000" w:rsidRPr="00000000">
        <w:rPr>
          <w:i w:val="1"/>
          <w:i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) desempenha o papel de tradutor de contexto, realizando a associação entre o ID da MO e o ID da WO. A Figura 11 evidencia esta correspondência: embora o 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 apresente a referência global da MO, o sistema de controlo da estação (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) exibe a WO específica que está a processar naquele instante.</w:t>
      </w:r>
    </w:p>
    <w:tbl>
      <w:tblPr>
        <w:tblStyle w:val="Table13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03713" cy="1881154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13" cy="18811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42700" cy="2106613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18447" l="4468" r="15628" t="5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700" cy="2106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</w:tr>
      <w:tr>
        <w:trPr>
          <w:cantSplit w:val="0"/>
          <w:trHeight w:val="1191.9140625" w:hRule="atLeast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Figura 11 - Validação do fluxo de integração vertical: (a) Ordem de Fabrico (WH/MO/00117) confirmada no Odoo, originando a correspondente (340); (b) Estado de execução refletido na interface da Workstation (WS1), evidenciando a sincronização entre sistemas através do middleware de orquestração.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ind w:left="792" w:hanging="432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Monitorização e Dashboards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monitorização do estado da linha de produção foi centralizada no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configurado como o painel de controlo visual do sistema. Este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consome dados armazenados no </w:t>
      </w:r>
      <w:r w:rsidDel="00000000" w:rsidR="00000000" w:rsidRPr="00000000">
        <w:rPr>
          <w:rtl w:val="0"/>
        </w:rPr>
        <w:t xml:space="preserve">CrateDB</w:t>
      </w:r>
      <w:r w:rsidDel="00000000" w:rsidR="00000000" w:rsidRPr="00000000">
        <w:rPr>
          <w:rtl w:val="0"/>
        </w:rPr>
        <w:t xml:space="preserve">, processando consultas SQL em tempo real que agregam a telemetria gerada pelas estações de trabalho e pelos eventos de fabrico.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visualização está estruturada de forma hierárquica, conforme ilustrado na Figura 12, dividida em três níveis funcionais: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12(a) — Indicadores Globais:</w:t>
      </w:r>
      <w:r w:rsidDel="00000000" w:rsidR="00000000" w:rsidRPr="00000000">
        <w:rPr>
          <w:rtl w:val="0"/>
        </w:rPr>
        <w:t xml:space="preserve"> Apresenta os KPIs críticos, incluindo o valor agregado do OEE e os sub-indicadores (Disponibilidade, Performance e Qualidade). Estes valores são calculados dinamicamente com base nos eventos registados na tabela </w:t>
      </w:r>
      <w:r w:rsidDel="00000000" w:rsidR="00000000" w:rsidRPr="00000000">
        <w:rPr>
          <w:i w:val="1"/>
          <w:iCs w:val="1"/>
          <w:rtl w:val="0"/>
        </w:rPr>
        <w:t xml:space="preserve">oee_metrics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12(b) — Análise por Workstation:</w:t>
      </w:r>
      <w:r w:rsidDel="00000000" w:rsidR="00000000" w:rsidRPr="00000000">
        <w:rPr>
          <w:rtl w:val="0"/>
        </w:rPr>
        <w:t xml:space="preserve"> Fornece uma visão desagregada do desempenho, utilizando indicadores de tipo </w:t>
      </w:r>
      <w:r w:rsidDel="00000000" w:rsidR="00000000" w:rsidRPr="00000000">
        <w:rPr>
          <w:i w:val="1"/>
          <w:iCs w:val="1"/>
          <w:rtl w:val="0"/>
        </w:rPr>
        <w:t xml:space="preserve">gauge</w:t>
      </w:r>
      <w:r w:rsidDel="00000000" w:rsidR="00000000" w:rsidRPr="00000000">
        <w:rPr>
          <w:rtl w:val="0"/>
        </w:rPr>
        <w:t xml:space="preserve"> para cada estação.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Figura 12(c) — Telemetria de Processo e Exceções:</w:t>
      </w:r>
      <w:r w:rsidDel="00000000" w:rsidR="00000000" w:rsidRPr="00000000">
        <w:rPr>
          <w:rtl w:val="0"/>
        </w:rPr>
        <w:t xml:space="preserve"> Detalha a operação ao nível do microprocesso, exibindo o estado de execução por estação, a telemetria robótica (velocidade das rodas e deteção de obstáculos), logs de sistema e análise de defeitos. Esta camada permite a análise de causa-raiz ao juntar o </w:t>
      </w:r>
      <w:r w:rsidDel="00000000" w:rsidR="00000000" w:rsidRPr="00000000">
        <w:rPr>
          <w:i w:val="1"/>
          <w:iCs w:val="1"/>
          <w:rtl w:val="0"/>
        </w:rPr>
        <w:t xml:space="preserve">defect_code</w:t>
      </w:r>
      <w:r w:rsidDel="00000000" w:rsidR="00000000" w:rsidRPr="00000000">
        <w:rPr>
          <w:rtl w:val="0"/>
        </w:rPr>
        <w:t xml:space="preserve"> com a Work Order ativa e os eventos de bloqueio registados em </w:t>
      </w:r>
      <w:r w:rsidDel="00000000" w:rsidR="00000000" w:rsidRPr="00000000">
        <w:rPr>
          <w:i w:val="1"/>
          <w:iCs w:val="1"/>
          <w:rtl w:val="0"/>
        </w:rPr>
        <w:t xml:space="preserve">robot_events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4860925" cy="101344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58097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925" cy="1013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(a)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5013325" cy="1470699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41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325" cy="14706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</w:rPr>
              <w:drawing>
                <wp:inline distB="114300" distT="114300" distL="114300" distR="114300">
                  <wp:extent cx="5086329" cy="2538549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29" cy="25385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(c)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12 - Dashboard de monitorização OEE: (a) KPIs de eficiência global (OEE, Disponibilidade, Performance e Qualidade); (b) Métricas de desempenho desagregadas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Workstation</w:t>
            </w:r>
            <w:r w:rsidDel="00000000" w:rsidR="00000000" w:rsidRPr="00000000">
              <w:rPr>
                <w:rtl w:val="0"/>
              </w:rPr>
              <w:t xml:space="preserve">; (c) Telemetria de execução robótica (EV3), logs de sistema e análise de defeitos.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atualização dos dados é garantida por uma conexão </w:t>
      </w:r>
      <w:r w:rsidDel="00000000" w:rsidR="00000000" w:rsidRPr="00000000">
        <w:rPr>
          <w:i w:val="1"/>
          <w:iCs w:val="1"/>
          <w:rtl w:val="0"/>
        </w:rPr>
        <w:t xml:space="preserve">datasource</w:t>
      </w:r>
      <w:r w:rsidDel="00000000" w:rsidR="00000000" w:rsidRPr="00000000">
        <w:rPr>
          <w:rtl w:val="0"/>
        </w:rPr>
        <w:t xml:space="preserve"> configurada no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que, através de 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i w:val="1"/>
          <w:iCs w:val="1"/>
          <w:rtl w:val="0"/>
        </w:rPr>
        <w:t xml:space="preserve">CrateDB</w:t>
      </w:r>
      <w:r w:rsidDel="00000000" w:rsidR="00000000" w:rsidRPr="00000000">
        <w:rPr>
          <w:rtl w:val="0"/>
        </w:rPr>
        <w:t xml:space="preserve">, assegura que o painel reflita o estado atual da linha de produção com latência mínima, cumprindo o requisito de monitorização em tempo real.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ind w:left="792" w:hanging="432"/>
        <w:rPr>
          <w:b w:val="1"/>
          <w:bCs w:val="1"/>
          <w:smallCap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Demonstração de Interoperabilidade (AAS e OPC  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Para a validação experimental dos resultados, foi analisado o comportamento do sistema após a execução e registo de eventos no chão de fábrica. Sempre que uma nova ação é registada, o servidor </w:t>
      </w:r>
      <w:r w:rsidDel="00000000" w:rsidR="00000000" w:rsidRPr="00000000">
        <w:rPr>
          <w:i w:val="1"/>
          <w:i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integrado no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 publica de forma imediata a informação referente ao estado atual da respetiva </w:t>
      </w:r>
      <w:r w:rsidDel="00000000" w:rsidR="00000000" w:rsidRPr="00000000">
        <w:rPr>
          <w:i w:val="1"/>
          <w:iCs w:val="1"/>
          <w:rtl w:val="0"/>
        </w:rPr>
        <w:t xml:space="preserve">workstation</w:t>
      </w:r>
      <w:r w:rsidDel="00000000" w:rsidR="00000000" w:rsidRPr="00000000">
        <w:rPr>
          <w:rtl w:val="0"/>
        </w:rPr>
        <w:t xml:space="preserve">. Estes dados são capturados pelo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, que realiza a transposição e o encaminhamento dos pacotes diretamente para o AAS.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Como se pode observar na Figura 13, este fluxo garante que os submodelos de dados operacionais do AAS sejam atualizados em tempo real, assegurando a correta sincronização entre o ativo físico e o seu gémeo digital.</w:t>
      </w:r>
      <w:r w:rsidDel="00000000" w:rsidR="00000000" w:rsidRPr="00000000">
        <w:rPr>
          <w:rtl w:val="0"/>
        </w:rPr>
      </w:r>
    </w:p>
    <w:tbl>
      <w:tblPr>
        <w:tblStyle w:val="Table15"/>
        <w:tblW w:w="8740.0" w:type="dxa"/>
        <w:jc w:val="left"/>
        <w:tblLayout w:type="fixed"/>
        <w:tblLook w:val="0600"/>
      </w:tblPr>
      <w:tblGrid>
        <w:gridCol w:w="8740"/>
        <w:tblGridChange w:id="0">
          <w:tblGrid>
            <w:gridCol w:w="8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0675" cy="20828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jc w:val="center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Figura 13 - Basyx Web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 e melhoramentos futuros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 presente trabalho permitiu desenvolver e validar uma arquitetura de integração vertical para a Indústria 4.0, estabelecendo uma comunicação eficiente entre o sistema de gestão (</w:t>
      </w:r>
      <w:r w:rsidDel="00000000" w:rsidR="00000000" w:rsidRPr="00000000">
        <w:rPr>
          <w:i w:val="1"/>
          <w:iCs w:val="1"/>
          <w:rtl w:val="0"/>
        </w:rPr>
        <w:t xml:space="preserve">Odoo</w:t>
      </w:r>
      <w:r w:rsidDel="00000000" w:rsidR="00000000" w:rsidRPr="00000000">
        <w:rPr>
          <w:rtl w:val="0"/>
        </w:rPr>
        <w:t xml:space="preserve">) e o chão de fábrica. A implementação do middleware baseado no </w:t>
      </w:r>
      <w:r w:rsidDel="00000000" w:rsidR="00000000" w:rsidRPr="00000000">
        <w:rPr>
          <w:i w:val="1"/>
          <w:i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, aliado  à normalização de dados via </w:t>
      </w:r>
      <w:r w:rsidDel="00000000" w:rsidR="00000000" w:rsidRPr="00000000">
        <w:rPr>
          <w:i w:val="1"/>
          <w:iCs w:val="1"/>
          <w:rtl w:val="0"/>
        </w:rPr>
        <w:t xml:space="preserve">Sparkplug B</w:t>
      </w:r>
      <w:r w:rsidDel="00000000" w:rsidR="00000000" w:rsidRPr="00000000">
        <w:rPr>
          <w:rtl w:val="0"/>
        </w:rPr>
        <w:t xml:space="preserve">, demonstrou ser uma solução escalável para a monitorização em tempo real de métricas OEE e para a rastreabilidade da produção. A integração de sistemas ciber-físicos, como o sensor </w:t>
      </w:r>
      <w:r w:rsidDel="00000000" w:rsidR="00000000" w:rsidRPr="00000000">
        <w:rPr>
          <w:i w:val="1"/>
          <w:iCs w:val="1"/>
          <w:rtl w:val="0"/>
        </w:rPr>
        <w:t xml:space="preserve">Lidar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estação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WS2</w:t>
      </w:r>
      <w:r w:rsidDel="00000000" w:rsidR="00000000" w:rsidRPr="00000000">
        <w:rPr>
          <w:rtl w:val="0"/>
        </w:rPr>
        <w:t xml:space="preserve"> e o módulo </w:t>
      </w:r>
      <w:r w:rsidDel="00000000" w:rsidR="00000000" w:rsidRPr="00000000">
        <w:rPr>
          <w:i w:val="1"/>
          <w:iCs w:val="1"/>
          <w:rtl w:val="0"/>
        </w:rPr>
        <w:t xml:space="preserve">Nicla Vision</w:t>
      </w:r>
      <w:r w:rsidDel="00000000" w:rsidR="00000000" w:rsidRPr="00000000">
        <w:rPr>
          <w:rtl w:val="0"/>
        </w:rPr>
        <w:t xml:space="preserve"> na estação WS4, comprovou que a digitalização de processos produtivos é exequível através de tecnologias IIoT de baixo custo, permitindo uma tomada de decisão fundamentada em dados reais.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 sucesso da prova de conceito, a arquitetura atual apresenta pontos de melhoria: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Descentralização da Camada de Serviços:</w:t>
      </w:r>
      <w:r w:rsidDel="00000000" w:rsidR="00000000" w:rsidRPr="00000000">
        <w:rPr>
          <w:rtl w:val="0"/>
        </w:rPr>
        <w:t xml:space="preserve"> Migrar o servidor </w:t>
      </w:r>
      <w:r w:rsidDel="00000000" w:rsidR="00000000" w:rsidRPr="00000000">
        <w:rPr>
          <w:i w:val="1"/>
          <w:iCs w:val="1"/>
          <w:rtl w:val="0"/>
        </w:rPr>
        <w:t xml:space="preserve">OPC UA</w:t>
      </w:r>
      <w:r w:rsidDel="00000000" w:rsidR="00000000" w:rsidRPr="00000000">
        <w:rPr>
          <w:rtl w:val="0"/>
        </w:rPr>
        <w:t xml:space="preserve"> da camada de middleware (Node-RED) diretamente para a camada Edge (</w:t>
      </w:r>
      <w:r w:rsidDel="00000000" w:rsidR="00000000" w:rsidRPr="00000000">
        <w:rPr>
          <w:i w:val="1"/>
          <w:i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), aproximando a semântica do ativo à fonte dos dados e respeitando os princípios de arquitetura distribuída.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Melhorar o Middleware:</w:t>
      </w:r>
      <w:r w:rsidDel="00000000" w:rsidR="00000000" w:rsidRPr="00000000">
        <w:rPr>
          <w:rtl w:val="0"/>
        </w:rPr>
        <w:t xml:space="preserve"> Automatizar a criação de rotas de comunicação de forma programática, eliminando a dependência de configuração manual (</w:t>
      </w:r>
      <w:r w:rsidDel="00000000" w:rsidR="00000000" w:rsidRPr="00000000">
        <w:rPr>
          <w:i w:val="1"/>
          <w:iCs w:val="1"/>
          <w:rtl w:val="0"/>
        </w:rPr>
        <w:t xml:space="preserve">hardcoding</w:t>
      </w:r>
      <w:r w:rsidDel="00000000" w:rsidR="00000000" w:rsidRPr="00000000">
        <w:rPr>
          <w:rtl w:val="0"/>
        </w:rPr>
        <w:t xml:space="preserve">) das rotas no </w:t>
      </w:r>
      <w:r w:rsidDel="00000000" w:rsidR="00000000" w:rsidRPr="00000000">
        <w:rPr>
          <w:i w:val="1"/>
          <w:i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 e Resiliência: </w:t>
      </w:r>
      <w:r w:rsidDel="00000000" w:rsidR="00000000" w:rsidRPr="00000000">
        <w:rPr>
          <w:rtl w:val="0"/>
        </w:rPr>
        <w:t xml:space="preserve">Implementar mecanismos de tratamento de erros e resiliência na rede, garantindo a integridade dos dados face a falhas de comunicação ou indisponibilidade de serviços.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Semântica:</w:t>
      </w:r>
      <w:r w:rsidDel="00000000" w:rsidR="00000000" w:rsidRPr="00000000">
        <w:rPr>
          <w:rtl w:val="0"/>
        </w:rPr>
        <w:t xml:space="preserve"> Implementar validação nos dados trocados contra os identificadores semânticos definidos nos </w:t>
      </w:r>
      <w:r w:rsidDel="00000000" w:rsidR="00000000" w:rsidRPr="00000000">
        <w:rPr>
          <w:i w:val="1"/>
          <w:iCs w:val="1"/>
          <w:rtl w:val="0"/>
        </w:rPr>
        <w:t xml:space="preserve">IDTA Submodels</w:t>
      </w:r>
      <w:r w:rsidDel="00000000" w:rsidR="00000000" w:rsidRPr="00000000">
        <w:rPr>
          <w:rtl w:val="0"/>
        </w:rPr>
        <w:t xml:space="preserve"> do AAS, assegurando a total interoperabilidade exigida pelas normas da Indústria 4.0.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240" w:before="360" w:line="240" w:lineRule="auto"/>
        <w:ind w:left="357" w:hanging="360"/>
        <w:jc w:val="left"/>
        <w:rPr>
          <w:b w:val="1"/>
          <w:bCs w:val="1"/>
          <w:smallCap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117">
      <w:pPr>
        <w:spacing w:before="0" w:line="240" w:lineRule="auto"/>
        <w:ind w:left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Gorecky, D., Schmitt, M., Loskyll, M., &amp; Zühlke, D. (2014). Human-machine-interaction in the industry 4.0 era. Proceedings - 2014 12th IEEE International Conference on Industrial Informatics, INDIN 2014, 289-294. doi:10.1109/INDIN.2014.6945523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>
          <w:rFonts w:ascii="Georgia" w:cs="Georgia" w:eastAsia="Georgia" w:hAnsi="Georgia"/>
          <w:color w:val="00000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Lasi, H., Fettke, P., Kemper, H. G., Feld, T., &amp; Hoffmann, M. (2014). Industry 4.0. Business &amp; Information Systems Engineering, 6(4), 239-242. doi:10.1007/S12599-014-0334-4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Lu, Y. (2017). Industry 4.0: A survey on technologies, applications and open research issues. Journal of Industrial Information Integration, 6, 1-10. doi:10.1016/J.JII.2017.04.005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Shrouf, F., Ordieres, J., &amp; Miragliotta, G. (2015). Smart factories in industry 4.0: a review of the concept and of energy management approached in production based on the Internet of things paradigm. IEEE.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Sisinni, E., Saifullah, A., Han, S., Jennehag, U., &amp; Gidlund, M. (2018). Industrial internet of things: Challenges, opportunities, and directions. IEEE Transactions on Industrial Informatics, 14(11), 4724-4734. doi:10.1109/TII.2018.2852491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Wang, S., Wan, J., Zhang, D., Li, D., &amp; Zhang, C. (2016). Towards smart factory for industry 4.0: a self-organized multi-agent system with big data based feedback and coordination. Computer Networks, 101, 158-168. doi:10.1016/J.COMNET.2015.12.017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360" w:hanging="360"/>
        <w:rPr/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Xu, H., Yu, W., Griffith, D., &amp; Golmie, N. (2018). A Survey on Industrial Internet of Things: A Cyber-Physical Systems Perspective. IEEE Access, 6, 78238-78259. doi:10.1109/ACCESS.2018.2884906</w:t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footerReference r:id="rId24" w:type="first"/>
      <w:pgSz w:h="16840" w:w="11920" w:orient="portrait"/>
      <w:pgMar w:bottom="280" w:top="1460" w:left="1600" w:right="15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before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6"/>
      <w:tblW w:w="87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245"/>
      <w:gridCol w:w="495"/>
      <w:tblGridChange w:id="0">
        <w:tblGrid>
          <w:gridCol w:w="8245"/>
          <w:gridCol w:w="49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i w:val="1"/>
              <w:iCs w:val="1"/>
              <w:color w:val="000000"/>
              <w:sz w:val="21"/>
              <w:szCs w:val="2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before="0" w:line="240" w:lineRule="auto"/>
            <w:jc w:val="right"/>
            <w:rPr>
              <w:color w:val="000000"/>
              <w:sz w:val="21"/>
              <w:szCs w:val="21"/>
            </w:rPr>
          </w:pPr>
          <w:r w:rsidDel="00000000" w:rsidR="00000000" w:rsidRPr="00000000">
            <w:rPr>
              <w:color w:val="000000"/>
              <w:sz w:val="21"/>
              <w:szCs w:val="2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before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before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7"/>
      <w:tblW w:w="87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245"/>
      <w:gridCol w:w="495"/>
      <w:tblGridChange w:id="0">
        <w:tblGrid>
          <w:gridCol w:w="8245"/>
          <w:gridCol w:w="49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i w:val="1"/>
              <w:iCs w:val="1"/>
              <w:color w:val="000000"/>
              <w:sz w:val="21"/>
              <w:szCs w:val="21"/>
            </w:rPr>
          </w:pPr>
          <w:r w:rsidDel="00000000" w:rsidR="00000000" w:rsidRPr="00000000">
            <w:rPr>
              <w:i w:val="1"/>
              <w:iCs w:val="1"/>
              <w:color w:val="000000"/>
              <w:sz w:val="21"/>
              <w:szCs w:val="21"/>
              <w:rtl w:val="0"/>
            </w:rPr>
            <w:t xml:space="preserve">Mestrado em Engenharia Informática, ESTG|IPP</w:t>
          </w:r>
        </w:p>
        <w:p w:rsidR="00000000" w:rsidDel="00000000" w:rsidP="00000000" w:rsidRDefault="00000000" w:rsidRPr="00000000" w14:paraId="000001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before="0" w:line="240" w:lineRule="auto"/>
            <w:rPr>
              <w:i w:val="1"/>
              <w:iCs w:val="1"/>
              <w:color w:val="000000"/>
              <w:sz w:val="21"/>
              <w:szCs w:val="21"/>
            </w:rPr>
          </w:pPr>
          <w:r w:rsidDel="00000000" w:rsidR="00000000" w:rsidRPr="00000000">
            <w:rPr>
              <w:i w:val="1"/>
              <w:iCs w:val="1"/>
              <w:color w:val="000000"/>
              <w:sz w:val="21"/>
              <w:szCs w:val="21"/>
              <w:rtl w:val="0"/>
            </w:rPr>
            <w:t xml:space="preserve">iIndústria 2</w:t>
          </w:r>
          <w:r w:rsidDel="00000000" w:rsidR="00000000" w:rsidRPr="00000000">
            <w:rPr>
              <w:i w:val="1"/>
              <w:iCs w:val="1"/>
              <w:sz w:val="21"/>
              <w:szCs w:val="21"/>
              <w:rtl w:val="0"/>
            </w:rPr>
            <w:t xml:space="preserve">5</w:t>
          </w:r>
          <w:r w:rsidDel="00000000" w:rsidR="00000000" w:rsidRPr="00000000">
            <w:rPr>
              <w:i w:val="1"/>
              <w:iCs w:val="1"/>
              <w:color w:val="000000"/>
              <w:sz w:val="21"/>
              <w:szCs w:val="21"/>
              <w:rtl w:val="0"/>
            </w:rPr>
            <w:t xml:space="preserve">/</w:t>
          </w:r>
          <w:r w:rsidDel="00000000" w:rsidR="00000000" w:rsidRPr="00000000">
            <w:rPr>
              <w:i w:val="1"/>
              <w:iCs w:val="1"/>
              <w:sz w:val="21"/>
              <w:szCs w:val="21"/>
              <w:rtl w:val="0"/>
            </w:rPr>
            <w:t xml:space="preserve">26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before="0" w:line="240" w:lineRule="auto"/>
            <w:jc w:val="right"/>
            <w:rPr>
              <w:color w:val="000000"/>
              <w:sz w:val="21"/>
              <w:szCs w:val="21"/>
            </w:rPr>
          </w:pPr>
          <w:r w:rsidDel="00000000" w:rsidR="00000000" w:rsidRPr="00000000">
            <w:rPr>
              <w:color w:val="000000"/>
              <w:sz w:val="21"/>
              <w:szCs w:val="2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before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before="0" w:line="240" w:lineRule="auto"/>
      <w:rPr>
        <w:b w:val="1"/>
        <w:bCs w:val="1"/>
        <w:i w:val="1"/>
        <w:iCs w:val="1"/>
        <w:color w:val="000000"/>
        <w:sz w:val="33"/>
        <w:szCs w:val="33"/>
        <w:vertAlign w:val="superscript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Diogo Pereira, Hugo Guimarães e Nuno Silva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spacing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360"/>
      </w:tabs>
      <w:spacing w:after="120" w:before="360" w:lineRule="auto"/>
      <w:ind w:left="720" w:hanging="360"/>
      <w:jc w:val="left"/>
    </w:pPr>
    <w:rPr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60"/>
      </w:tabs>
      <w:spacing w:after="120" w:before="360" w:lineRule="auto"/>
      <w:ind w:left="567" w:hanging="567"/>
      <w:jc w:val="left"/>
    </w:pPr>
    <w:rPr>
      <w:b w:val="1"/>
      <w:bCs w:val="1"/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2160" w:hanging="720"/>
      <w:jc w:val="left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2880" w:hanging="720"/>
      <w:jc w:val="left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  <w:jc w:val="left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  <w:jc w:val="left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22" Type="http://schemas.openxmlformats.org/officeDocument/2006/relationships/header" Target="header1.xml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24" Type="http://schemas.openxmlformats.org/officeDocument/2006/relationships/footer" Target="footer2.xml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5.jp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5a418675-71f7-3dfd-928c-b1a1fe1eccf8</vt:lpwstr>
  </property>
  <property fmtid="{D5CDD505-2E9C-101B-9397-08002B2CF9AE}" pid="4" name="ContentTypeId">
    <vt:lpwstr>0x0101009B7FE101FC75424B8D2F78703790CC4C</vt:lpwstr>
  </property>
</Properties>
</file>