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do pitch de 10 minutos</w:t>
      </w:r>
    </w:p>
    <w:p>
      <w:pPr>
        <w:keepNext/>
      </w:pPr>
      <w:r>
        <w:rPr>
          <w:rFonts w:ascii="Aptos" w:hAnsi="Aptos"/>
          <w:b w:val="0"/>
          <w:i w:val="0"/>
          <w:color w:val="1F1F1F"/>
          <w:sz w:val="24"/>
        </w:rPr>
        <w:t>Projeto NormasIFPA · Assistente Acadêmico com RAG e Agente ReAct</w:t>
      </w:r>
    </w:p>
    <w:p>
      <w:r>
        <w:rPr>
          <w:rFonts w:ascii="Aptos" w:hAnsi="Aptos"/>
          <w:b w:val="0"/>
          <w:i w:val="0"/>
          <w:color w:val="1F1F1F"/>
          <w:sz w:val="20"/>
        </w:rPr>
        <w:t>Equipe [GRUPO X] · Defesa em 2 de outubro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Tempo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Problema e solução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0:00–2:00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</w:t>
            </w:r>
          </w:p>
        </w:tc>
      </w:tr>
      <w:tr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Arquitetura técnica</w:t>
            </w:r>
          </w:p>
        </w:tc>
        <w:tc>
          <w:tcPr>
            <w:tcW w:type="dxa" w:w="21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2:00–5:00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</w:t>
            </w:r>
          </w:p>
        </w:tc>
      </w:tr>
      <w:tr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Demonstração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5:00–9:00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</w:t>
            </w:r>
          </w:p>
        </w:tc>
      </w:tr>
      <w:tr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Conclusão</w:t>
            </w:r>
          </w:p>
        </w:tc>
        <w:tc>
          <w:tcPr>
            <w:tcW w:type="dxa" w:w="21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9:00–10:00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[NOME]</w:t>
            </w:r>
          </w:p>
        </w:tc>
      </w:tr>
    </w:tbl>
    <w:p>
      <w:pPr>
        <w:spacing w:after="0"/>
      </w:pPr>
    </w:p>
    <w:p>
      <w:pPr>
        <w:pStyle w:val="Heading1"/>
      </w:pPr>
      <w:r>
        <w:t>Slide 1 · Abertura · 0:00–0:35</w:t>
      </w:r>
    </w:p>
    <w:p>
      <w:r>
        <w:rPr>
          <w:rFonts w:ascii="Aptos" w:hAnsi="Aptos"/>
          <w:b w:val="0"/>
          <w:i w:val="0"/>
          <w:color w:val="1F1F1F"/>
          <w:sz w:val="20"/>
        </w:rPr>
        <w:t>Boa noite. Somos a equipe [GRUPO X] e apresentamos o NormasIFPA, um assistente acadêmico que consulta documentos oficiais antes de responder. Nosso foco foi reduzir o tempo de busca em PDFs extensos e impedir respostas inventadas sobre regras acadêmicas.</w:t>
      </w:r>
    </w:p>
    <w:p>
      <w:r>
        <w:rPr>
          <w:rFonts w:ascii="Aptos" w:hAnsi="Aptos"/>
          <w:b/>
          <w:i w:val="0"/>
          <w:color w:val="1F1F1F"/>
          <w:sz w:val="19"/>
        </w:rPr>
        <w:t>Ação no slide:</w:t>
      </w:r>
      <w:r>
        <w:rPr>
          <w:rFonts w:ascii="Aptos" w:hAnsi="Aptos"/>
          <w:b w:val="0"/>
          <w:i w:val="0"/>
          <w:color w:val="1F1F1F"/>
          <w:sz w:val="19"/>
        </w:rPr>
        <w:t xml:space="preserve"> Deixar a capa visível e apresentar apenas nomes e papéis.</w:t>
      </w:r>
    </w:p>
    <w:p>
      <w:pPr>
        <w:pStyle w:val="Heading1"/>
      </w:pPr>
      <w:r>
        <w:t>Slide 2 · Problema e proposta · 0:35–2:00</w:t>
      </w:r>
    </w:p>
    <w:p>
      <w:r>
        <w:rPr>
          <w:rFonts w:ascii="Aptos" w:hAnsi="Aptos"/>
          <w:b w:val="0"/>
          <w:i w:val="0"/>
          <w:color w:val="1F1F1F"/>
          <w:sz w:val="20"/>
        </w:rPr>
        <w:t>Hoje, uma dúvida simples sobre aprovação, recuperação ou trancamento exige localizar o documento correto e interpretar vários artigos. Um modelo de linguagem isolado pode misturar normas de outras instituições. A nossa solução força o agente a pesquisar a base oficial, recuperar trechos relevantes e citar arquivo e página. Se a evidência não existir, ele informa que não encontrou a regra.</w:t>
      </w:r>
    </w:p>
    <w:p>
      <w:r>
        <w:rPr>
          <w:rFonts w:ascii="Aptos" w:hAnsi="Aptos"/>
          <w:b/>
          <w:i w:val="0"/>
          <w:color w:val="1F1F1F"/>
          <w:sz w:val="19"/>
        </w:rPr>
        <w:t>Ação no slide:</w:t>
      </w:r>
      <w:r>
        <w:rPr>
          <w:rFonts w:ascii="Aptos" w:hAnsi="Aptos"/>
          <w:b w:val="0"/>
          <w:i w:val="0"/>
          <w:color w:val="1F1F1F"/>
          <w:sz w:val="19"/>
        </w:rPr>
        <w:t xml:space="preserve"> Destacar que a Resolução 944 vale para graduação e a 945 para educação básica e profissional.</w:t>
      </w:r>
    </w:p>
    <w:p>
      <w:pPr>
        <w:pStyle w:val="Heading1"/>
      </w:pPr>
      <w:r>
        <w:t>Slide 3 · Arquitetura · 2:00–3:20</w:t>
      </w:r>
    </w:p>
    <w:p>
      <w:r>
        <w:rPr>
          <w:rFonts w:ascii="Aptos" w:hAnsi="Aptos"/>
          <w:b w:val="0"/>
          <w:i w:val="0"/>
          <w:color w:val="1F1F1F"/>
          <w:sz w:val="20"/>
        </w:rPr>
        <w:t>O fluxo começa com a pergunta do usuário. A validação bloqueia padrões de prompt injection. O agente ReAct decide usar a Tool documental. A Tool consulta o Retriever, que busca no ChromaDB os quatro fragmentos mais relevantes. Esses fragmentos retornam ao modelo com fonte e página. Só então o agente formula a resposta. A memória é isolada por thread e o limite de recursão evita loops.</w:t>
      </w:r>
    </w:p>
    <w:p>
      <w:r>
        <w:rPr>
          <w:rFonts w:ascii="Aptos" w:hAnsi="Aptos"/>
          <w:b/>
          <w:i w:val="0"/>
          <w:color w:val="1F1F1F"/>
          <w:sz w:val="19"/>
        </w:rPr>
        <w:t>Ação no slide:</w:t>
      </w:r>
      <w:r>
        <w:rPr>
          <w:rFonts w:ascii="Aptos" w:hAnsi="Aptos"/>
          <w:b w:val="0"/>
          <w:i w:val="0"/>
          <w:color w:val="1F1F1F"/>
          <w:sz w:val="19"/>
        </w:rPr>
        <w:t xml:space="preserve"> Percorrer o diagrama da esquerda para a direita.</w:t>
      </w:r>
    </w:p>
    <w:p>
      <w:pPr>
        <w:pStyle w:val="Heading1"/>
      </w:pPr>
      <w:r>
        <w:t>Slide 4 · Pipeline RAG e FinOps · 3:20–4:25</w:t>
      </w:r>
    </w:p>
    <w:p>
      <w:r>
        <w:rPr>
          <w:rFonts w:ascii="Aptos" w:hAnsi="Aptos"/>
          <w:b w:val="0"/>
          <w:i w:val="0"/>
          <w:color w:val="1F1F1F"/>
          <w:sz w:val="20"/>
        </w:rPr>
        <w:t>Indexamos quatro fontes: os dois regulamentos, o PPC do curso e o calendário de 2026. Usamos chunks de 900 caracteres e overlap de 150. Esse valor preserva artigos sem criar vetores demais. O modelo principal de embeddings é o gemini-embedding-001 e o índice fica persistido no ChromaDB. O top-k quatro limita o contexto enviado e reduz custo.</w:t>
      </w:r>
    </w:p>
    <w:p>
      <w:r>
        <w:rPr>
          <w:rFonts w:ascii="Aptos" w:hAnsi="Aptos"/>
          <w:b/>
          <w:i w:val="0"/>
          <w:color w:val="1F1F1F"/>
          <w:sz w:val="19"/>
        </w:rPr>
        <w:t>Ação no slide:</w:t>
      </w:r>
      <w:r>
        <w:rPr>
          <w:rFonts w:ascii="Aptos" w:hAnsi="Aptos"/>
          <w:b w:val="0"/>
          <w:i w:val="0"/>
          <w:color w:val="1F1F1F"/>
          <w:sz w:val="19"/>
        </w:rPr>
        <w:t xml:space="preserve"> Explicar que os parâmetros devem ser medidos em produção, não escolhidos por hábito.</w:t>
      </w:r>
    </w:p>
    <w:p>
      <w:pPr>
        <w:pStyle w:val="Heading1"/>
      </w:pPr>
      <w:r>
        <w:t>Slide 5 · Agente e segurança · 4:25–5:00</w:t>
      </w:r>
    </w:p>
    <w:p>
      <w:r>
        <w:rPr>
          <w:rFonts w:ascii="Aptos" w:hAnsi="Aptos"/>
          <w:b w:val="0"/>
          <w:i w:val="0"/>
          <w:color w:val="1F1F1F"/>
          <w:sz w:val="20"/>
        </w:rPr>
        <w:t>A docstring da Tool funciona como contrato: informa quando consultar e o que a função devolve. O System Prompt proíbe respostas sem evidência, exige citação e prioriza o regulamento de graduação. Segredos ficam fora do código. Em falha de rede, o modo local mantém a recuperação e produz uma resposta extrativa.</w:t>
      </w:r>
    </w:p>
    <w:p>
      <w:r>
        <w:rPr>
          <w:rFonts w:ascii="Aptos" w:hAnsi="Aptos"/>
          <w:b/>
          <w:i w:val="0"/>
          <w:color w:val="1F1F1F"/>
          <w:sz w:val="19"/>
        </w:rPr>
        <w:t>Ação no slide:</w:t>
      </w:r>
      <w:r>
        <w:rPr>
          <w:rFonts w:ascii="Aptos" w:hAnsi="Aptos"/>
          <w:b w:val="0"/>
          <w:i w:val="0"/>
          <w:color w:val="1F1F1F"/>
          <w:sz w:val="19"/>
        </w:rPr>
        <w:t xml:space="preserve"> Preparar a transição para a demonstração.</w:t>
      </w:r>
    </w:p>
    <w:p>
      <w:pPr>
        <w:pStyle w:val="Heading1"/>
      </w:pPr>
      <w:r>
        <w:t>Slide 6 · Demonstração ao vivo · 5:00–9:00</w:t>
      </w:r>
    </w:p>
    <w:p>
      <w:r>
        <w:rPr>
          <w:rFonts w:ascii="Aptos" w:hAnsi="Aptos"/>
          <w:b w:val="0"/>
          <w:i w:val="0"/>
          <w:color w:val="1F1F1F"/>
          <w:sz w:val="20"/>
        </w:rPr>
        <w:t>Vamos perguntar: ‘Qual é a média necessária para aprovação em um componente curricular da graduação?’ Primeiro, o agente seleciona a Tool consultar_documentos_ifpa. Em seguida, o Retriever localiza o Art. 272 da Resolução 944, página 70. A observação volta ao agente e a resposta informa média final maior ou igual a 7,00, com a fonte. Agora mostramos uma tentativa de prompt injection. A validação bloqueia a consulta antes de consumir a API.</w:t>
      </w:r>
    </w:p>
    <w:p>
      <w:r>
        <w:rPr>
          <w:rFonts w:ascii="Aptos" w:hAnsi="Aptos"/>
          <w:b/>
          <w:i w:val="0"/>
          <w:color w:val="1F1F1F"/>
          <w:sz w:val="19"/>
        </w:rPr>
        <w:t>Ação no slide:</w:t>
      </w:r>
      <w:r>
        <w:rPr>
          <w:rFonts w:ascii="Aptos" w:hAnsi="Aptos"/>
          <w:b w:val="0"/>
          <w:i w:val="0"/>
          <w:color w:val="1F1F1F"/>
          <w:sz w:val="19"/>
        </w:rPr>
        <w:t xml:space="preserve"> Plano B: se a API falhar, executar a mesma pergunta no modo local e mostrar resposta, arquivo e página. Não improvisar uma nova pergunta durante a defesa.</w:t>
      </w:r>
    </w:p>
    <w:p>
      <w:pPr>
        <w:pStyle w:val="Heading1"/>
      </w:pPr>
      <w:r>
        <w:t>Slide 7 · Resultados e conclusão · 9:00–10:00</w:t>
      </w:r>
    </w:p>
    <w:p>
      <w:r>
        <w:rPr>
          <w:rFonts w:ascii="Aptos" w:hAnsi="Aptos"/>
          <w:b w:val="0"/>
          <w:i w:val="0"/>
          <w:color w:val="1F1F1F"/>
          <w:sz w:val="20"/>
        </w:rPr>
        <w:t>Nos testes locais, a evidência correta apareceu entre os quatro primeiros resultados em quatro de quatro perguntas: aprovação, recuperação, trancamento e duração do curso. O ganho principal é rastreabilidade. Ainda precisamos ampliar a base, medir a precisão com mais perguntas e criar uma interface web. Mesmo assim, o protótipo demonstra um fluxo completo e seguro de RAG com agente ReAct. Obrigado. Estamos à disposição para a sabatina.</w:t>
      </w:r>
    </w:p>
    <w:p>
      <w:r>
        <w:rPr>
          <w:rFonts w:ascii="Aptos" w:hAnsi="Aptos"/>
          <w:b/>
          <w:i w:val="0"/>
          <w:color w:val="1F1F1F"/>
          <w:sz w:val="19"/>
        </w:rPr>
        <w:t>Ação no slide:</w:t>
      </w:r>
      <w:r>
        <w:rPr>
          <w:rFonts w:ascii="Aptos" w:hAnsi="Aptos"/>
          <w:b w:val="0"/>
          <w:i w:val="0"/>
          <w:color w:val="1F1F1F"/>
          <w:sz w:val="19"/>
        </w:rPr>
        <w:t xml:space="preserve"> Encerrar em até 9:50 para manter margem de tempo.</w:t>
      </w:r>
    </w:p>
    <w:p>
      <w:pPr>
        <w:pStyle w:val="Heading1"/>
      </w:pPr>
      <w:r>
        <w:t>Perguntas prováveis da banca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Pergunta</w:t>
            </w:r>
          </w:p>
        </w:tc>
        <w:tc>
          <w:tcPr>
            <w:tcW w:type="dxa" w:w="69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Resposta curta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Por que a Resolução 944 aparece se o roteiro cita a 945?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Porque o curso é de graduação. A página oficial da PROEN identifica a 944 como regulamento da graduação e a 945 como regulamento da educação básica e profissional. Mantivemos ambas e aplicamos a de escopo correto.</w:t>
            </w:r>
          </w:p>
        </w:tc>
      </w:tr>
      <w:tr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Por que chunk 900 e overlap 150?</w:t>
            </w:r>
          </w:p>
        </w:tc>
        <w:tc>
          <w:tcPr>
            <w:tcW w:type="dxa" w:w="69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Os documentos completos têm artigos longos. O valor preserva contexto e reduz o número de embeddings. A escolha foi validada com quatro perguntas e deve ser ajustada com uma bateria maior.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O fallback local substitui o Gemini?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Não. Ele é uma contingência de defesa e preserva ChromaDB, fontes e resposta extrativa. O caminho principal usa Gemini para embeddings e geração.</w:t>
            </w:r>
          </w:p>
        </w:tc>
      </w:tr>
      <w:tr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Como vocês evitam alucinação?</w:t>
            </w:r>
          </w:p>
        </w:tc>
        <w:tc>
          <w:tcPr>
            <w:tcW w:type="dxa" w:w="69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Recuperação obrigatória, citação de fonte, prioridade normativa, resposta abstentiva, temperatura baixa e validação de entrada e saída.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O agente mostra Thought?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Mostramos Tool Calls, argumentos, observações e resposta final. Não dependemos de revelar raciocínio interno oculto do modelo.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2"/>
      <w:gridCol w:w="1872"/>
    </w:tblGrid>
    <w:tr>
      <w:tc>
        <w:tcPr>
          <w:tcW w:type="dxa" w:w="5112"/>
        </w:tcPr>
        <w:p>
          <w:r>
            <w:rPr>
              <w:rFonts w:ascii="Aptos" w:hAnsi="Aptos"/>
              <w:b w:val="0"/>
              <w:i w:val="0"/>
              <w:color w:val="595959"/>
              <w:sz w:val="16"/>
            </w:rPr>
            <w:t>Roteiro de apresentação · NormasIFPA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95959"/>
              <w:sz w:val="16"/>
            </w:rPr>
            <w:t xml:space="preserve">Página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