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Bruno C Decnop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92929"/>
        </w:rPr>
      </w:pPr>
      <w:r w:rsidDel="00000000" w:rsidR="00000000" w:rsidRPr="00000000">
        <w:rPr>
          <w:rtl w:val="0"/>
        </w:rPr>
        <w:t xml:space="preserve">O princípio SOLID que escolhi falar sobre foi o </w:t>
      </w:r>
      <w:r w:rsidDel="00000000" w:rsidR="00000000" w:rsidRPr="00000000">
        <w:rPr>
          <w:b w:val="1"/>
          <w:color w:val="292929"/>
          <w:rtl w:val="0"/>
        </w:rPr>
        <w:t xml:space="preserve">LSP— Liskov Substitution Principle. </w:t>
      </w:r>
      <w:r w:rsidDel="00000000" w:rsidR="00000000" w:rsidRPr="00000000">
        <w:rPr>
          <w:color w:val="292929"/>
          <w:rtl w:val="0"/>
        </w:rPr>
        <w:t xml:space="preserve">Em nosso trabalho, o LSP foi seguido e isso pode ser observado nas classes “Usuário”, “Cliente” e “Funcionário”. Anteriormente, a classe Usuário possuía um atributo “ID_cliente” e "ID_funcionario", o que feria o Princípio de Liskov, visto que não se podia substituir a classe “Usuário” por qualquer um de suas subclasses. Então, seguindo o princípio SOLID, ambos os atributos foram substituídos pelo atributo novo “ID_usuário”.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