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Dossier d'architecture technique</w:t>
      </w:r>
    </w:p>
    <w:p>
      <w:pPr>
        <w:pStyle w:val="CYNASubtitle"/>
        <w:jc w:val="center"/>
      </w:pPr>
      <w:r>
        <w:t>Architecture runtime, données, intégrations et décisions CYNA</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CYNA-DAT-001</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1.0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Référence technique alignée sur dev</w:t>
            </w:r>
          </w:p>
        </w:tc>
      </w:tr>
    </w:tbl>
    <w:p>
      <w:pPr>
        <w:spacing w:before="360"/>
        <w:jc w:val="center"/>
      </w:pPr>
      <w:r>
        <w:rPr>
          <w:i/>
          <w:color w:val="626273"/>
        </w:rPr>
        <w:t>Audience : Développeurs, architectes, sécurité, exploitation et jury</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0" w:line="240" w:lineRule="auto"/>
        <w:ind w:left="0"/>
      </w:pPr>
      <w:hyperlink w:anchor="h_1_Synth_se_architecturale" w:history="1">
        <w:r>
          <w:rPr>
            <w:rStyle w:val="Hyperlink"/>
            <w:color w:val="302082"/>
            <w:sz w:val="19"/>
            <w:szCs w:val="19"/>
          </w:rPr>
          <w:t>Synthèse architecturale</w:t>
        </w:r>
      </w:hyperlink>
      <w:r>
        <w:rPr>
          <w:sz w:val="19"/>
        </w:rPr>
        <w:tab/>
      </w:r>
      <w:r>
        <w:rPr>
          <w:sz w:val="19"/>
        </w:rPr>
        <w:t>3</w:t>
      </w:r>
    </w:p>
    <w:p>
      <w:pPr>
        <w:tabs>
          <w:tab w:pos="8674" w:val="right" w:leader="dot"/>
        </w:tabs>
        <w:spacing w:after="0" w:line="240" w:lineRule="auto"/>
        <w:ind w:left="255"/>
      </w:pPr>
      <w:hyperlink w:anchor="h_2_Principes_structurants" w:history="1">
        <w:r>
          <w:rPr>
            <w:rStyle w:val="Hyperlink"/>
            <w:color w:val="302082"/>
            <w:sz w:val="19"/>
            <w:szCs w:val="19"/>
          </w:rPr>
          <w:t>Principes structurants</w:t>
        </w:r>
      </w:hyperlink>
      <w:r>
        <w:rPr>
          <w:sz w:val="19"/>
        </w:rPr>
        <w:tab/>
      </w:r>
      <w:r>
        <w:rPr>
          <w:sz w:val="19"/>
        </w:rPr>
        <w:t>3</w:t>
      </w:r>
    </w:p>
    <w:p>
      <w:pPr>
        <w:tabs>
          <w:tab w:pos="8674" w:val="right" w:leader="dot"/>
        </w:tabs>
        <w:spacing w:after="0" w:line="240" w:lineRule="auto"/>
        <w:ind w:left="0"/>
      </w:pPr>
      <w:hyperlink w:anchor="h_3_Architecture_runtime_et_d_pl" w:history="1">
        <w:r>
          <w:rPr>
            <w:rStyle w:val="Hyperlink"/>
            <w:color w:val="302082"/>
            <w:sz w:val="19"/>
            <w:szCs w:val="19"/>
          </w:rPr>
          <w:t>Architecture runtime et déploiement</w:t>
        </w:r>
      </w:hyperlink>
      <w:r>
        <w:rPr>
          <w:sz w:val="19"/>
        </w:rPr>
        <w:tab/>
      </w:r>
      <w:r>
        <w:rPr>
          <w:sz w:val="19"/>
        </w:rPr>
        <w:t>3</w:t>
      </w:r>
    </w:p>
    <w:p>
      <w:pPr>
        <w:tabs>
          <w:tab w:pos="8674" w:val="right" w:leader="dot"/>
        </w:tabs>
        <w:spacing w:after="0" w:line="240" w:lineRule="auto"/>
        <w:ind w:left="255"/>
      </w:pPr>
      <w:hyperlink w:anchor="h_4_Composants_d_ex_cution" w:history="1">
        <w:r>
          <w:rPr>
            <w:rStyle w:val="Hyperlink"/>
            <w:color w:val="302082"/>
            <w:sz w:val="19"/>
            <w:szCs w:val="19"/>
          </w:rPr>
          <w:t>Composants d'exécution</w:t>
        </w:r>
      </w:hyperlink>
      <w:r>
        <w:rPr>
          <w:sz w:val="19"/>
        </w:rPr>
        <w:tab/>
      </w:r>
      <w:r>
        <w:rPr>
          <w:sz w:val="19"/>
        </w:rPr>
        <w:t>3</w:t>
      </w:r>
    </w:p>
    <w:p>
      <w:pPr>
        <w:tabs>
          <w:tab w:pos="8674" w:val="right" w:leader="dot"/>
        </w:tabs>
        <w:spacing w:after="0" w:line="240" w:lineRule="auto"/>
        <w:ind w:left="255"/>
      </w:pPr>
      <w:hyperlink w:anchor="h_5_Organisation_applicative" w:history="1">
        <w:r>
          <w:rPr>
            <w:rStyle w:val="Hyperlink"/>
            <w:color w:val="302082"/>
            <w:sz w:val="19"/>
            <w:szCs w:val="19"/>
          </w:rPr>
          <w:t>Organisation applicative</w:t>
        </w:r>
      </w:hyperlink>
      <w:r>
        <w:rPr>
          <w:sz w:val="19"/>
        </w:rPr>
        <w:tab/>
      </w:r>
      <w:r>
        <w:rPr>
          <w:sz w:val="19"/>
        </w:rPr>
        <w:t>4</w:t>
      </w:r>
    </w:p>
    <w:p>
      <w:pPr>
        <w:tabs>
          <w:tab w:pos="8674" w:val="right" w:leader="dot"/>
        </w:tabs>
        <w:spacing w:after="0" w:line="240" w:lineRule="auto"/>
        <w:ind w:left="0"/>
      </w:pPr>
      <w:hyperlink w:anchor="h_6_Cycle_d_ex_cution_Next_js" w:history="1">
        <w:r>
          <w:rPr>
            <w:rStyle w:val="Hyperlink"/>
            <w:color w:val="302082"/>
            <w:sz w:val="19"/>
            <w:szCs w:val="19"/>
          </w:rPr>
          <w:t>Cycle d'exécution Next.js</w:t>
        </w:r>
      </w:hyperlink>
      <w:r>
        <w:rPr>
          <w:sz w:val="19"/>
        </w:rPr>
        <w:tab/>
      </w:r>
      <w:r>
        <w:rPr>
          <w:sz w:val="19"/>
        </w:rPr>
        <w:t>5</w:t>
      </w:r>
    </w:p>
    <w:p>
      <w:pPr>
        <w:tabs>
          <w:tab w:pos="8674" w:val="right" w:leader="dot"/>
        </w:tabs>
        <w:spacing w:after="0" w:line="240" w:lineRule="auto"/>
        <w:ind w:left="255"/>
      </w:pPr>
      <w:hyperlink w:anchor="h_7_Routage__localisation_et_ses" w:history="1">
        <w:r>
          <w:rPr>
            <w:rStyle w:val="Hyperlink"/>
            <w:color w:val="302082"/>
            <w:sz w:val="19"/>
            <w:szCs w:val="19"/>
          </w:rPr>
          <w:t>Routage, localisation et session</w:t>
        </w:r>
      </w:hyperlink>
      <w:r>
        <w:rPr>
          <w:sz w:val="19"/>
        </w:rPr>
        <w:tab/>
      </w:r>
      <w:r>
        <w:rPr>
          <w:sz w:val="19"/>
        </w:rPr>
        <w:t>5</w:t>
      </w:r>
    </w:p>
    <w:p>
      <w:pPr>
        <w:tabs>
          <w:tab w:pos="8674" w:val="right" w:leader="dot"/>
        </w:tabs>
        <w:spacing w:after="0" w:line="240" w:lineRule="auto"/>
        <w:ind w:left="255"/>
      </w:pPr>
      <w:hyperlink w:anchor="h_8_Server_Components__Server_Ac" w:history="1">
        <w:r>
          <w:rPr>
            <w:rStyle w:val="Hyperlink"/>
            <w:color w:val="302082"/>
            <w:sz w:val="19"/>
            <w:szCs w:val="19"/>
          </w:rPr>
          <w:t>Server Components, Server Actions et routes HTTP</w:t>
        </w:r>
      </w:hyperlink>
      <w:r>
        <w:rPr>
          <w:sz w:val="19"/>
        </w:rPr>
        <w:tab/>
      </w:r>
      <w:r>
        <w:rPr>
          <w:sz w:val="19"/>
        </w:rPr>
        <w:t>5</w:t>
      </w:r>
    </w:p>
    <w:p>
      <w:pPr>
        <w:tabs>
          <w:tab w:pos="8674" w:val="right" w:leader="dot"/>
        </w:tabs>
        <w:spacing w:after="0" w:line="240" w:lineRule="auto"/>
        <w:ind w:left="255"/>
      </w:pPr>
      <w:hyperlink w:anchor="h_9_Composition_de_configuration" w:history="1">
        <w:r>
          <w:rPr>
            <w:rStyle w:val="Hyperlink"/>
            <w:color w:val="302082"/>
            <w:sz w:val="19"/>
            <w:szCs w:val="19"/>
          </w:rPr>
          <w:t>Composition de configuration et build</w:t>
        </w:r>
      </w:hyperlink>
      <w:r>
        <w:rPr>
          <w:sz w:val="19"/>
        </w:rPr>
        <w:tab/>
      </w:r>
      <w:r>
        <w:rPr>
          <w:sz w:val="19"/>
        </w:rPr>
        <w:t>6</w:t>
      </w:r>
    </w:p>
    <w:p>
      <w:pPr>
        <w:tabs>
          <w:tab w:pos="8674" w:val="right" w:leader="dot"/>
        </w:tabs>
        <w:spacing w:after="0" w:line="240" w:lineRule="auto"/>
        <w:ind w:left="0"/>
      </w:pPr>
      <w:hyperlink w:anchor="h_10_Architecture_front_end_et_de" w:history="1">
        <w:r>
          <w:rPr>
            <w:rStyle w:val="Hyperlink"/>
            <w:color w:val="302082"/>
            <w:sz w:val="19"/>
            <w:szCs w:val="19"/>
          </w:rPr>
          <w:t>Architecture front-end et design system</w:t>
        </w:r>
      </w:hyperlink>
      <w:r>
        <w:rPr>
          <w:sz w:val="19"/>
        </w:rPr>
        <w:tab/>
      </w:r>
      <w:r>
        <w:rPr>
          <w:sz w:val="19"/>
        </w:rPr>
        <w:t>7</w:t>
      </w:r>
    </w:p>
    <w:p>
      <w:pPr>
        <w:tabs>
          <w:tab w:pos="8674" w:val="right" w:leader="dot"/>
        </w:tabs>
        <w:spacing w:after="0" w:line="240" w:lineRule="auto"/>
        <w:ind w:left="255"/>
      </w:pPr>
      <w:hyperlink w:anchor="h_11_Syst_me_visuel__tokens_et_co" w:history="1">
        <w:r>
          <w:rPr>
            <w:rStyle w:val="Hyperlink"/>
            <w:color w:val="302082"/>
            <w:sz w:val="19"/>
            <w:szCs w:val="19"/>
          </w:rPr>
          <w:t>Système visuel, tokens et composants</w:t>
        </w:r>
      </w:hyperlink>
      <w:r>
        <w:rPr>
          <w:sz w:val="19"/>
        </w:rPr>
        <w:tab/>
      </w:r>
      <w:r>
        <w:rPr>
          <w:sz w:val="19"/>
        </w:rPr>
        <w:t>7</w:t>
      </w:r>
    </w:p>
    <w:p>
      <w:pPr>
        <w:tabs>
          <w:tab w:pos="8674" w:val="right" w:leader="dot"/>
        </w:tabs>
        <w:spacing w:after="0" w:line="240" w:lineRule="auto"/>
        <w:ind w:left="255"/>
      </w:pPr>
      <w:hyperlink w:anchor="h_12_Approche_mobile_first_et_com" w:history="1">
        <w:r>
          <w:rPr>
            <w:rStyle w:val="Hyperlink"/>
            <w:color w:val="302082"/>
            <w:sz w:val="19"/>
            <w:szCs w:val="19"/>
          </w:rPr>
          <w:t>Approche mobile-first et comportements responsive</w:t>
        </w:r>
      </w:hyperlink>
      <w:r>
        <w:rPr>
          <w:sz w:val="19"/>
        </w:rPr>
        <w:tab/>
      </w:r>
      <w:r>
        <w:rPr>
          <w:sz w:val="19"/>
        </w:rPr>
        <w:t>9</w:t>
      </w:r>
    </w:p>
    <w:p>
      <w:pPr>
        <w:tabs>
          <w:tab w:pos="8674" w:val="right" w:leader="dot"/>
        </w:tabs>
        <w:spacing w:after="0" w:line="240" w:lineRule="auto"/>
        <w:ind w:left="255"/>
      </w:pPr>
      <w:hyperlink w:anchor="h_13_Accessibilit___interactions_" w:history="1">
        <w:r>
          <w:rPr>
            <w:rStyle w:val="Hyperlink"/>
            <w:color w:val="302082"/>
            <w:sz w:val="19"/>
            <w:szCs w:val="19"/>
          </w:rPr>
          <w:t>Accessibilité, interactions et performance perçue</w:t>
        </w:r>
      </w:hyperlink>
      <w:r>
        <w:rPr>
          <w:sz w:val="19"/>
        </w:rPr>
        <w:tab/>
      </w:r>
      <w:r>
        <w:rPr>
          <w:sz w:val="19"/>
        </w:rPr>
        <w:t>10</w:t>
      </w:r>
    </w:p>
    <w:p>
      <w:pPr>
        <w:tabs>
          <w:tab w:pos="8674" w:val="right" w:leader="dot"/>
        </w:tabs>
        <w:spacing w:after="0" w:line="240" w:lineRule="auto"/>
        <w:ind w:left="0"/>
      </w:pPr>
      <w:hyperlink w:anchor="h_14_Identit___s_curit__et_autori" w:history="1">
        <w:r>
          <w:rPr>
            <w:rStyle w:val="Hyperlink"/>
            <w:color w:val="302082"/>
            <w:sz w:val="19"/>
            <w:szCs w:val="19"/>
          </w:rPr>
          <w:t>Identité, sécurité et autorisations</w:t>
        </w:r>
      </w:hyperlink>
      <w:r>
        <w:rPr>
          <w:sz w:val="19"/>
        </w:rPr>
        <w:tab/>
      </w:r>
      <w:r>
        <w:rPr>
          <w:sz w:val="19"/>
        </w:rPr>
        <w:t>12</w:t>
      </w:r>
    </w:p>
    <w:p>
      <w:pPr>
        <w:tabs>
          <w:tab w:pos="8674" w:val="right" w:leader="dot"/>
        </w:tabs>
        <w:spacing w:after="0" w:line="240" w:lineRule="auto"/>
        <w:ind w:left="0"/>
      </w:pPr>
      <w:hyperlink w:anchor="h_15_Architecture_des_donn_es_et_" w:history="1">
        <w:r>
          <w:rPr>
            <w:rStyle w:val="Hyperlink"/>
            <w:color w:val="302082"/>
            <w:sz w:val="19"/>
            <w:szCs w:val="19"/>
          </w:rPr>
          <w:t>Architecture des données et de la persistance</w:t>
        </w:r>
      </w:hyperlink>
      <w:r>
        <w:rPr>
          <w:sz w:val="19"/>
        </w:rPr>
        <w:tab/>
      </w:r>
      <w:r>
        <w:rPr>
          <w:sz w:val="19"/>
        </w:rPr>
        <w:t>13</w:t>
      </w:r>
    </w:p>
    <w:p>
      <w:pPr>
        <w:tabs>
          <w:tab w:pos="8674" w:val="right" w:leader="dot"/>
        </w:tabs>
        <w:spacing w:after="0" w:line="240" w:lineRule="auto"/>
        <w:ind w:left="255"/>
      </w:pPr>
      <w:hyperlink w:anchor="h_16_Clients_Supabase_et_fronti_r" w:history="1">
        <w:r>
          <w:rPr>
            <w:rStyle w:val="Hyperlink"/>
            <w:color w:val="302082"/>
            <w:sz w:val="19"/>
            <w:szCs w:val="19"/>
          </w:rPr>
          <w:t>Clients Supabase et frontières de privilège</w:t>
        </w:r>
      </w:hyperlink>
      <w:r>
        <w:rPr>
          <w:sz w:val="19"/>
        </w:rPr>
        <w:tab/>
      </w:r>
      <w:r>
        <w:rPr>
          <w:sz w:val="19"/>
        </w:rPr>
        <w:t>13</w:t>
      </w:r>
    </w:p>
    <w:p>
      <w:pPr>
        <w:tabs>
          <w:tab w:pos="8674" w:val="right" w:leader="dot"/>
        </w:tabs>
        <w:spacing w:after="0" w:line="240" w:lineRule="auto"/>
        <w:ind w:left="255"/>
      </w:pPr>
      <w:hyperlink w:anchor="h_17_Coh_rence__idempotence_et_tr" w:history="1">
        <w:r>
          <w:rPr>
            <w:rStyle w:val="Hyperlink"/>
            <w:color w:val="302082"/>
            <w:sz w:val="19"/>
            <w:szCs w:val="19"/>
          </w:rPr>
          <w:t>Cohérence, idempotence et transactions distribuées</w:t>
        </w:r>
      </w:hyperlink>
      <w:r>
        <w:rPr>
          <w:sz w:val="19"/>
        </w:rPr>
        <w:tab/>
      </w:r>
      <w:r>
        <w:rPr>
          <w:sz w:val="19"/>
        </w:rPr>
        <w:t>14</w:t>
      </w:r>
    </w:p>
    <w:p>
      <w:pPr>
        <w:tabs>
          <w:tab w:pos="8674" w:val="right" w:leader="dot"/>
        </w:tabs>
        <w:spacing w:after="0" w:line="240" w:lineRule="auto"/>
        <w:ind w:left="255"/>
      </w:pPr>
      <w:hyperlink w:anchor="h_18_Storage__migrations_et_types" w:history="1">
        <w:r>
          <w:rPr>
            <w:rStyle w:val="Hyperlink"/>
            <w:color w:val="302082"/>
            <w:sz w:val="19"/>
            <w:szCs w:val="19"/>
          </w:rPr>
          <w:t>Storage, migrations et types</w:t>
        </w:r>
      </w:hyperlink>
      <w:r>
        <w:rPr>
          <w:sz w:val="19"/>
        </w:rPr>
        <w:tab/>
      </w:r>
      <w:r>
        <w:rPr>
          <w:sz w:val="19"/>
        </w:rPr>
        <w:t>14</w:t>
      </w:r>
    </w:p>
    <w:p>
      <w:pPr>
        <w:tabs>
          <w:tab w:pos="8674" w:val="right" w:leader="dot"/>
        </w:tabs>
        <w:spacing w:after="0" w:line="240" w:lineRule="auto"/>
        <w:ind w:left="0"/>
      </w:pPr>
      <w:hyperlink w:anchor="h_19_Catalogue__panier_et_interna" w:history="1">
        <w:r>
          <w:rPr>
            <w:rStyle w:val="Hyperlink"/>
            <w:color w:val="302082"/>
            <w:sz w:val="19"/>
            <w:szCs w:val="19"/>
          </w:rPr>
          <w:t>Catalogue, panier et internationalisation</w:t>
        </w:r>
      </w:hyperlink>
      <w:r>
        <w:rPr>
          <w:sz w:val="19"/>
        </w:rPr>
        <w:tab/>
      </w:r>
      <w:r>
        <w:rPr>
          <w:sz w:val="19"/>
        </w:rPr>
        <w:t>15</w:t>
      </w:r>
    </w:p>
    <w:p>
      <w:pPr>
        <w:tabs>
          <w:tab w:pos="8674" w:val="right" w:leader="dot"/>
        </w:tabs>
        <w:spacing w:after="0" w:line="240" w:lineRule="auto"/>
        <w:ind w:left="0"/>
      </w:pPr>
      <w:hyperlink w:anchor="h_20_Architecture_du_commerce_Str" w:history="1">
        <w:r>
          <w:rPr>
            <w:rStyle w:val="Hyperlink"/>
            <w:color w:val="302082"/>
            <w:sz w:val="19"/>
            <w:szCs w:val="19"/>
          </w:rPr>
          <w:t>Architecture du commerce Stripe</w:t>
        </w:r>
      </w:hyperlink>
      <w:r>
        <w:rPr>
          <w:sz w:val="19"/>
        </w:rPr>
        <w:tab/>
      </w:r>
      <w:r>
        <w:rPr>
          <w:sz w:val="19"/>
        </w:rPr>
        <w:t>15</w:t>
      </w:r>
    </w:p>
    <w:p>
      <w:pPr>
        <w:tabs>
          <w:tab w:pos="8674" w:val="right" w:leader="dot"/>
        </w:tabs>
        <w:spacing w:after="0" w:line="240" w:lineRule="auto"/>
        <w:ind w:left="255"/>
      </w:pPr>
      <w:hyperlink w:anchor="h_21_Cr_ation_et_finalisation_de_" w:history="1">
        <w:r>
          <w:rPr>
            <w:rStyle w:val="Hyperlink"/>
            <w:color w:val="302082"/>
            <w:sz w:val="19"/>
            <w:szCs w:val="19"/>
          </w:rPr>
          <w:t>Création et finalisation de commande</w:t>
        </w:r>
      </w:hyperlink>
      <w:r>
        <w:rPr>
          <w:sz w:val="19"/>
        </w:rPr>
        <w:tab/>
      </w:r>
      <w:r>
        <w:rPr>
          <w:sz w:val="19"/>
        </w:rPr>
        <w:t>15</w:t>
      </w:r>
    </w:p>
    <w:p>
      <w:pPr>
        <w:tabs>
          <w:tab w:pos="8674" w:val="right" w:leader="dot"/>
        </w:tabs>
        <w:spacing w:after="0" w:line="240" w:lineRule="auto"/>
        <w:ind w:left="255"/>
      </w:pPr>
      <w:hyperlink w:anchor="h_22_Abonnements___ch_anciers_et_" w:history="1">
        <w:r>
          <w:rPr>
            <w:rStyle w:val="Hyperlink"/>
            <w:color w:val="302082"/>
            <w:sz w:val="19"/>
            <w:szCs w:val="19"/>
          </w:rPr>
          <w:t>Abonnements, échéanciers et factures</w:t>
        </w:r>
      </w:hyperlink>
      <w:r>
        <w:rPr>
          <w:sz w:val="19"/>
        </w:rPr>
        <w:tab/>
      </w:r>
      <w:r>
        <w:rPr>
          <w:sz w:val="19"/>
        </w:rPr>
        <w:t>16</w:t>
      </w:r>
    </w:p>
    <w:p>
      <w:pPr>
        <w:tabs>
          <w:tab w:pos="8674" w:val="right" w:leader="dot"/>
        </w:tabs>
        <w:spacing w:after="0" w:line="240" w:lineRule="auto"/>
        <w:ind w:left="255"/>
      </w:pPr>
      <w:hyperlink w:anchor="h_23_D_cisions_et_compromis_finan" w:history="1">
        <w:r>
          <w:rPr>
            <w:rStyle w:val="Hyperlink"/>
            <w:color w:val="302082"/>
            <w:sz w:val="19"/>
            <w:szCs w:val="19"/>
          </w:rPr>
          <w:t>Décisions et compromis financiers</w:t>
        </w:r>
      </w:hyperlink>
      <w:r>
        <w:rPr>
          <w:sz w:val="19"/>
        </w:rPr>
        <w:tab/>
      </w:r>
      <w:r>
        <w:rPr>
          <w:sz w:val="19"/>
        </w:rPr>
        <w:t>16</w:t>
      </w:r>
    </w:p>
    <w:p>
      <w:pPr>
        <w:tabs>
          <w:tab w:pos="8674" w:val="right" w:leader="dot"/>
        </w:tabs>
        <w:spacing w:after="0" w:line="240" w:lineRule="auto"/>
        <w:ind w:left="0"/>
      </w:pPr>
      <w:hyperlink w:anchor="h_24_BackOffice__reporting_et_op_" w:history="1">
        <w:r>
          <w:rPr>
            <w:rStyle w:val="Hyperlink"/>
            <w:color w:val="302082"/>
            <w:sz w:val="19"/>
            <w:szCs w:val="19"/>
          </w:rPr>
          <w:t>BackOffice, reporting et opérations sensibles</w:t>
        </w:r>
      </w:hyperlink>
      <w:r>
        <w:rPr>
          <w:sz w:val="19"/>
        </w:rPr>
        <w:tab/>
      </w:r>
      <w:r>
        <w:rPr>
          <w:sz w:val="19"/>
        </w:rPr>
        <w:t>17</w:t>
      </w:r>
    </w:p>
    <w:p>
      <w:pPr>
        <w:tabs>
          <w:tab w:pos="8674" w:val="right" w:leader="dot"/>
        </w:tabs>
        <w:spacing w:after="0" w:line="240" w:lineRule="auto"/>
        <w:ind w:left="255"/>
      </w:pPr>
      <w:hyperlink w:anchor="h_25_G_n_ration_du_rapport_commer" w:history="1">
        <w:r>
          <w:rPr>
            <w:rStyle w:val="Hyperlink"/>
            <w:color w:val="302082"/>
            <w:sz w:val="19"/>
            <w:szCs w:val="19"/>
          </w:rPr>
          <w:t>Génération du rapport commerce</w:t>
        </w:r>
      </w:hyperlink>
      <w:r>
        <w:rPr>
          <w:sz w:val="19"/>
        </w:rPr>
        <w:tab/>
      </w:r>
      <w:r>
        <w:rPr>
          <w:sz w:val="19"/>
        </w:rPr>
        <w:t>17</w:t>
      </w:r>
    </w:p>
    <w:p>
      <w:pPr>
        <w:tabs>
          <w:tab w:pos="8674" w:val="right" w:leader="dot"/>
        </w:tabs>
        <w:spacing w:after="0" w:line="240" w:lineRule="auto"/>
        <w:ind w:left="255"/>
      </w:pPr>
      <w:hyperlink w:anchor="h_26_R_initialisation_MFA_et_audi" w:history="1">
        <w:r>
          <w:rPr>
            <w:rStyle w:val="Hyperlink"/>
            <w:color w:val="302082"/>
            <w:sz w:val="19"/>
            <w:szCs w:val="19"/>
          </w:rPr>
          <w:t>Réinitialisation MFA et audit</w:t>
        </w:r>
      </w:hyperlink>
      <w:r>
        <w:rPr>
          <w:sz w:val="19"/>
        </w:rPr>
        <w:tab/>
      </w:r>
      <w:r>
        <w:rPr>
          <w:sz w:val="19"/>
        </w:rPr>
        <w:t>17</w:t>
      </w:r>
    </w:p>
    <w:p>
      <w:pPr>
        <w:tabs>
          <w:tab w:pos="8674" w:val="right" w:leader="dot"/>
        </w:tabs>
        <w:spacing w:after="0" w:line="240" w:lineRule="auto"/>
        <w:ind w:left="0"/>
      </w:pPr>
      <w:hyperlink w:anchor="h_27_Architecture_d_taill_e_de_Cy" w:history="1">
        <w:r>
          <w:rPr>
            <w:rStyle w:val="Hyperlink"/>
            <w:color w:val="302082"/>
            <w:sz w:val="19"/>
            <w:szCs w:val="19"/>
          </w:rPr>
          <w:t>Architecture détaillée de CynAI</w:t>
        </w:r>
      </w:hyperlink>
      <w:r>
        <w:rPr>
          <w:sz w:val="19"/>
        </w:rPr>
        <w:tab/>
      </w:r>
      <w:r>
        <w:rPr>
          <w:sz w:val="19"/>
        </w:rPr>
        <w:t>18</w:t>
      </w:r>
    </w:p>
    <w:p>
      <w:pPr>
        <w:tabs>
          <w:tab w:pos="8674" w:val="right" w:leader="dot"/>
        </w:tabs>
        <w:spacing w:after="0" w:line="240" w:lineRule="auto"/>
        <w:ind w:left="255"/>
      </w:pPr>
      <w:hyperlink w:anchor="h_28_Contrat_et_boucle_de_g_n_rat" w:history="1">
        <w:r>
          <w:rPr>
            <w:rStyle w:val="Hyperlink"/>
            <w:color w:val="302082"/>
            <w:sz w:val="19"/>
            <w:szCs w:val="19"/>
          </w:rPr>
          <w:t>Contrat et boucle de génération</w:t>
        </w:r>
      </w:hyperlink>
      <w:r>
        <w:rPr>
          <w:sz w:val="19"/>
        </w:rPr>
        <w:tab/>
      </w:r>
      <w:r>
        <w:rPr>
          <w:sz w:val="19"/>
        </w:rPr>
        <w:t>18</w:t>
      </w:r>
    </w:p>
    <w:p>
      <w:pPr>
        <w:tabs>
          <w:tab w:pos="8674" w:val="right" w:leader="dot"/>
        </w:tabs>
        <w:spacing w:after="0" w:line="240" w:lineRule="auto"/>
        <w:ind w:left="255"/>
      </w:pPr>
      <w:hyperlink w:anchor="h_29_Outils_et_minimisation" w:history="1">
        <w:r>
          <w:rPr>
            <w:rStyle w:val="Hyperlink"/>
            <w:color w:val="302082"/>
            <w:sz w:val="19"/>
            <w:szCs w:val="19"/>
          </w:rPr>
          <w:t>Outils et minimisation</w:t>
        </w:r>
      </w:hyperlink>
      <w:r>
        <w:rPr>
          <w:sz w:val="19"/>
        </w:rPr>
        <w:tab/>
      </w:r>
      <w:r>
        <w:rPr>
          <w:sz w:val="19"/>
        </w:rPr>
        <w:t>19</w:t>
      </w:r>
    </w:p>
    <w:p>
      <w:pPr>
        <w:tabs>
          <w:tab w:pos="8674" w:val="right" w:leader="dot"/>
        </w:tabs>
        <w:spacing w:after="0" w:line="240" w:lineRule="auto"/>
        <w:ind w:left="255"/>
      </w:pPr>
      <w:hyperlink w:anchor="h_30_Propri_t___r_tention_et_audi" w:history="1">
        <w:r>
          <w:rPr>
            <w:rStyle w:val="Hyperlink"/>
            <w:color w:val="302082"/>
            <w:sz w:val="19"/>
            <w:szCs w:val="19"/>
          </w:rPr>
          <w:t>Propriété, rétention et audit</w:t>
        </w:r>
      </w:hyperlink>
      <w:r>
        <w:rPr>
          <w:sz w:val="19"/>
        </w:rPr>
        <w:tab/>
      </w:r>
      <w:r>
        <w:rPr>
          <w:sz w:val="19"/>
        </w:rPr>
        <w:t>19</w:t>
      </w:r>
    </w:p>
    <w:p>
      <w:pPr>
        <w:tabs>
          <w:tab w:pos="8674" w:val="right" w:leader="dot"/>
        </w:tabs>
        <w:spacing w:after="0" w:line="240" w:lineRule="auto"/>
        <w:ind w:left="0"/>
      </w:pPr>
      <w:hyperlink w:anchor="h_31_Qualit__logicielle_et_modes_" w:history="1">
        <w:r>
          <w:rPr>
            <w:rStyle w:val="Hyperlink"/>
            <w:color w:val="302082"/>
            <w:sz w:val="19"/>
            <w:szCs w:val="19"/>
          </w:rPr>
          <w:t>Qualité logicielle et modes de défaillance</w:t>
        </w:r>
      </w:hyperlink>
      <w:r>
        <w:rPr>
          <w:sz w:val="19"/>
        </w:rPr>
        <w:tab/>
      </w:r>
      <w:r>
        <w:rPr>
          <w:sz w:val="19"/>
        </w:rPr>
        <w:t>19</w:t>
      </w:r>
    </w:p>
    <w:p>
      <w:pPr>
        <w:tabs>
          <w:tab w:pos="8674" w:val="right" w:leader="dot"/>
        </w:tabs>
        <w:spacing w:after="0" w:line="240" w:lineRule="auto"/>
        <w:ind w:left="0"/>
      </w:pPr>
      <w:hyperlink w:anchor="h_32_Int_gration_continue_et_obse" w:history="1">
        <w:r>
          <w:rPr>
            <w:rStyle w:val="Hyperlink"/>
            <w:color w:val="302082"/>
            <w:sz w:val="19"/>
            <w:szCs w:val="19"/>
          </w:rPr>
          <w:t>Intégration continue et observabilité</w:t>
        </w:r>
      </w:hyperlink>
      <w:r>
        <w:rPr>
          <w:sz w:val="19"/>
        </w:rPr>
        <w:tab/>
      </w:r>
      <w:r>
        <w:rPr>
          <w:sz w:val="19"/>
        </w:rPr>
        <w:t>20</w:t>
      </w:r>
    </w:p>
    <w:p>
      <w:pPr>
        <w:tabs>
          <w:tab w:pos="8674" w:val="right" w:leader="dot"/>
        </w:tabs>
        <w:spacing w:after="0" w:line="240" w:lineRule="auto"/>
        <w:ind w:left="0"/>
      </w:pPr>
      <w:hyperlink w:anchor="h_33_Mod_le_conceptuel_de_donn_es" w:history="1">
        <w:r>
          <w:rPr>
            <w:rStyle w:val="Hyperlink"/>
            <w:color w:val="302082"/>
            <w:sz w:val="19"/>
            <w:szCs w:val="19"/>
          </w:rPr>
          <w:t>Modèle conceptuel de données</w:t>
        </w:r>
      </w:hyperlink>
      <w:r>
        <w:rPr>
          <w:sz w:val="19"/>
        </w:rPr>
        <w:tab/>
      </w:r>
      <w:r>
        <w:rPr>
          <w:sz w:val="19"/>
        </w:rPr>
        <w:t>21</w:t>
      </w:r>
    </w:p>
    <w:p>
      <w:pPr>
        <w:tabs>
          <w:tab w:pos="8674" w:val="right" w:leader="dot"/>
        </w:tabs>
        <w:spacing w:after="0" w:line="240" w:lineRule="auto"/>
        <w:ind w:left="255"/>
      </w:pPr>
      <w:hyperlink w:anchor="h_34_Vue_catalogue" w:history="1">
        <w:r>
          <w:rPr>
            <w:rStyle w:val="Hyperlink"/>
            <w:color w:val="302082"/>
            <w:sz w:val="19"/>
            <w:szCs w:val="19"/>
          </w:rPr>
          <w:t>Vue catalogue</w:t>
        </w:r>
      </w:hyperlink>
      <w:r>
        <w:rPr>
          <w:sz w:val="19"/>
        </w:rPr>
        <w:tab/>
      </w:r>
      <w:r>
        <w:rPr>
          <w:sz w:val="19"/>
        </w:rPr>
        <w:t>22</w:t>
      </w:r>
    </w:p>
    <w:p>
      <w:pPr>
        <w:tabs>
          <w:tab w:pos="8674" w:val="right" w:leader="dot"/>
        </w:tabs>
        <w:spacing w:after="0" w:line="240" w:lineRule="auto"/>
        <w:ind w:left="255"/>
      </w:pPr>
      <w:hyperlink w:anchor="h_35_Vue_commerce" w:history="1">
        <w:r>
          <w:rPr>
            <w:rStyle w:val="Hyperlink"/>
            <w:color w:val="302082"/>
            <w:sz w:val="19"/>
            <w:szCs w:val="19"/>
          </w:rPr>
          <w:t>Vue commerce</w:t>
        </w:r>
      </w:hyperlink>
      <w:r>
        <w:rPr>
          <w:sz w:val="19"/>
        </w:rPr>
        <w:tab/>
      </w:r>
      <w:r>
        <w:rPr>
          <w:sz w:val="19"/>
        </w:rPr>
        <w:t>23</w:t>
      </w:r>
    </w:p>
    <w:p>
      <w:pPr>
        <w:tabs>
          <w:tab w:pos="8674" w:val="right" w:leader="dot"/>
        </w:tabs>
        <w:spacing w:after="0" w:line="240" w:lineRule="auto"/>
        <w:ind w:left="255"/>
      </w:pPr>
      <w:hyperlink w:anchor="h_36_Vue_support_et_chatbot" w:history="1">
        <w:r>
          <w:rPr>
            <w:rStyle w:val="Hyperlink"/>
            <w:color w:val="302082"/>
            <w:sz w:val="19"/>
            <w:szCs w:val="19"/>
          </w:rPr>
          <w:t>Vue support et chatbot</w:t>
        </w:r>
      </w:hyperlink>
      <w:r>
        <w:rPr>
          <w:sz w:val="19"/>
        </w:rPr>
        <w:tab/>
      </w:r>
      <w:r>
        <w:rPr>
          <w:sz w:val="19"/>
        </w:rPr>
        <w:t>24</w:t>
      </w:r>
    </w:p>
    <w:p>
      <w:pPr>
        <w:tabs>
          <w:tab w:pos="8674" w:val="right" w:leader="dot"/>
        </w:tabs>
        <w:spacing w:after="0" w:line="240" w:lineRule="auto"/>
        <w:ind w:left="255"/>
      </w:pPr>
      <w:hyperlink w:anchor="h_37_Vue_CMS__i18n_et_audit" w:history="1">
        <w:r>
          <w:rPr>
            <w:rStyle w:val="Hyperlink"/>
            <w:color w:val="302082"/>
            <w:sz w:val="19"/>
            <w:szCs w:val="19"/>
          </w:rPr>
          <w:t>Vue CMS, i18n et audit</w:t>
        </w:r>
      </w:hyperlink>
      <w:r>
        <w:rPr>
          <w:sz w:val="19"/>
        </w:rPr>
        <w:tab/>
      </w:r>
      <w:r>
        <w:rPr>
          <w:sz w:val="19"/>
        </w:rPr>
        <w:t>25</w:t>
      </w:r>
    </w:p>
    <w:p>
      <w:pPr>
        <w:tabs>
          <w:tab w:pos="8674" w:val="right" w:leader="dot"/>
        </w:tabs>
        <w:spacing w:after="0" w:line="240" w:lineRule="auto"/>
        <w:ind w:left="0"/>
      </w:pPr>
      <w:hyperlink w:anchor="h_38_Dictionnaire_physique_des_28" w:history="1">
        <w:r>
          <w:rPr>
            <w:rStyle w:val="Hyperlink"/>
            <w:color w:val="302082"/>
            <w:sz w:val="19"/>
            <w:szCs w:val="19"/>
          </w:rPr>
          <w:t>Dictionnaire physique des 28 tables</w:t>
        </w:r>
      </w:hyperlink>
      <w:r>
        <w:rPr>
          <w:sz w:val="19"/>
        </w:rPr>
        <w:tab/>
      </w:r>
      <w:r>
        <w:rPr>
          <w:sz w:val="19"/>
        </w:rPr>
        <w:t>26</w:t>
      </w:r>
    </w:p>
    <w:p>
      <w:pPr>
        <w:tabs>
          <w:tab w:pos="8674" w:val="right" w:leader="dot"/>
        </w:tabs>
        <w:spacing w:after="0" w:line="240" w:lineRule="auto"/>
        <w:ind w:left="255"/>
      </w:pPr>
      <w:hyperlink w:anchor="h_39_Lecture_op_rationnelle_du_di" w:history="1">
        <w:r>
          <w:rPr>
            <w:rStyle w:val="Hyperlink"/>
            <w:color w:val="302082"/>
            <w:sz w:val="19"/>
            <w:szCs w:val="19"/>
          </w:rPr>
          <w:t>Lecture opérationnelle du dictionnaire</w:t>
        </w:r>
      </w:hyperlink>
      <w:r>
        <w:rPr>
          <w:sz w:val="19"/>
        </w:rPr>
        <w:tab/>
      </w:r>
      <w:r>
        <w:rPr>
          <w:sz w:val="19"/>
        </w:rPr>
        <w:t>27</w:t>
      </w:r>
    </w:p>
    <w:p>
      <w:pPr>
        <w:tabs>
          <w:tab w:pos="8674" w:val="right" w:leader="dot"/>
        </w:tabs>
        <w:spacing w:after="0" w:line="240" w:lineRule="auto"/>
        <w:ind w:left="0"/>
      </w:pPr>
      <w:hyperlink w:anchor="h_40_D_cisions_techniques_et_dett" w:history="1">
        <w:r>
          <w:rPr>
            <w:rStyle w:val="Hyperlink"/>
            <w:color w:val="302082"/>
            <w:sz w:val="19"/>
            <w:szCs w:val="19"/>
          </w:rPr>
          <w:t>Décisions techniques et dette suivie</w:t>
        </w:r>
      </w:hyperlink>
      <w:r>
        <w:rPr>
          <w:sz w:val="19"/>
        </w:rPr>
        <w:tab/>
      </w:r>
      <w:r>
        <w:rPr>
          <w:sz w:val="19"/>
        </w:rPr>
        <w:t>28</w:t>
      </w:r>
    </w:p>
    <w:p>
      <w:r>
        <w:br w:type="page"/>
      </w:r>
    </w:p>
    <w:p>
      <w:bookmarkStart w:id="1" w:name="h_1_Synth_se_architecturale"/>
      <w:pPr>
        <w:pStyle w:val="Heading1"/>
      </w:pPr>
      <w:r>
        <w:t>Synthèse architecturale</w:t>
      </w:r>
      <w:bookmarkEnd w:id="1"/>
    </w:p>
    <w:p>
      <w:r>
        <w:t xml:space="preserve">CYNA est une application Next.js 16 App Router écrite en TypeScript, déployée sur Netlify avec </w:t>
      </w:r>
      <w:r>
        <w:rPr>
          <w:rFonts w:ascii="Consolas" w:hAnsi="Consolas"/>
          <w:color w:val="4A339E"/>
          <w:sz w:val="18"/>
        </w:rPr>
        <w:t>@netlify/plugin-nextjs</w:t>
      </w:r>
      <w:r>
        <w:t>. Le navigateur consomme des pages React localisées et cinq routes HTTP publiques. Les Server Components et Server Actions concentrent les accès métier. Supabase fournit PostgreSQL, Auth, Row Level Security et Storage ; Stripe porte le paiement et les abonnements ; Gemini produit les réponses CynAI ; Sentry reçoit uniquement les erreurs applicatives filtrées. La couche de présentation repose sur Tailwind CSS 4, des primitives shadcn/Base UI et une approche mobile-first. Le présent DAT inclut enfin un MCD cardinalisé, quatre vues physiques et le dictionnaire des 28 tables du schéma métier.</w:t>
      </w:r>
    </w:p>
    <w:p>
      <w:pPr>
        <w:keepNext/>
        <w:jc w:val="center"/>
      </w:pPr>
      <w:r>
        <w:drawing>
          <wp:inline xmlns:a="http://schemas.openxmlformats.org/drawingml/2006/main" xmlns:pic="http://schemas.openxmlformats.org/drawingml/2006/picture">
            <wp:extent cx="5652000" cy="1768365"/>
            <wp:docPr id="2" name="Picture 2" descr="Contexte, conteneurs et flux externes" title="Contexte, conteneurs et flux externes"/>
            <wp:cNvGraphicFramePr>
              <a:graphicFrameLocks noChangeAspect="1"/>
            </wp:cNvGraphicFramePr>
            <a:graphic>
              <a:graphicData uri="http://schemas.openxmlformats.org/drawingml/2006/picture">
                <pic:pic>
                  <pic:nvPicPr>
                    <pic:cNvPr id="0" name="01-architecture.png"/>
                    <pic:cNvPicPr/>
                  </pic:nvPicPr>
                  <pic:blipFill>
                    <a:blip r:embed="rId10"/>
                    <a:stretch>
                      <a:fillRect/>
                    </a:stretch>
                  </pic:blipFill>
                  <pic:spPr>
                    <a:xfrm>
                      <a:off x="0" y="0"/>
                      <a:ext cx="5652000" cy="1768365"/>
                    </a:xfrm>
                    <a:prstGeom prst="rect"/>
                  </pic:spPr>
                </pic:pic>
              </a:graphicData>
            </a:graphic>
          </wp:inline>
        </w:drawing>
      </w:r>
    </w:p>
    <w:p>
      <w:pPr>
        <w:pStyle w:val="CYNACaption"/>
      </w:pPr>
      <w:r>
        <w:t>Contexte, conteneurs et flux externes</w:t>
      </w:r>
    </w:p>
    <w:p>
      <w:bookmarkStart w:id="2" w:name="h_2_Principes_structurants"/>
      <w:pPr>
        <w:pStyle w:val="Heading2"/>
      </w:pPr>
      <w:r>
        <w:t>Principes structurants</w:t>
      </w:r>
      <w:bookmarkEnd w:id="2"/>
    </w:p>
    <w:p>
      <w:pPr>
        <w:pStyle w:val="ListBullet"/>
      </w:pPr>
      <w:r>
        <w:t>Le serveur est l'autorité pour prix, rôles, propriété des données et transitions financières.</w:t>
      </w:r>
    </w:p>
    <w:p>
      <w:pPr>
        <w:pStyle w:val="ListBullet"/>
      </w:pPr>
      <w:r>
        <w:rPr>
          <w:rFonts w:ascii="Consolas" w:hAnsi="Consolas"/>
          <w:color w:val="4A339E"/>
          <w:sz w:val="18"/>
        </w:rPr>
        <w:t>auth.users</w:t>
      </w:r>
      <w:r>
        <w:t xml:space="preserve"> est le système d'identité externe au schéma public ; </w:t>
      </w:r>
      <w:r>
        <w:rPr>
          <w:rFonts w:ascii="Consolas" w:hAnsi="Consolas"/>
          <w:color w:val="4A339E"/>
          <w:sz w:val="18"/>
        </w:rPr>
        <w:t>utilisateur</w:t>
      </w:r>
      <w:r>
        <w:t xml:space="preserve"> est son profil métier.</w:t>
      </w:r>
    </w:p>
    <w:p>
      <w:pPr>
        <w:pStyle w:val="ListBullet"/>
      </w:pPr>
      <w:r>
        <w:t>Le navigateur n'obtient que les clés publiques Supabase et Sentry. Les clés service role, Stripe, Gemini et upload Sentry restent serveur.</w:t>
      </w:r>
    </w:p>
    <w:p>
      <w:pPr>
        <w:pStyle w:val="ListBullet"/>
      </w:pPr>
      <w:r>
        <w:t>Les événements Stripe sont la source de vérité asynchrone du paiement ; les écritures sont réentrantes et idempotentes.</w:t>
      </w:r>
    </w:p>
    <w:p>
      <w:pPr>
        <w:pStyle w:val="ListBullet"/>
      </w:pPr>
      <w:r>
        <w:t>Le chatbot utilise des outils applicatifs explicites et des cartes typées ; il ne dispose pas d'un SQL ou d'un accès Supabase générique.</w:t>
      </w:r>
    </w:p>
    <w:p>
      <w:pPr>
        <w:pStyle w:val="ListBullet"/>
      </w:pPr>
      <w:r>
        <w:t>Les contenus traduisibles sont séparés de leurs entités stables afin de conserver une clé métier indépendante de la locale.</w:t>
      </w:r>
    </w:p>
    <w:p>
      <w:bookmarkStart w:id="3" w:name="h_3_Architecture_runtime_et_d_pl"/>
      <w:pPr>
        <w:pStyle w:val="Heading1"/>
      </w:pPr>
      <w:r>
        <w:t>Architecture runtime et déploiement</w:t>
      </w:r>
      <w:bookmarkEnd w:id="3"/>
    </w:p>
    <w:p>
      <w:bookmarkStart w:id="4" w:name="h_4_Composants_d_ex_cution"/>
      <w:pPr>
        <w:pStyle w:val="Heading2"/>
      </w:pPr>
      <w:r>
        <w:t>Composants d'exécution</w:t>
      </w:r>
      <w:bookmarkEnd w:id="4"/>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202"/>
        <w:gridCol w:w="2659"/>
        <w:gridCol w:w="2659"/>
        <w:gridCol w:w="2659"/>
      </w:tblGrid>
      <w:tr>
        <w:trPr>
          <w:tblHeader w:val="true"/>
        </w:trPr>
        <w:tc>
          <w:tcPr>
            <w:tcW w:type="dxa" w:w="1202"/>
            <w:tcMar>
              <w:top w:w="80" w:type="dxa"/>
              <w:start w:w="110" w:type="dxa"/>
              <w:bottom w:w="80" w:type="dxa"/>
              <w:end w:w="110" w:type="dxa"/>
            </w:tcMar>
            <w:vAlign w:val="center"/>
            <w:shd w:fill="E8EEF5"/>
          </w:tcPr>
          <w:p>
            <w:pPr>
              <w:spacing w:after="0" w:line="240" w:lineRule="auto"/>
            </w:pPr>
            <w:r>
              <w:rPr>
                <w:b/>
                <w:color w:val="302082"/>
                <w:sz w:val="17"/>
              </w:rPr>
              <w:t>Composant</w:t>
            </w:r>
          </w:p>
        </w:tc>
        <w:tc>
          <w:tcPr>
            <w:tcW w:type="dxa" w:w="2659"/>
            <w:tcMar>
              <w:top w:w="80" w:type="dxa"/>
              <w:start w:w="110" w:type="dxa"/>
              <w:bottom w:w="80" w:type="dxa"/>
              <w:end w:w="110" w:type="dxa"/>
            </w:tcMar>
            <w:vAlign w:val="center"/>
            <w:shd w:fill="E8EEF5"/>
          </w:tcPr>
          <w:p>
            <w:pPr>
              <w:spacing w:after="0" w:line="240" w:lineRule="auto"/>
            </w:pPr>
            <w:r>
              <w:rPr>
                <w:b/>
                <w:color w:val="302082"/>
                <w:sz w:val="17"/>
              </w:rPr>
              <w:t>Technologie</w:t>
            </w:r>
          </w:p>
        </w:tc>
        <w:tc>
          <w:tcPr>
            <w:tcW w:type="dxa" w:w="2659"/>
            <w:tcMar>
              <w:top w:w="80" w:type="dxa"/>
              <w:start w:w="110" w:type="dxa"/>
              <w:bottom w:w="80" w:type="dxa"/>
              <w:end w:w="110" w:type="dxa"/>
            </w:tcMar>
            <w:vAlign w:val="center"/>
            <w:shd w:fill="E8EEF5"/>
          </w:tcPr>
          <w:p>
            <w:pPr>
              <w:spacing w:after="0" w:line="240" w:lineRule="auto"/>
            </w:pPr>
            <w:r>
              <w:rPr>
                <w:b/>
                <w:color w:val="302082"/>
                <w:sz w:val="17"/>
              </w:rPr>
              <w:t>Responsabilité</w:t>
            </w:r>
          </w:p>
        </w:tc>
        <w:tc>
          <w:tcPr>
            <w:tcW w:type="dxa" w:w="2659"/>
            <w:tcMar>
              <w:top w:w="80" w:type="dxa"/>
              <w:start w:w="110" w:type="dxa"/>
              <w:bottom w:w="80" w:type="dxa"/>
              <w:end w:w="110" w:type="dxa"/>
            </w:tcMar>
            <w:vAlign w:val="center"/>
            <w:shd w:fill="E8EEF5"/>
          </w:tcPr>
          <w:p>
            <w:pPr>
              <w:spacing w:after="0" w:line="240" w:lineRule="auto"/>
            </w:pPr>
            <w:r>
              <w:rPr>
                <w:b/>
                <w:color w:val="302082"/>
                <w:sz w:val="17"/>
              </w:rPr>
              <w:t>Données sensibles</w:t>
            </w:r>
          </w:p>
        </w:tc>
      </w:tr>
      <w:tr>
        <w:tc>
          <w:tcPr>
            <w:tcW w:type="dxa" w:w="1202"/>
            <w:tcMar>
              <w:top w:w="80" w:type="dxa"/>
              <w:start w:w="110" w:type="dxa"/>
              <w:bottom w:w="80" w:type="dxa"/>
              <w:end w:w="110" w:type="dxa"/>
            </w:tcMar>
            <w:vAlign w:val="center"/>
          </w:tcPr>
          <w:p>
            <w:pPr>
              <w:spacing w:after="0" w:line="240" w:lineRule="auto"/>
            </w:pPr>
            <w:r>
              <w:rPr>
                <w:sz w:val="17"/>
              </w:rPr>
              <w:t>Frontend</w:t>
            </w:r>
          </w:p>
        </w:tc>
        <w:tc>
          <w:tcPr>
            <w:tcW w:type="dxa" w:w="2659"/>
            <w:tcMar>
              <w:top w:w="80" w:type="dxa"/>
              <w:start w:w="110" w:type="dxa"/>
              <w:bottom w:w="80" w:type="dxa"/>
              <w:end w:w="110" w:type="dxa"/>
            </w:tcMar>
            <w:vAlign w:val="center"/>
          </w:tcPr>
          <w:p>
            <w:pPr>
              <w:spacing w:after="0" w:line="240" w:lineRule="auto"/>
            </w:pPr>
            <w:r>
              <w:rPr>
                <w:sz w:val="17"/>
              </w:rPr>
              <w:t>React, Next.js App Router, next-intl</w:t>
            </w:r>
          </w:p>
        </w:tc>
        <w:tc>
          <w:tcPr>
            <w:tcW w:type="dxa" w:w="2659"/>
            <w:tcMar>
              <w:top w:w="80" w:type="dxa"/>
              <w:start w:w="110" w:type="dxa"/>
              <w:bottom w:w="80" w:type="dxa"/>
              <w:end w:w="110" w:type="dxa"/>
            </w:tcMar>
            <w:vAlign w:val="center"/>
          </w:tcPr>
          <w:p>
            <w:pPr>
              <w:spacing w:after="0" w:line="240" w:lineRule="auto"/>
            </w:pPr>
            <w:r>
              <w:rPr>
                <w:sz w:val="17"/>
              </w:rPr>
              <w:t>Navigation, rendu localisé, formulaires, cartes CynAI</w:t>
            </w:r>
          </w:p>
        </w:tc>
        <w:tc>
          <w:tcPr>
            <w:tcW w:type="dxa" w:w="2659"/>
            <w:tcMar>
              <w:top w:w="80" w:type="dxa"/>
              <w:start w:w="110" w:type="dxa"/>
              <w:bottom w:w="80" w:type="dxa"/>
              <w:end w:w="110" w:type="dxa"/>
            </w:tcMar>
            <w:vAlign w:val="center"/>
          </w:tcPr>
          <w:p>
            <w:pPr>
              <w:spacing w:after="0" w:line="240" w:lineRule="auto"/>
            </w:pPr>
            <w:r>
              <w:rPr>
                <w:sz w:val="17"/>
              </w:rPr>
              <w:t>Session via cookies, état du panier</w:t>
            </w:r>
          </w:p>
        </w:tc>
      </w:tr>
      <w:tr>
        <w:tc>
          <w:tcPr>
            <w:tcW w:type="dxa" w:w="1202"/>
            <w:tcMar>
              <w:top w:w="80" w:type="dxa"/>
              <w:start w:w="110" w:type="dxa"/>
              <w:bottom w:w="80" w:type="dxa"/>
              <w:end w:w="110" w:type="dxa"/>
            </w:tcMar>
            <w:vAlign w:val="center"/>
            <w:shd w:fill="F8F7FC"/>
          </w:tcPr>
          <w:p>
            <w:pPr>
              <w:spacing w:after="0" w:line="240" w:lineRule="auto"/>
            </w:pPr>
            <w:r>
              <w:rPr>
                <w:sz w:val="17"/>
              </w:rPr>
              <w:t>Runtime Netlify</w:t>
            </w:r>
          </w:p>
        </w:tc>
        <w:tc>
          <w:tcPr>
            <w:tcW w:type="dxa" w:w="2659"/>
            <w:tcMar>
              <w:top w:w="80" w:type="dxa"/>
              <w:start w:w="110" w:type="dxa"/>
              <w:bottom w:w="80" w:type="dxa"/>
              <w:end w:w="110" w:type="dxa"/>
            </w:tcMar>
            <w:vAlign w:val="center"/>
            <w:shd w:fill="F8F7FC"/>
          </w:tcPr>
          <w:p>
            <w:pPr>
              <w:spacing w:after="0" w:line="240" w:lineRule="auto"/>
            </w:pPr>
            <w:r>
              <w:rPr>
                <w:sz w:val="17"/>
              </w:rPr>
              <w:t xml:space="preserve">Node.js 22, </w:t>
            </w:r>
            <w:r>
              <w:rPr>
                <w:rFonts w:ascii="Consolas" w:hAnsi="Consolas"/>
                <w:color w:val="4A339E"/>
                <w:sz w:val="17"/>
              </w:rPr>
              <w:t>@netlify/plugin-nextjs</w:t>
            </w:r>
            <w:r>
              <w:rPr>
                <w:sz w:val="17"/>
              </w:rPr>
              <w:t xml:space="preserve"> 5</w:t>
            </w:r>
          </w:p>
        </w:tc>
        <w:tc>
          <w:tcPr>
            <w:tcW w:type="dxa" w:w="2659"/>
            <w:tcMar>
              <w:top w:w="80" w:type="dxa"/>
              <w:start w:w="110" w:type="dxa"/>
              <w:bottom w:w="80" w:type="dxa"/>
              <w:end w:w="110" w:type="dxa"/>
            </w:tcMar>
            <w:vAlign w:val="center"/>
            <w:shd w:fill="F8F7FC"/>
          </w:tcPr>
          <w:p>
            <w:pPr>
              <w:spacing w:after="0" w:line="240" w:lineRule="auto"/>
            </w:pPr>
            <w:r>
              <w:rPr>
                <w:sz w:val="17"/>
              </w:rPr>
              <w:t>SSR, routes HTTP, Server Actions, instrumentation</w:t>
            </w:r>
          </w:p>
        </w:tc>
        <w:tc>
          <w:tcPr>
            <w:tcW w:type="dxa" w:w="2659"/>
            <w:tcMar>
              <w:top w:w="80" w:type="dxa"/>
              <w:start w:w="110" w:type="dxa"/>
              <w:bottom w:w="80" w:type="dxa"/>
              <w:end w:w="110" w:type="dxa"/>
            </w:tcMar>
            <w:vAlign w:val="center"/>
            <w:shd w:fill="F8F7FC"/>
          </w:tcPr>
          <w:p>
            <w:pPr>
              <w:spacing w:after="0" w:line="240" w:lineRule="auto"/>
            </w:pPr>
            <w:r>
              <w:rPr>
                <w:sz w:val="17"/>
              </w:rPr>
              <w:t>Secrets serveur et cookies de session</w:t>
            </w:r>
          </w:p>
        </w:tc>
      </w:tr>
      <w:tr>
        <w:tc>
          <w:tcPr>
            <w:tcW w:type="dxa" w:w="1202"/>
            <w:tcMar>
              <w:top w:w="80" w:type="dxa"/>
              <w:start w:w="110" w:type="dxa"/>
              <w:bottom w:w="80" w:type="dxa"/>
              <w:end w:w="110" w:type="dxa"/>
            </w:tcMar>
            <w:vAlign w:val="center"/>
          </w:tcPr>
          <w:p>
            <w:pPr>
              <w:spacing w:after="0" w:line="240" w:lineRule="auto"/>
            </w:pPr>
            <w:r>
              <w:rPr>
                <w:sz w:val="17"/>
              </w:rPr>
              <w:t>Supabase Auth</w:t>
            </w:r>
          </w:p>
        </w:tc>
        <w:tc>
          <w:tcPr>
            <w:tcW w:type="dxa" w:w="2659"/>
            <w:tcMar>
              <w:top w:w="80" w:type="dxa"/>
              <w:start w:w="110" w:type="dxa"/>
              <w:bottom w:w="80" w:type="dxa"/>
              <w:end w:w="110" w:type="dxa"/>
            </w:tcMar>
            <w:vAlign w:val="center"/>
          </w:tcPr>
          <w:p>
            <w:pPr>
              <w:spacing w:after="0" w:line="240" w:lineRule="auto"/>
            </w:pPr>
            <w:r>
              <w:rPr>
                <w:sz w:val="17"/>
              </w:rPr>
              <w:t>GoTrue managé</w:t>
            </w:r>
          </w:p>
        </w:tc>
        <w:tc>
          <w:tcPr>
            <w:tcW w:type="dxa" w:w="2659"/>
            <w:tcMar>
              <w:top w:w="80" w:type="dxa"/>
              <w:start w:w="110" w:type="dxa"/>
              <w:bottom w:w="80" w:type="dxa"/>
              <w:end w:w="110" w:type="dxa"/>
            </w:tcMar>
            <w:vAlign w:val="center"/>
          </w:tcPr>
          <w:p>
            <w:pPr>
              <w:spacing w:after="0" w:line="240" w:lineRule="auto"/>
            </w:pPr>
            <w:r>
              <w:rPr>
                <w:sz w:val="17"/>
              </w:rPr>
              <w:t>Session, PKCE, MFA TOTP, AAL</w:t>
            </w:r>
          </w:p>
        </w:tc>
        <w:tc>
          <w:tcPr>
            <w:tcW w:type="dxa" w:w="2659"/>
            <w:tcMar>
              <w:top w:w="80" w:type="dxa"/>
              <w:start w:w="110" w:type="dxa"/>
              <w:bottom w:w="80" w:type="dxa"/>
              <w:end w:w="110" w:type="dxa"/>
            </w:tcMar>
            <w:vAlign w:val="center"/>
          </w:tcPr>
          <w:p>
            <w:pPr>
              <w:spacing w:after="0" w:line="240" w:lineRule="auto"/>
            </w:pPr>
            <w:r>
              <w:rPr>
                <w:sz w:val="17"/>
              </w:rPr>
              <w:t>Identité et facteurs MFA</w:t>
            </w:r>
          </w:p>
        </w:tc>
      </w:tr>
      <w:tr>
        <w:tc>
          <w:tcPr>
            <w:tcW w:type="dxa" w:w="1202"/>
            <w:tcMar>
              <w:top w:w="80" w:type="dxa"/>
              <w:start w:w="110" w:type="dxa"/>
              <w:bottom w:w="80" w:type="dxa"/>
              <w:end w:w="110" w:type="dxa"/>
            </w:tcMar>
            <w:vAlign w:val="center"/>
            <w:shd w:fill="F8F7FC"/>
          </w:tcPr>
          <w:p>
            <w:pPr>
              <w:spacing w:after="0" w:line="240" w:lineRule="auto"/>
            </w:pPr>
            <w:r>
              <w:rPr>
                <w:sz w:val="17"/>
              </w:rPr>
              <w:t>PostgreSQL Supabase</w:t>
            </w:r>
          </w:p>
        </w:tc>
        <w:tc>
          <w:tcPr>
            <w:tcW w:type="dxa" w:w="2659"/>
            <w:tcMar>
              <w:top w:w="80" w:type="dxa"/>
              <w:start w:w="110" w:type="dxa"/>
              <w:bottom w:w="80" w:type="dxa"/>
              <w:end w:w="110" w:type="dxa"/>
            </w:tcMar>
            <w:vAlign w:val="center"/>
            <w:shd w:fill="F8F7FC"/>
          </w:tcPr>
          <w:p>
            <w:pPr>
              <w:spacing w:after="0" w:line="240" w:lineRule="auto"/>
            </w:pPr>
            <w:r>
              <w:rPr>
                <w:sz w:val="17"/>
              </w:rPr>
              <w:t>PostgreSQL, RLS, RPC</w:t>
            </w:r>
          </w:p>
        </w:tc>
        <w:tc>
          <w:tcPr>
            <w:tcW w:type="dxa" w:w="2659"/>
            <w:tcMar>
              <w:top w:w="80" w:type="dxa"/>
              <w:start w:w="110" w:type="dxa"/>
              <w:bottom w:w="80" w:type="dxa"/>
              <w:end w:w="110" w:type="dxa"/>
            </w:tcMar>
            <w:vAlign w:val="center"/>
            <w:shd w:fill="F8F7FC"/>
          </w:tcPr>
          <w:p>
            <w:pPr>
              <w:spacing w:after="0" w:line="240" w:lineRule="auto"/>
            </w:pPr>
            <w:r>
              <w:rPr>
                <w:sz w:val="17"/>
              </w:rPr>
              <w:t>Catalogue, commerce, support, CMS, chat</w:t>
            </w:r>
          </w:p>
        </w:tc>
        <w:tc>
          <w:tcPr>
            <w:tcW w:type="dxa" w:w="2659"/>
            <w:tcMar>
              <w:top w:w="80" w:type="dxa"/>
              <w:start w:w="110" w:type="dxa"/>
              <w:bottom w:w="80" w:type="dxa"/>
              <w:end w:w="110" w:type="dxa"/>
            </w:tcMar>
            <w:vAlign w:val="center"/>
            <w:shd w:fill="F8F7FC"/>
          </w:tcPr>
          <w:p>
            <w:pPr>
              <w:spacing w:after="0" w:line="240" w:lineRule="auto"/>
            </w:pPr>
            <w:r>
              <w:rPr>
                <w:sz w:val="17"/>
              </w:rPr>
              <w:t>Profils, commandes, tickets, conversations</w:t>
            </w:r>
          </w:p>
        </w:tc>
      </w:tr>
      <w:tr>
        <w:tc>
          <w:tcPr>
            <w:tcW w:type="dxa" w:w="1202"/>
            <w:tcMar>
              <w:top w:w="80" w:type="dxa"/>
              <w:start w:w="110" w:type="dxa"/>
              <w:bottom w:w="80" w:type="dxa"/>
              <w:end w:w="110" w:type="dxa"/>
            </w:tcMar>
            <w:vAlign w:val="center"/>
          </w:tcPr>
          <w:p>
            <w:pPr>
              <w:spacing w:after="0" w:line="240" w:lineRule="auto"/>
            </w:pPr>
            <w:r>
              <w:rPr>
                <w:sz w:val="17"/>
              </w:rPr>
              <w:t>Supabase Storage</w:t>
            </w:r>
          </w:p>
        </w:tc>
        <w:tc>
          <w:tcPr>
            <w:tcW w:type="dxa" w:w="2659"/>
            <w:tcMar>
              <w:top w:w="80" w:type="dxa"/>
              <w:start w:w="110" w:type="dxa"/>
              <w:bottom w:w="80" w:type="dxa"/>
              <w:end w:w="110" w:type="dxa"/>
            </w:tcMar>
            <w:vAlign w:val="center"/>
          </w:tcPr>
          <w:p>
            <w:pPr>
              <w:spacing w:after="0" w:line="240" w:lineRule="auto"/>
            </w:pPr>
            <w:r>
              <w:rPr>
                <w:sz w:val="17"/>
              </w:rPr>
              <w:t>Buckets privés/publics selon usage</w:t>
            </w:r>
          </w:p>
        </w:tc>
        <w:tc>
          <w:tcPr>
            <w:tcW w:type="dxa" w:w="2659"/>
            <w:tcMar>
              <w:top w:w="80" w:type="dxa"/>
              <w:start w:w="110" w:type="dxa"/>
              <w:bottom w:w="80" w:type="dxa"/>
              <w:end w:w="110" w:type="dxa"/>
            </w:tcMar>
            <w:vAlign w:val="center"/>
          </w:tcPr>
          <w:p>
            <w:pPr>
              <w:spacing w:after="0" w:line="240" w:lineRule="auto"/>
            </w:pPr>
            <w:r>
              <w:rPr>
                <w:sz w:val="17"/>
              </w:rPr>
              <w:t>Images et factures Stripe copiées</w:t>
            </w:r>
          </w:p>
        </w:tc>
        <w:tc>
          <w:tcPr>
            <w:tcW w:type="dxa" w:w="2659"/>
            <w:tcMar>
              <w:top w:w="80" w:type="dxa"/>
              <w:start w:w="110" w:type="dxa"/>
              <w:bottom w:w="80" w:type="dxa"/>
              <w:end w:w="110" w:type="dxa"/>
            </w:tcMar>
            <w:vAlign w:val="center"/>
          </w:tcPr>
          <w:p>
            <w:pPr>
              <w:spacing w:after="0" w:line="240" w:lineRule="auto"/>
            </w:pPr>
            <w:r>
              <w:rPr>
                <w:sz w:val="17"/>
              </w:rPr>
              <w:t>PDF de facture privé</w:t>
            </w:r>
          </w:p>
        </w:tc>
      </w:tr>
      <w:tr>
        <w:tc>
          <w:tcPr>
            <w:tcW w:type="dxa" w:w="1202"/>
            <w:tcMar>
              <w:top w:w="80" w:type="dxa"/>
              <w:start w:w="110" w:type="dxa"/>
              <w:bottom w:w="80" w:type="dxa"/>
              <w:end w:w="110" w:type="dxa"/>
            </w:tcMar>
            <w:vAlign w:val="center"/>
            <w:shd w:fill="F8F7FC"/>
          </w:tcPr>
          <w:p>
            <w:pPr>
              <w:spacing w:after="0" w:line="240" w:lineRule="auto"/>
            </w:pPr>
            <w:r>
              <w:rPr>
                <w:sz w:val="17"/>
              </w:rPr>
              <w:t>Stripe</w:t>
            </w:r>
          </w:p>
        </w:tc>
        <w:tc>
          <w:tcPr>
            <w:tcW w:type="dxa" w:w="2659"/>
            <w:tcMar>
              <w:top w:w="80" w:type="dxa"/>
              <w:start w:w="110" w:type="dxa"/>
              <w:bottom w:w="80" w:type="dxa"/>
              <w:end w:w="110" w:type="dxa"/>
            </w:tcMar>
            <w:vAlign w:val="center"/>
            <w:shd w:fill="F8F7FC"/>
          </w:tcPr>
          <w:p>
            <w:pPr>
              <w:spacing w:after="0" w:line="240" w:lineRule="auto"/>
            </w:pPr>
            <w:r>
              <w:rPr>
                <w:sz w:val="17"/>
              </w:rPr>
              <w:t>Checkout, Billing, Customer Portal, Webhooks</w:t>
            </w:r>
          </w:p>
        </w:tc>
        <w:tc>
          <w:tcPr>
            <w:tcW w:type="dxa" w:w="2659"/>
            <w:tcMar>
              <w:top w:w="80" w:type="dxa"/>
              <w:start w:w="110" w:type="dxa"/>
              <w:bottom w:w="80" w:type="dxa"/>
              <w:end w:w="110" w:type="dxa"/>
            </w:tcMar>
            <w:vAlign w:val="center"/>
            <w:shd w:fill="F8F7FC"/>
          </w:tcPr>
          <w:p>
            <w:pPr>
              <w:spacing w:after="0" w:line="240" w:lineRule="auto"/>
            </w:pPr>
            <w:r>
              <w:rPr>
                <w:sz w:val="17"/>
              </w:rPr>
              <w:t>Paiement, abonnements, factures</w:t>
            </w:r>
          </w:p>
        </w:tc>
        <w:tc>
          <w:tcPr>
            <w:tcW w:type="dxa" w:w="2659"/>
            <w:tcMar>
              <w:top w:w="80" w:type="dxa"/>
              <w:start w:w="110" w:type="dxa"/>
              <w:bottom w:w="80" w:type="dxa"/>
              <w:end w:w="110" w:type="dxa"/>
            </w:tcMar>
            <w:vAlign w:val="center"/>
            <w:shd w:fill="F8F7FC"/>
          </w:tcPr>
          <w:p>
            <w:pPr>
              <w:spacing w:after="0" w:line="240" w:lineRule="auto"/>
            </w:pPr>
            <w:r>
              <w:rPr>
                <w:sz w:val="17"/>
              </w:rPr>
              <w:t>Données de paiement gérées par Stripe</w:t>
            </w:r>
          </w:p>
        </w:tc>
      </w:tr>
      <w:tr>
        <w:tc>
          <w:tcPr>
            <w:tcW w:type="dxa" w:w="1202"/>
            <w:tcMar>
              <w:top w:w="80" w:type="dxa"/>
              <w:start w:w="110" w:type="dxa"/>
              <w:bottom w:w="80" w:type="dxa"/>
              <w:end w:w="110" w:type="dxa"/>
            </w:tcMar>
            <w:vAlign w:val="center"/>
          </w:tcPr>
          <w:p>
            <w:pPr>
              <w:spacing w:after="0" w:line="240" w:lineRule="auto"/>
            </w:pPr>
            <w:r>
              <w:rPr>
                <w:sz w:val="17"/>
              </w:rPr>
              <w:t>Gemini</w:t>
            </w:r>
          </w:p>
        </w:tc>
        <w:tc>
          <w:tcPr>
            <w:tcW w:type="dxa" w:w="2659"/>
            <w:tcMar>
              <w:top w:w="80" w:type="dxa"/>
              <w:start w:w="110" w:type="dxa"/>
              <w:bottom w:w="80" w:type="dxa"/>
              <w:end w:w="110" w:type="dxa"/>
            </w:tcMar>
            <w:vAlign w:val="center"/>
          </w:tcPr>
          <w:p>
            <w:pPr>
              <w:spacing w:after="0" w:line="240" w:lineRule="auto"/>
            </w:pPr>
            <w:r>
              <w:rPr>
                <w:sz w:val="17"/>
              </w:rPr>
              <w:t>Google GenAI</w:t>
            </w:r>
          </w:p>
        </w:tc>
        <w:tc>
          <w:tcPr>
            <w:tcW w:type="dxa" w:w="2659"/>
            <w:tcMar>
              <w:top w:w="80" w:type="dxa"/>
              <w:start w:w="110" w:type="dxa"/>
              <w:bottom w:w="80" w:type="dxa"/>
              <w:end w:w="110" w:type="dxa"/>
            </w:tcMar>
            <w:vAlign w:val="center"/>
          </w:tcPr>
          <w:p>
            <w:pPr>
              <w:spacing w:after="0" w:line="240" w:lineRule="auto"/>
            </w:pPr>
            <w:r>
              <w:rPr>
                <w:sz w:val="17"/>
              </w:rPr>
              <w:t>Génération CynAI et appels d'outils</w:t>
            </w:r>
          </w:p>
        </w:tc>
        <w:tc>
          <w:tcPr>
            <w:tcW w:type="dxa" w:w="2659"/>
            <w:tcMar>
              <w:top w:w="80" w:type="dxa"/>
              <w:start w:w="110" w:type="dxa"/>
              <w:bottom w:w="80" w:type="dxa"/>
              <w:end w:w="110" w:type="dxa"/>
            </w:tcMar>
            <w:vAlign w:val="center"/>
          </w:tcPr>
          <w:p>
            <w:pPr>
              <w:spacing w:after="0" w:line="240" w:lineRule="auto"/>
            </w:pPr>
            <w:r>
              <w:rPr>
                <w:sz w:val="17"/>
              </w:rPr>
              <w:t>Tours conversationnels nécessaires</w:t>
            </w:r>
          </w:p>
        </w:tc>
      </w:tr>
      <w:tr>
        <w:tc>
          <w:tcPr>
            <w:tcW w:type="dxa" w:w="1202"/>
            <w:tcMar>
              <w:top w:w="80" w:type="dxa"/>
              <w:start w:w="110" w:type="dxa"/>
              <w:bottom w:w="80" w:type="dxa"/>
              <w:end w:w="110" w:type="dxa"/>
            </w:tcMar>
            <w:vAlign w:val="center"/>
            <w:shd w:fill="F8F7FC"/>
          </w:tcPr>
          <w:p>
            <w:pPr>
              <w:spacing w:after="0" w:line="240" w:lineRule="auto"/>
            </w:pPr>
            <w:r>
              <w:rPr>
                <w:sz w:val="17"/>
              </w:rPr>
              <w:t>Sentry</w:t>
            </w:r>
          </w:p>
        </w:tc>
        <w:tc>
          <w:tcPr>
            <w:tcW w:type="dxa" w:w="2659"/>
            <w:tcMar>
              <w:top w:w="80" w:type="dxa"/>
              <w:start w:w="110" w:type="dxa"/>
              <w:bottom w:w="80" w:type="dxa"/>
              <w:end w:w="110" w:type="dxa"/>
            </w:tcMar>
            <w:vAlign w:val="center"/>
            <w:shd w:fill="F8F7FC"/>
          </w:tcPr>
          <w:p>
            <w:pPr>
              <w:spacing w:after="0" w:line="240" w:lineRule="auto"/>
            </w:pPr>
            <w:r>
              <w:rPr>
                <w:sz w:val="17"/>
              </w:rPr>
              <w:t>SDK Next.js</w:t>
            </w:r>
          </w:p>
        </w:tc>
        <w:tc>
          <w:tcPr>
            <w:tcW w:type="dxa" w:w="2659"/>
            <w:tcMar>
              <w:top w:w="80" w:type="dxa"/>
              <w:start w:w="110" w:type="dxa"/>
              <w:bottom w:w="80" w:type="dxa"/>
              <w:end w:w="110" w:type="dxa"/>
            </w:tcMar>
            <w:vAlign w:val="center"/>
            <w:shd w:fill="F8F7FC"/>
          </w:tcPr>
          <w:p>
            <w:pPr>
              <w:spacing w:after="0" w:line="240" w:lineRule="auto"/>
            </w:pPr>
            <w:r>
              <w:rPr>
                <w:sz w:val="17"/>
              </w:rPr>
              <w:t>Erreurs client, serveur et edge filtrées</w:t>
            </w:r>
          </w:p>
        </w:tc>
        <w:tc>
          <w:tcPr>
            <w:tcW w:type="dxa" w:w="2659"/>
            <w:tcMar>
              <w:top w:w="80" w:type="dxa"/>
              <w:start w:w="110" w:type="dxa"/>
              <w:bottom w:w="80" w:type="dxa"/>
              <w:end w:w="110" w:type="dxa"/>
            </w:tcMar>
            <w:vAlign w:val="center"/>
            <w:shd w:fill="F8F7FC"/>
          </w:tcPr>
          <w:p>
            <w:pPr>
              <w:spacing w:after="0" w:line="240" w:lineRule="auto"/>
            </w:pPr>
            <w:r>
              <w:rPr>
                <w:sz w:val="17"/>
              </w:rPr>
              <w:t>Aucun PII par défaut ; payload épuré</w:t>
            </w:r>
          </w:p>
        </w:tc>
      </w:tr>
    </w:tbl>
    <w:p>
      <w:pPr>
        <w:spacing w:after="0"/>
      </w:pPr>
    </w:p>
    <w:p>
      <w:pPr>
        <w:keepNext/>
        <w:jc w:val="center"/>
      </w:pPr>
      <w:r>
        <w:drawing>
          <wp:inline xmlns:a="http://schemas.openxmlformats.org/drawingml/2006/main" xmlns:pic="http://schemas.openxmlformats.org/drawingml/2006/picture">
            <wp:extent cx="5652000" cy="3496326"/>
            <wp:docPr id="3" name="Picture 3" descr="Topologie de déploiement Netlify et services managés" title="Topologie de déploiement Netlify et services managés"/>
            <wp:cNvGraphicFramePr>
              <a:graphicFrameLocks noChangeAspect="1"/>
            </wp:cNvGraphicFramePr>
            <a:graphic>
              <a:graphicData uri="http://schemas.openxmlformats.org/drawingml/2006/picture">
                <pic:pic>
                  <pic:nvPicPr>
                    <pic:cNvPr id="0" name="02-deploiement.png"/>
                    <pic:cNvPicPr/>
                  </pic:nvPicPr>
                  <pic:blipFill>
                    <a:blip r:embed="rId11"/>
                    <a:stretch>
                      <a:fillRect/>
                    </a:stretch>
                  </pic:blipFill>
                  <pic:spPr>
                    <a:xfrm>
                      <a:off x="0" y="0"/>
                      <a:ext cx="5652000" cy="3496326"/>
                    </a:xfrm>
                    <a:prstGeom prst="rect"/>
                  </pic:spPr>
                </pic:pic>
              </a:graphicData>
            </a:graphic>
          </wp:inline>
        </w:drawing>
      </w:r>
    </w:p>
    <w:p>
      <w:pPr>
        <w:pStyle w:val="CYNACaption"/>
      </w:pPr>
      <w:r>
        <w:t>Topologie de déploiement Netlify et services managés</w:t>
      </w:r>
    </w:p>
    <w:p>
      <w:r>
        <w:t xml:space="preserve">Le </w:t>
      </w:r>
      <w:r>
        <w:rPr>
          <w:rFonts w:ascii="Consolas" w:hAnsi="Consolas"/>
          <w:color w:val="4A339E"/>
          <w:sz w:val="18"/>
        </w:rPr>
        <w:t>netlify.toml</w:t>
      </w:r>
      <w:r>
        <w:t xml:space="preserve"> racine fixe </w:t>
      </w:r>
      <w:r>
        <w:rPr>
          <w:rFonts w:ascii="Consolas" w:hAnsi="Consolas"/>
          <w:color w:val="4A339E"/>
          <w:sz w:val="18"/>
        </w:rPr>
        <w:t>base = webapp-cyna</w:t>
      </w:r>
      <w:r>
        <w:t xml:space="preserve">, </w:t>
      </w:r>
      <w:r>
        <w:rPr>
          <w:rFonts w:ascii="Consolas" w:hAnsi="Consolas"/>
          <w:color w:val="4A339E"/>
          <w:sz w:val="18"/>
        </w:rPr>
        <w:t>command = npm run build</w:t>
      </w:r>
      <w:r>
        <w:t xml:space="preserve">, </w:t>
      </w:r>
      <w:r>
        <w:rPr>
          <w:rFonts w:ascii="Consolas" w:hAnsi="Consolas"/>
          <w:color w:val="4A339E"/>
          <w:sz w:val="18"/>
        </w:rPr>
        <w:t>publish = .next</w:t>
      </w:r>
      <w:r>
        <w:t xml:space="preserve"> et </w:t>
      </w:r>
      <w:r>
        <w:rPr>
          <w:rFonts w:ascii="Consolas" w:hAnsi="Consolas"/>
          <w:color w:val="4A339E"/>
          <w:sz w:val="18"/>
        </w:rPr>
        <w:t>NODE_VERSION = 22</w:t>
      </w:r>
      <w:r>
        <w:t xml:space="preserve">. Il déclare </w:t>
      </w:r>
      <w:r>
        <w:rPr>
          <w:rFonts w:ascii="Consolas" w:hAnsi="Consolas"/>
          <w:color w:val="4A339E"/>
          <w:sz w:val="18"/>
        </w:rPr>
        <w:t>@netlify/plugin-nextjs</w:t>
      </w:r>
      <w:r>
        <w:t xml:space="preserve">, également présent dans les </w:t>
      </w:r>
      <w:r>
        <w:rPr>
          <w:rFonts w:ascii="Consolas" w:hAnsi="Consolas"/>
          <w:color w:val="4A339E"/>
          <w:sz w:val="18"/>
        </w:rPr>
        <w:t>devDependencies</w:t>
      </w:r>
      <w:r>
        <w:t>, afin que Netlify transforme correctement le build Next.js en fonctions et ressources de plateforme. Il ne contient aucun secret. Les variables Preview peuvent pointer vers des environnements de test ; les variables Stripe production, la clé Gemini et le DSN Sentry production sont limitées au contexte Production. Un PR construit une preview, mais ne déploie pas la production par GitHub Actions.</w:t>
      </w:r>
    </w:p>
    <w:p>
      <w:bookmarkStart w:id="5" w:name="h_5_Organisation_applicative"/>
      <w:pPr>
        <w:pStyle w:val="Heading2"/>
      </w:pPr>
      <w:r>
        <w:t>Organisation applicative</w:t>
      </w:r>
      <w:bookmarkEnd w:id="5"/>
    </w:p>
    <w:p>
      <w:r>
        <w:t xml:space="preserve">L'arborescence </w:t>
      </w:r>
      <w:r>
        <w:rPr>
          <w:rFonts w:ascii="Consolas" w:hAnsi="Consolas"/>
          <w:color w:val="4A339E"/>
          <w:sz w:val="18"/>
        </w:rPr>
        <w:t>src/app/[locale]</w:t>
      </w:r>
      <w:r>
        <w:t xml:space="preserve"> porte les routes d'interface. </w:t>
      </w:r>
      <w:r>
        <w:rPr>
          <w:rFonts w:ascii="Consolas" w:hAnsi="Consolas"/>
          <w:color w:val="4A339E"/>
          <w:sz w:val="18"/>
        </w:rPr>
        <w:t>src/app/api</w:t>
      </w:r>
      <w:r>
        <w:t xml:space="preserve"> expose les cinq endpoints HTTP. </w:t>
      </w:r>
      <w:r>
        <w:rPr>
          <w:rFonts w:ascii="Consolas" w:hAnsi="Consolas"/>
          <w:color w:val="4A339E"/>
          <w:sz w:val="18"/>
        </w:rPr>
        <w:t>src/lib</w:t>
      </w:r>
      <w:r>
        <w:t xml:space="preserve"> regroupe les services par domaine : catalogue, panier, checkout, Stripe, commandes, abonnements, support, chat, Gemini, administration, authentification, i18n et observabilité. Les types Supabase générés sont dans </w:t>
      </w:r>
      <w:r>
        <w:rPr>
          <w:rFonts w:ascii="Consolas" w:hAnsi="Consolas"/>
          <w:color w:val="4A339E"/>
          <w:sz w:val="18"/>
        </w:rPr>
        <w:t>src/types/database.types.ts</w:t>
      </w:r>
      <w:r>
        <w:t>. Cette séparation évite de dupliquer les règles de recherche ou de sécurité entre l'interface et le chatbot.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230"/>
        <w:gridCol w:w="3974"/>
        <w:gridCol w:w="3974"/>
      </w:tblGrid>
      <w:tr>
        <w:trPr>
          <w:tblHeader w:val="true"/>
        </w:trPr>
        <w:tc>
          <w:tcPr>
            <w:tcW w:type="dxa" w:w="1230"/>
            <w:tcMar>
              <w:top w:w="80" w:type="dxa"/>
              <w:start w:w="110" w:type="dxa"/>
              <w:bottom w:w="80" w:type="dxa"/>
              <w:end w:w="110" w:type="dxa"/>
            </w:tcMar>
            <w:vAlign w:val="center"/>
            <w:shd w:fill="E8EEF5"/>
          </w:tcPr>
          <w:p>
            <w:pPr>
              <w:spacing w:after="0" w:line="240" w:lineRule="auto"/>
            </w:pPr>
            <w:r>
              <w:rPr>
                <w:b/>
                <w:color w:val="302082"/>
                <w:sz w:val="17"/>
              </w:rPr>
              <w:t>Couche</w:t>
            </w:r>
          </w:p>
        </w:tc>
        <w:tc>
          <w:tcPr>
            <w:tcW w:type="dxa" w:w="3974"/>
            <w:tcMar>
              <w:top w:w="80" w:type="dxa"/>
              <w:start w:w="110" w:type="dxa"/>
              <w:bottom w:w="80" w:type="dxa"/>
              <w:end w:w="110" w:type="dxa"/>
            </w:tcMar>
            <w:vAlign w:val="center"/>
            <w:shd w:fill="E8EEF5"/>
          </w:tcPr>
          <w:p>
            <w:pPr>
              <w:spacing w:after="0" w:line="240" w:lineRule="auto"/>
            </w:pPr>
            <w:r>
              <w:rPr>
                <w:b/>
                <w:color w:val="302082"/>
                <w:sz w:val="17"/>
              </w:rPr>
              <w:t>Convention</w:t>
            </w:r>
          </w:p>
        </w:tc>
        <w:tc>
          <w:tcPr>
            <w:tcW w:type="dxa" w:w="3974"/>
            <w:tcMar>
              <w:top w:w="80" w:type="dxa"/>
              <w:start w:w="110" w:type="dxa"/>
              <w:bottom w:w="80" w:type="dxa"/>
              <w:end w:w="110" w:type="dxa"/>
            </w:tcMar>
            <w:vAlign w:val="center"/>
            <w:shd w:fill="E8EEF5"/>
          </w:tcPr>
          <w:p>
            <w:pPr>
              <w:spacing w:after="0" w:line="240" w:lineRule="auto"/>
            </w:pPr>
            <w:r>
              <w:rPr>
                <w:b/>
                <w:color w:val="302082"/>
                <w:sz w:val="17"/>
              </w:rPr>
              <w:t>Exemple</w:t>
            </w:r>
          </w:p>
        </w:tc>
      </w:tr>
      <w:tr>
        <w:tc>
          <w:tcPr>
            <w:tcW w:type="dxa" w:w="1230"/>
            <w:tcMar>
              <w:top w:w="80" w:type="dxa"/>
              <w:start w:w="110" w:type="dxa"/>
              <w:bottom w:w="80" w:type="dxa"/>
              <w:end w:w="110" w:type="dxa"/>
            </w:tcMar>
            <w:vAlign w:val="center"/>
          </w:tcPr>
          <w:p>
            <w:pPr>
              <w:spacing w:after="0" w:line="240" w:lineRule="auto"/>
            </w:pPr>
            <w:r>
              <w:rPr>
                <w:sz w:val="17"/>
              </w:rPr>
              <w:t>Présentation</w:t>
            </w:r>
          </w:p>
        </w:tc>
        <w:tc>
          <w:tcPr>
            <w:tcW w:type="dxa" w:w="3974"/>
            <w:tcMar>
              <w:top w:w="80" w:type="dxa"/>
              <w:start w:w="110" w:type="dxa"/>
              <w:bottom w:w="80" w:type="dxa"/>
              <w:end w:w="110" w:type="dxa"/>
            </w:tcMar>
            <w:vAlign w:val="center"/>
          </w:tcPr>
          <w:p>
            <w:pPr>
              <w:spacing w:after="0" w:line="240" w:lineRule="auto"/>
            </w:pPr>
            <w:r>
              <w:rPr>
                <w:sz w:val="17"/>
              </w:rPr>
              <w:t>Server et Client Components localisés</w:t>
            </w:r>
          </w:p>
        </w:tc>
        <w:tc>
          <w:tcPr>
            <w:tcW w:type="dxa" w:w="3974"/>
            <w:tcMar>
              <w:top w:w="80" w:type="dxa"/>
              <w:start w:w="110" w:type="dxa"/>
              <w:bottom w:w="80" w:type="dxa"/>
              <w:end w:w="110" w:type="dxa"/>
            </w:tcMar>
            <w:vAlign w:val="center"/>
          </w:tcPr>
          <w:p>
            <w:pPr>
              <w:spacing w:after="0" w:line="240" w:lineRule="auto"/>
            </w:pPr>
            <w:r>
              <w:rPr>
                <w:sz w:val="17"/>
              </w:rPr>
              <w:t>Pages catalogue, compte et BackOffice</w:t>
            </w:r>
          </w:p>
        </w:tc>
      </w:tr>
      <w:tr>
        <w:tc>
          <w:tcPr>
            <w:tcW w:type="dxa" w:w="1230"/>
            <w:tcMar>
              <w:top w:w="80" w:type="dxa"/>
              <w:start w:w="110" w:type="dxa"/>
              <w:bottom w:w="80" w:type="dxa"/>
              <w:end w:w="110" w:type="dxa"/>
            </w:tcMar>
            <w:vAlign w:val="center"/>
            <w:shd w:fill="F8F7FC"/>
          </w:tcPr>
          <w:p>
            <w:pPr>
              <w:spacing w:after="0" w:line="240" w:lineRule="auto"/>
            </w:pPr>
            <w:r>
              <w:rPr>
                <w:sz w:val="17"/>
              </w:rPr>
              <w:t>Entrée HTTP</w:t>
            </w:r>
          </w:p>
        </w:tc>
        <w:tc>
          <w:tcPr>
            <w:tcW w:type="dxa" w:w="3974"/>
            <w:tcMar>
              <w:top w:w="80" w:type="dxa"/>
              <w:start w:w="110" w:type="dxa"/>
              <w:bottom w:w="80" w:type="dxa"/>
              <w:end w:w="110" w:type="dxa"/>
            </w:tcMar>
            <w:vAlign w:val="center"/>
            <w:shd w:fill="F8F7FC"/>
          </w:tcPr>
          <w:p>
            <w:pPr>
              <w:spacing w:after="0" w:line="240" w:lineRule="auto"/>
            </w:pPr>
            <w:r>
              <w:rPr>
                <w:rFonts w:ascii="Consolas" w:hAnsi="Consolas"/>
                <w:color w:val="4A339E"/>
                <w:sz w:val="17"/>
              </w:rPr>
              <w:t>route.ts</w:t>
            </w:r>
            <w:r>
              <w:rPr>
                <w:sz w:val="17"/>
              </w:rPr>
              <w:t>, validation et réponse explicites</w:t>
            </w:r>
          </w:p>
        </w:tc>
        <w:tc>
          <w:tcPr>
            <w:tcW w:type="dxa" w:w="3974"/>
            <w:tcMar>
              <w:top w:w="80" w:type="dxa"/>
              <w:start w:w="110" w:type="dxa"/>
              <w:bottom w:w="80" w:type="dxa"/>
              <w:end w:w="110" w:type="dxa"/>
            </w:tcMar>
            <w:vAlign w:val="center"/>
            <w:shd w:fill="F8F7FC"/>
          </w:tcPr>
          <w:p>
            <w:pPr>
              <w:spacing w:after="0" w:line="240" w:lineRule="auto"/>
            </w:pPr>
            <w:r>
              <w:rPr>
                <w:rFonts w:ascii="Consolas" w:hAnsi="Consolas"/>
                <w:color w:val="4A339E"/>
                <w:sz w:val="17"/>
              </w:rPr>
              <w:t>/api/chat</w:t>
            </w:r>
            <w:r>
              <w:rPr>
                <w:sz w:val="17"/>
              </w:rPr>
              <w:t xml:space="preserve">, </w:t>
            </w:r>
            <w:r>
              <w:rPr>
                <w:rFonts w:ascii="Consolas" w:hAnsi="Consolas"/>
                <w:color w:val="4A339E"/>
                <w:sz w:val="17"/>
              </w:rPr>
              <w:t>/api/webhooks/stripe</w:t>
            </w:r>
          </w:p>
        </w:tc>
      </w:tr>
      <w:tr>
        <w:tc>
          <w:tcPr>
            <w:tcW w:type="dxa" w:w="1230"/>
            <w:tcMar>
              <w:top w:w="80" w:type="dxa"/>
              <w:start w:w="110" w:type="dxa"/>
              <w:bottom w:w="80" w:type="dxa"/>
              <w:end w:w="110" w:type="dxa"/>
            </w:tcMar>
            <w:vAlign w:val="center"/>
          </w:tcPr>
          <w:p>
            <w:pPr>
              <w:spacing w:after="0" w:line="240" w:lineRule="auto"/>
            </w:pPr>
            <w:r>
              <w:rPr>
                <w:sz w:val="17"/>
              </w:rPr>
              <w:t>Orchestration</w:t>
            </w:r>
          </w:p>
        </w:tc>
        <w:tc>
          <w:tcPr>
            <w:tcW w:type="dxa" w:w="3974"/>
            <w:tcMar>
              <w:top w:w="80" w:type="dxa"/>
              <w:start w:w="110" w:type="dxa"/>
              <w:bottom w:w="80" w:type="dxa"/>
              <w:end w:w="110" w:type="dxa"/>
            </w:tcMar>
            <w:vAlign w:val="center"/>
          </w:tcPr>
          <w:p>
            <w:pPr>
              <w:spacing w:after="0" w:line="240" w:lineRule="auto"/>
            </w:pPr>
            <w:r>
              <w:rPr>
                <w:sz w:val="17"/>
              </w:rPr>
              <w:t>Server Actions ou services serveur</w:t>
            </w:r>
          </w:p>
        </w:tc>
        <w:tc>
          <w:tcPr>
            <w:tcW w:type="dxa" w:w="3974"/>
            <w:tcMar>
              <w:top w:w="80" w:type="dxa"/>
              <w:start w:w="110" w:type="dxa"/>
              <w:bottom w:w="80" w:type="dxa"/>
              <w:end w:w="110" w:type="dxa"/>
            </w:tcMar>
            <w:vAlign w:val="center"/>
          </w:tcPr>
          <w:p>
            <w:pPr>
              <w:spacing w:after="0" w:line="240" w:lineRule="auto"/>
            </w:pPr>
            <w:r>
              <w:rPr>
                <w:sz w:val="17"/>
              </w:rPr>
              <w:t>Création checkout, gestion portail client</w:t>
            </w:r>
          </w:p>
        </w:tc>
      </w:tr>
      <w:tr>
        <w:tc>
          <w:tcPr>
            <w:tcW w:type="dxa" w:w="1230"/>
            <w:tcMar>
              <w:top w:w="80" w:type="dxa"/>
              <w:start w:w="110" w:type="dxa"/>
              <w:bottom w:w="80" w:type="dxa"/>
              <w:end w:w="110" w:type="dxa"/>
            </w:tcMar>
            <w:vAlign w:val="center"/>
            <w:shd w:fill="F8F7FC"/>
          </w:tcPr>
          <w:p>
            <w:pPr>
              <w:spacing w:after="0" w:line="240" w:lineRule="auto"/>
            </w:pPr>
            <w:r>
              <w:rPr>
                <w:sz w:val="17"/>
              </w:rPr>
              <w:t>Domaine</w:t>
            </w:r>
          </w:p>
        </w:tc>
        <w:tc>
          <w:tcPr>
            <w:tcW w:type="dxa" w:w="3974"/>
            <w:tcMar>
              <w:top w:w="80" w:type="dxa"/>
              <w:start w:w="110" w:type="dxa"/>
              <w:bottom w:w="80" w:type="dxa"/>
              <w:end w:w="110" w:type="dxa"/>
            </w:tcMar>
            <w:vAlign w:val="center"/>
            <w:shd w:fill="F8F7FC"/>
          </w:tcPr>
          <w:p>
            <w:pPr>
              <w:spacing w:after="0" w:line="240" w:lineRule="auto"/>
            </w:pPr>
            <w:r>
              <w:rPr>
                <w:sz w:val="17"/>
              </w:rPr>
              <w:t>Fonctions pures ou services spécialisés</w:t>
            </w:r>
          </w:p>
        </w:tc>
        <w:tc>
          <w:tcPr>
            <w:tcW w:type="dxa" w:w="3974"/>
            <w:tcMar>
              <w:top w:w="80" w:type="dxa"/>
              <w:start w:w="110" w:type="dxa"/>
              <w:bottom w:w="80" w:type="dxa"/>
              <w:end w:w="110" w:type="dxa"/>
            </w:tcMar>
            <w:vAlign w:val="center"/>
            <w:shd w:fill="F8F7FC"/>
          </w:tcPr>
          <w:p>
            <w:pPr>
              <w:spacing w:after="0" w:line="240" w:lineRule="auto"/>
            </w:pPr>
            <w:r>
              <w:rPr>
                <w:sz w:val="17"/>
              </w:rPr>
              <w:t>statuts, promotions, rapports, accès support</w:t>
            </w:r>
          </w:p>
        </w:tc>
      </w:tr>
      <w:tr>
        <w:tc>
          <w:tcPr>
            <w:tcW w:type="dxa" w:w="1230"/>
            <w:tcMar>
              <w:top w:w="80" w:type="dxa"/>
              <w:start w:w="110" w:type="dxa"/>
              <w:bottom w:w="80" w:type="dxa"/>
              <w:end w:w="110" w:type="dxa"/>
            </w:tcMar>
            <w:vAlign w:val="center"/>
          </w:tcPr>
          <w:p>
            <w:pPr>
              <w:spacing w:after="0" w:line="240" w:lineRule="auto"/>
            </w:pPr>
            <w:r>
              <w:rPr>
                <w:sz w:val="17"/>
              </w:rPr>
              <w:t>Persistance</w:t>
            </w:r>
          </w:p>
        </w:tc>
        <w:tc>
          <w:tcPr>
            <w:tcW w:type="dxa" w:w="3974"/>
            <w:tcMar>
              <w:top w:w="80" w:type="dxa"/>
              <w:start w:w="110" w:type="dxa"/>
              <w:bottom w:w="80" w:type="dxa"/>
              <w:end w:w="110" w:type="dxa"/>
            </w:tcMar>
            <w:vAlign w:val="center"/>
          </w:tcPr>
          <w:p>
            <w:pPr>
              <w:spacing w:after="0" w:line="240" w:lineRule="auto"/>
            </w:pPr>
            <w:r>
              <w:rPr>
                <w:sz w:val="17"/>
              </w:rPr>
              <w:t>Clients Supabase public, session ou service role</w:t>
            </w:r>
          </w:p>
        </w:tc>
        <w:tc>
          <w:tcPr>
            <w:tcW w:type="dxa" w:w="3974"/>
            <w:tcMar>
              <w:top w:w="80" w:type="dxa"/>
              <w:start w:w="110" w:type="dxa"/>
              <w:bottom w:w="80" w:type="dxa"/>
              <w:end w:w="110" w:type="dxa"/>
            </w:tcMar>
            <w:vAlign w:val="center"/>
          </w:tcPr>
          <w:p>
            <w:pPr>
              <w:spacing w:after="0" w:line="240" w:lineRule="auto"/>
            </w:pPr>
            <w:r>
              <w:rPr>
                <w:sz w:val="17"/>
              </w:rPr>
              <w:t>RLS pour l'utilisateur ; service role pour webhook/chat</w:t>
            </w:r>
          </w:p>
        </w:tc>
      </w:tr>
      <w:tr>
        <w:tc>
          <w:tcPr>
            <w:tcW w:type="dxa" w:w="1230"/>
            <w:tcMar>
              <w:top w:w="80" w:type="dxa"/>
              <w:start w:w="110" w:type="dxa"/>
              <w:bottom w:w="80" w:type="dxa"/>
              <w:end w:w="110" w:type="dxa"/>
            </w:tcMar>
            <w:vAlign w:val="center"/>
            <w:shd w:fill="F8F7FC"/>
          </w:tcPr>
          <w:p>
            <w:pPr>
              <w:spacing w:after="0" w:line="240" w:lineRule="auto"/>
            </w:pPr>
            <w:r>
              <w:rPr>
                <w:sz w:val="17"/>
              </w:rPr>
              <w:t>Intégration</w:t>
            </w:r>
          </w:p>
        </w:tc>
        <w:tc>
          <w:tcPr>
            <w:tcW w:type="dxa" w:w="3974"/>
            <w:tcMar>
              <w:top w:w="80" w:type="dxa"/>
              <w:start w:w="110" w:type="dxa"/>
              <w:bottom w:w="80" w:type="dxa"/>
              <w:end w:w="110" w:type="dxa"/>
            </w:tcMar>
            <w:vAlign w:val="center"/>
            <w:shd w:fill="F8F7FC"/>
          </w:tcPr>
          <w:p>
            <w:pPr>
              <w:spacing w:after="0" w:line="240" w:lineRule="auto"/>
            </w:pPr>
            <w:r>
              <w:rPr>
                <w:sz w:val="17"/>
              </w:rPr>
              <w:t>Wrappers Stripe, Gemini et Sentry</w:t>
            </w:r>
          </w:p>
        </w:tc>
        <w:tc>
          <w:tcPr>
            <w:tcW w:type="dxa" w:w="3974"/>
            <w:tcMar>
              <w:top w:w="80" w:type="dxa"/>
              <w:start w:w="110" w:type="dxa"/>
              <w:bottom w:w="80" w:type="dxa"/>
              <w:end w:w="110" w:type="dxa"/>
            </w:tcMar>
            <w:vAlign w:val="center"/>
            <w:shd w:fill="F8F7FC"/>
          </w:tcPr>
          <w:p>
            <w:pPr>
              <w:spacing w:after="0" w:line="240" w:lineRule="auto"/>
            </w:pPr>
            <w:r>
              <w:rPr>
                <w:sz w:val="17"/>
              </w:rPr>
              <w:t>vérification signature, outils, capture filtrée</w:t>
            </w:r>
          </w:p>
        </w:tc>
      </w:tr>
    </w:tbl>
    <w:p>
      <w:pPr>
        <w:spacing w:after="0"/>
      </w:pPr>
    </w:p>
    <w:p>
      <w:bookmarkStart w:id="6" w:name="h_6_Cycle_d_ex_cution_Next_js"/>
      <w:pPr>
        <w:pStyle w:val="Heading1"/>
      </w:pPr>
      <w:r>
        <w:t>Cycle d'exécution Next.js</w:t>
      </w:r>
      <w:bookmarkEnd w:id="6"/>
    </w:p>
    <w:p>
      <w:bookmarkStart w:id="7" w:name="h_7_Routage__localisation_et_ses"/>
      <w:pPr>
        <w:pStyle w:val="Heading2"/>
      </w:pPr>
      <w:r>
        <w:t>Routage, localisation et session</w:t>
      </w:r>
      <w:bookmarkEnd w:id="7"/>
    </w:p>
    <w:p>
      <w:r>
        <w:t xml:space="preserve">Le fichier </w:t>
      </w:r>
      <w:r>
        <w:rPr>
          <w:rFonts w:ascii="Consolas" w:hAnsi="Consolas"/>
          <w:color w:val="4A339E"/>
          <w:sz w:val="18"/>
        </w:rPr>
        <w:t>src/proxy.ts</w:t>
      </w:r>
      <w:r>
        <w:t xml:space="preserve"> constitue le point d'entrée commun des pages, à l'exception des routes API, des ressources Next.js et des fichiers statiques. Il compose le middleware </w:t>
      </w:r>
      <w:r>
        <w:rPr>
          <w:rFonts w:ascii="Consolas" w:hAnsi="Consolas"/>
          <w:color w:val="4A339E"/>
          <w:sz w:val="18"/>
        </w:rPr>
        <w:t>next-intl</w:t>
      </w:r>
      <w:r>
        <w:t xml:space="preserve"> avec le rafraîchissement de session Supabase sur le même objet </w:t>
      </w:r>
      <w:r>
        <w:rPr>
          <w:rFonts w:ascii="Consolas" w:hAnsi="Consolas"/>
          <w:color w:val="4A339E"/>
          <w:sz w:val="18"/>
        </w:rPr>
        <w:t>NextResponse</w:t>
      </w:r>
      <w:r>
        <w:t xml:space="preserve">, afin de ne pas perdre une réécriture de locale lorsqu'un cookie d'authentification est renouvelé. La locale est déduite du préfixe </w:t>
      </w:r>
      <w:r>
        <w:rPr>
          <w:rFonts w:ascii="Consolas" w:hAnsi="Consolas"/>
          <w:color w:val="4A339E"/>
          <w:sz w:val="18"/>
        </w:rPr>
        <w:t>/fr</w:t>
      </w:r>
      <w:r>
        <w:t xml:space="preserve"> ou </w:t>
      </w:r>
      <w:r>
        <w:rPr>
          <w:rFonts w:ascii="Consolas" w:hAnsi="Consolas"/>
          <w:color w:val="4A339E"/>
          <w:sz w:val="18"/>
        </w:rPr>
        <w:t>/en</w:t>
      </w:r>
      <w:r>
        <w:t>; les routes publiques, d'authentification, de compte et d'administration restent ainsi cohérentes.</w:t>
      </w:r>
    </w:p>
    <w:p>
      <w:r>
        <w:t xml:space="preserve">Pour un utilisateur connecté, le proxy relit le profil </w:t>
      </w:r>
      <w:r>
        <w:rPr>
          <w:rFonts w:ascii="Consolas" w:hAnsi="Consolas"/>
          <w:color w:val="4A339E"/>
          <w:sz w:val="18"/>
        </w:rPr>
        <w:t>utilisateur</w:t>
      </w:r>
      <w:r>
        <w:t xml:space="preserve"> et le niveau d'assurance MFA. Un profil inactif est déconnecté localement. Lorsqu'un facteur est enrôlé mais que la session courante reste AAL1, l'utilisateur est redirigé vers </w:t>
      </w:r>
      <w:r>
        <w:rPr>
          <w:rFonts w:ascii="Consolas" w:hAnsi="Consolas"/>
          <w:color w:val="4A339E"/>
          <w:sz w:val="18"/>
        </w:rPr>
        <w:t>mfa-verify</w:t>
      </w:r>
      <w:r>
        <w:t xml:space="preserve"> avec un paramètre </w:t>
      </w:r>
      <w:r>
        <w:rPr>
          <w:rFonts w:ascii="Consolas" w:hAnsi="Consolas"/>
          <w:color w:val="4A339E"/>
          <w:sz w:val="18"/>
        </w:rPr>
        <w:t>next</w:t>
      </w:r>
      <w:r>
        <w:t xml:space="preserve"> interne. Sur </w:t>
      </w:r>
      <w:r>
        <w:rPr>
          <w:rFonts w:ascii="Consolas" w:hAnsi="Consolas"/>
          <w:color w:val="4A339E"/>
          <w:sz w:val="18"/>
        </w:rPr>
        <w:t>/admin</w:t>
      </w:r>
      <w:r>
        <w:t>, les trois conditions session présente, profil admin actif et AAL2 sont cumulatives. Ces contrôles de navigation améliorent le parcours, mais les opérations sensibles répètent leur autorisation côté serveur.</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542"/>
        <w:gridCol w:w="1620"/>
        <w:gridCol w:w="3240"/>
        <w:gridCol w:w="2777"/>
      </w:tblGrid>
      <w:tr>
        <w:trPr>
          <w:tblHeader w:val="true"/>
        </w:trPr>
        <w:tc>
          <w:tcPr>
            <w:tcW w:type="dxa" w:w="1542"/>
            <w:tcMar>
              <w:top w:w="80" w:type="dxa"/>
              <w:start w:w="110" w:type="dxa"/>
              <w:bottom w:w="80" w:type="dxa"/>
              <w:end w:w="110" w:type="dxa"/>
            </w:tcMar>
            <w:vAlign w:val="center"/>
            <w:shd w:fill="E8EEF5"/>
          </w:tcPr>
          <w:p>
            <w:pPr>
              <w:spacing w:after="0" w:line="240" w:lineRule="auto"/>
            </w:pPr>
            <w:r>
              <w:rPr>
                <w:b/>
                <w:color w:val="302082"/>
                <w:sz w:val="17"/>
              </w:rPr>
              <w:t>Étape</w:t>
            </w:r>
          </w:p>
        </w:tc>
        <w:tc>
          <w:tcPr>
            <w:tcW w:type="dxa" w:w="1620"/>
            <w:tcMar>
              <w:top w:w="80" w:type="dxa"/>
              <w:start w:w="110" w:type="dxa"/>
              <w:bottom w:w="80" w:type="dxa"/>
              <w:end w:w="110" w:type="dxa"/>
            </w:tcMar>
            <w:vAlign w:val="center"/>
            <w:shd w:fill="E8EEF5"/>
          </w:tcPr>
          <w:p>
            <w:pPr>
              <w:spacing w:after="0" w:line="240" w:lineRule="auto"/>
            </w:pPr>
            <w:r>
              <w:rPr>
                <w:b/>
                <w:color w:val="302082"/>
                <w:sz w:val="17"/>
              </w:rPr>
              <w:t>Entrée</w:t>
            </w:r>
          </w:p>
        </w:tc>
        <w:tc>
          <w:tcPr>
            <w:tcW w:type="dxa" w:w="3240"/>
            <w:tcMar>
              <w:top w:w="80" w:type="dxa"/>
              <w:start w:w="110" w:type="dxa"/>
              <w:bottom w:w="80" w:type="dxa"/>
              <w:end w:w="110" w:type="dxa"/>
            </w:tcMar>
            <w:vAlign w:val="center"/>
            <w:shd w:fill="E8EEF5"/>
          </w:tcPr>
          <w:p>
            <w:pPr>
              <w:spacing w:after="0" w:line="240" w:lineRule="auto"/>
            </w:pPr>
            <w:r>
              <w:rPr>
                <w:b/>
                <w:color w:val="302082"/>
                <w:sz w:val="17"/>
              </w:rPr>
              <w:t>Traitement</w:t>
            </w:r>
          </w:p>
        </w:tc>
        <w:tc>
          <w:tcPr>
            <w:tcW w:type="dxa" w:w="2777"/>
            <w:tcMar>
              <w:top w:w="80" w:type="dxa"/>
              <w:start w:w="110" w:type="dxa"/>
              <w:bottom w:w="80" w:type="dxa"/>
              <w:end w:w="110" w:type="dxa"/>
            </w:tcMar>
            <w:vAlign w:val="center"/>
            <w:shd w:fill="E8EEF5"/>
          </w:tcPr>
          <w:p>
            <w:pPr>
              <w:spacing w:after="0" w:line="240" w:lineRule="auto"/>
            </w:pPr>
            <w:r>
              <w:rPr>
                <w:b/>
                <w:color w:val="302082"/>
                <w:sz w:val="17"/>
              </w:rPr>
              <w:t>Sortie ou invariant</w:t>
            </w:r>
          </w:p>
        </w:tc>
      </w:tr>
      <w:tr>
        <w:tc>
          <w:tcPr>
            <w:tcW w:type="dxa" w:w="1542"/>
            <w:tcMar>
              <w:top w:w="80" w:type="dxa"/>
              <w:start w:w="110" w:type="dxa"/>
              <w:bottom w:w="80" w:type="dxa"/>
              <w:end w:w="110" w:type="dxa"/>
            </w:tcMar>
            <w:vAlign w:val="center"/>
          </w:tcPr>
          <w:p>
            <w:pPr>
              <w:spacing w:after="0" w:line="240" w:lineRule="auto"/>
            </w:pPr>
            <w:r>
              <w:rPr>
                <w:sz w:val="17"/>
              </w:rPr>
              <w:t>Résolution de locale</w:t>
            </w:r>
          </w:p>
        </w:tc>
        <w:tc>
          <w:tcPr>
            <w:tcW w:type="dxa" w:w="1620"/>
            <w:tcMar>
              <w:top w:w="80" w:type="dxa"/>
              <w:start w:w="110" w:type="dxa"/>
              <w:bottom w:w="80" w:type="dxa"/>
              <w:end w:w="110" w:type="dxa"/>
            </w:tcMar>
            <w:vAlign w:val="center"/>
          </w:tcPr>
          <w:p>
            <w:pPr>
              <w:spacing w:after="0" w:line="240" w:lineRule="auto"/>
            </w:pPr>
            <w:r>
              <w:rPr>
                <w:sz w:val="17"/>
              </w:rPr>
              <w:t>URL entrante</w:t>
            </w:r>
          </w:p>
        </w:tc>
        <w:tc>
          <w:tcPr>
            <w:tcW w:type="dxa" w:w="3240"/>
            <w:tcMar>
              <w:top w:w="80" w:type="dxa"/>
              <w:start w:w="110" w:type="dxa"/>
              <w:bottom w:w="80" w:type="dxa"/>
              <w:end w:w="110" w:type="dxa"/>
            </w:tcMar>
            <w:vAlign w:val="center"/>
          </w:tcPr>
          <w:p>
            <w:pPr>
              <w:spacing w:after="0" w:line="240" w:lineRule="auto"/>
            </w:pPr>
            <w:r>
              <w:rPr>
                <w:rFonts w:ascii="Consolas" w:hAnsi="Consolas"/>
                <w:color w:val="4A339E"/>
                <w:sz w:val="17"/>
              </w:rPr>
              <w:t>next-intl</w:t>
            </w:r>
            <w:r>
              <w:rPr>
                <w:sz w:val="17"/>
              </w:rPr>
              <w:t xml:space="preserve"> réécrit ou redirige</w:t>
            </w:r>
          </w:p>
        </w:tc>
        <w:tc>
          <w:tcPr>
            <w:tcW w:type="dxa" w:w="2777"/>
            <w:tcMar>
              <w:top w:w="80" w:type="dxa"/>
              <w:start w:w="110" w:type="dxa"/>
              <w:bottom w:w="80" w:type="dxa"/>
              <w:end w:w="110" w:type="dxa"/>
            </w:tcMar>
            <w:vAlign w:val="center"/>
          </w:tcPr>
          <w:p>
            <w:pPr>
              <w:spacing w:after="0" w:line="240" w:lineRule="auto"/>
            </w:pPr>
            <w:r>
              <w:rPr>
                <w:sz w:val="17"/>
              </w:rPr>
              <w:t>préfixe FR/EN canonique</w:t>
            </w:r>
          </w:p>
        </w:tc>
      </w:tr>
      <w:tr>
        <w:tc>
          <w:tcPr>
            <w:tcW w:type="dxa" w:w="1542"/>
            <w:tcMar>
              <w:top w:w="80" w:type="dxa"/>
              <w:start w:w="110" w:type="dxa"/>
              <w:bottom w:w="80" w:type="dxa"/>
              <w:end w:w="110" w:type="dxa"/>
            </w:tcMar>
            <w:vAlign w:val="center"/>
            <w:shd w:fill="F8F7FC"/>
          </w:tcPr>
          <w:p>
            <w:pPr>
              <w:spacing w:after="0" w:line="240" w:lineRule="auto"/>
            </w:pPr>
            <w:r>
              <w:rPr>
                <w:sz w:val="17"/>
              </w:rPr>
              <w:t>Session</w:t>
            </w:r>
          </w:p>
        </w:tc>
        <w:tc>
          <w:tcPr>
            <w:tcW w:type="dxa" w:w="1620"/>
            <w:tcMar>
              <w:top w:w="80" w:type="dxa"/>
              <w:start w:w="110" w:type="dxa"/>
              <w:bottom w:w="80" w:type="dxa"/>
              <w:end w:w="110" w:type="dxa"/>
            </w:tcMar>
            <w:vAlign w:val="center"/>
            <w:shd w:fill="F8F7FC"/>
          </w:tcPr>
          <w:p>
            <w:pPr>
              <w:spacing w:after="0" w:line="240" w:lineRule="auto"/>
            </w:pPr>
            <w:r>
              <w:rPr>
                <w:sz w:val="17"/>
              </w:rPr>
              <w:t>cookies Supabase</w:t>
            </w:r>
          </w:p>
        </w:tc>
        <w:tc>
          <w:tcPr>
            <w:tcW w:type="dxa" w:w="3240"/>
            <w:tcMar>
              <w:top w:w="80" w:type="dxa"/>
              <w:start w:w="110" w:type="dxa"/>
              <w:bottom w:w="80" w:type="dxa"/>
              <w:end w:w="110" w:type="dxa"/>
            </w:tcMar>
            <w:vAlign w:val="center"/>
            <w:shd w:fill="F8F7FC"/>
          </w:tcPr>
          <w:p>
            <w:pPr>
              <w:spacing w:after="0" w:line="240" w:lineRule="auto"/>
            </w:pPr>
            <w:r>
              <w:rPr>
                <w:sz w:val="17"/>
              </w:rPr>
              <w:t>lecture utilisateur et renouvellement éventuel</w:t>
            </w:r>
          </w:p>
        </w:tc>
        <w:tc>
          <w:tcPr>
            <w:tcW w:type="dxa" w:w="2777"/>
            <w:tcMar>
              <w:top w:w="80" w:type="dxa"/>
              <w:start w:w="110" w:type="dxa"/>
              <w:bottom w:w="80" w:type="dxa"/>
              <w:end w:w="110" w:type="dxa"/>
            </w:tcMar>
            <w:vAlign w:val="center"/>
            <w:shd w:fill="F8F7FC"/>
          </w:tcPr>
          <w:p>
            <w:pPr>
              <w:spacing w:after="0" w:line="240" w:lineRule="auto"/>
            </w:pPr>
            <w:r>
              <w:rPr>
                <w:sz w:val="17"/>
              </w:rPr>
              <w:t>cookies reportés sur la réponse i18n</w:t>
            </w:r>
          </w:p>
        </w:tc>
      </w:tr>
      <w:tr>
        <w:tc>
          <w:tcPr>
            <w:tcW w:type="dxa" w:w="1542"/>
            <w:tcMar>
              <w:top w:w="80" w:type="dxa"/>
              <w:start w:w="110" w:type="dxa"/>
              <w:bottom w:w="80" w:type="dxa"/>
              <w:end w:w="110" w:type="dxa"/>
            </w:tcMar>
            <w:vAlign w:val="center"/>
          </w:tcPr>
          <w:p>
            <w:pPr>
              <w:spacing w:after="0" w:line="240" w:lineRule="auto"/>
            </w:pPr>
            <w:r>
              <w:rPr>
                <w:sz w:val="17"/>
              </w:rPr>
              <w:t>Profil</w:t>
            </w:r>
          </w:p>
        </w:tc>
        <w:tc>
          <w:tcPr>
            <w:tcW w:type="dxa" w:w="1620"/>
            <w:tcMar>
              <w:top w:w="80" w:type="dxa"/>
              <w:start w:w="110" w:type="dxa"/>
              <w:bottom w:w="80" w:type="dxa"/>
              <w:end w:w="110" w:type="dxa"/>
            </w:tcMar>
            <w:vAlign w:val="center"/>
          </w:tcPr>
          <w:p>
            <w:pPr>
              <w:spacing w:after="0" w:line="240" w:lineRule="auto"/>
            </w:pPr>
            <w:r>
              <w:rPr>
                <w:rFonts w:ascii="Consolas" w:hAnsi="Consolas"/>
                <w:color w:val="4A339E"/>
                <w:sz w:val="17"/>
              </w:rPr>
              <w:t>auth.users.id</w:t>
            </w:r>
          </w:p>
        </w:tc>
        <w:tc>
          <w:tcPr>
            <w:tcW w:type="dxa" w:w="3240"/>
            <w:tcMar>
              <w:top w:w="80" w:type="dxa"/>
              <w:start w:w="110" w:type="dxa"/>
              <w:bottom w:w="80" w:type="dxa"/>
              <w:end w:w="110" w:type="dxa"/>
            </w:tcMar>
            <w:vAlign w:val="center"/>
          </w:tcPr>
          <w:p>
            <w:pPr>
              <w:spacing w:after="0" w:line="240" w:lineRule="auto"/>
            </w:pPr>
            <w:r>
              <w:rPr>
                <w:sz w:val="17"/>
              </w:rPr>
              <w:t xml:space="preserve">lecture </w:t>
            </w:r>
            <w:r>
              <w:rPr>
                <w:rFonts w:ascii="Consolas" w:hAnsi="Consolas"/>
                <w:color w:val="4A339E"/>
                <w:sz w:val="17"/>
              </w:rPr>
              <w:t>utilisateur.role</w:t>
            </w:r>
            <w:r>
              <w:rPr>
                <w:sz w:val="17"/>
              </w:rPr>
              <w:t xml:space="preserve"> et </w:t>
            </w:r>
            <w:r>
              <w:rPr>
                <w:rFonts w:ascii="Consolas" w:hAnsi="Consolas"/>
                <w:color w:val="4A339E"/>
                <w:sz w:val="17"/>
              </w:rPr>
              <w:t>is_actif</w:t>
            </w:r>
          </w:p>
        </w:tc>
        <w:tc>
          <w:tcPr>
            <w:tcW w:type="dxa" w:w="2777"/>
            <w:tcMar>
              <w:top w:w="80" w:type="dxa"/>
              <w:start w:w="110" w:type="dxa"/>
              <w:bottom w:w="80" w:type="dxa"/>
              <w:end w:w="110" w:type="dxa"/>
            </w:tcMar>
            <w:vAlign w:val="center"/>
          </w:tcPr>
          <w:p>
            <w:pPr>
              <w:spacing w:after="0" w:line="240" w:lineRule="auto"/>
            </w:pPr>
            <w:r>
              <w:rPr>
                <w:sz w:val="17"/>
              </w:rPr>
              <w:t>utilisateur inactif exclu</w:t>
            </w:r>
          </w:p>
        </w:tc>
      </w:tr>
      <w:tr>
        <w:tc>
          <w:tcPr>
            <w:tcW w:type="dxa" w:w="1542"/>
            <w:tcMar>
              <w:top w:w="80" w:type="dxa"/>
              <w:start w:w="110" w:type="dxa"/>
              <w:bottom w:w="80" w:type="dxa"/>
              <w:end w:w="110" w:type="dxa"/>
            </w:tcMar>
            <w:vAlign w:val="center"/>
            <w:shd w:fill="F8F7FC"/>
          </w:tcPr>
          <w:p>
            <w:pPr>
              <w:spacing w:after="0" w:line="240" w:lineRule="auto"/>
            </w:pPr>
            <w:r>
              <w:rPr>
                <w:sz w:val="17"/>
              </w:rPr>
              <w:t>Assurance</w:t>
            </w:r>
          </w:p>
        </w:tc>
        <w:tc>
          <w:tcPr>
            <w:tcW w:type="dxa" w:w="1620"/>
            <w:tcMar>
              <w:top w:w="80" w:type="dxa"/>
              <w:start w:w="110" w:type="dxa"/>
              <w:bottom w:w="80" w:type="dxa"/>
              <w:end w:w="110" w:type="dxa"/>
            </w:tcMar>
            <w:vAlign w:val="center"/>
            <w:shd w:fill="F8F7FC"/>
          </w:tcPr>
          <w:p>
            <w:pPr>
              <w:spacing w:after="0" w:line="240" w:lineRule="auto"/>
            </w:pPr>
            <w:r>
              <w:rPr>
                <w:sz w:val="17"/>
              </w:rPr>
              <w:t>facteurs Supabase MFA</w:t>
            </w:r>
          </w:p>
        </w:tc>
        <w:tc>
          <w:tcPr>
            <w:tcW w:type="dxa" w:w="3240"/>
            <w:tcMar>
              <w:top w:w="80" w:type="dxa"/>
              <w:start w:w="110" w:type="dxa"/>
              <w:bottom w:w="80" w:type="dxa"/>
              <w:end w:w="110" w:type="dxa"/>
            </w:tcMar>
            <w:vAlign w:val="center"/>
            <w:shd w:fill="F8F7FC"/>
          </w:tcPr>
          <w:p>
            <w:pPr>
              <w:spacing w:after="0" w:line="240" w:lineRule="auto"/>
            </w:pPr>
            <w:r>
              <w:rPr>
                <w:sz w:val="17"/>
              </w:rPr>
              <w:t xml:space="preserve">comparaison </w:t>
            </w:r>
            <w:r>
              <w:rPr>
                <w:rFonts w:ascii="Consolas" w:hAnsi="Consolas"/>
                <w:color w:val="4A339E"/>
                <w:sz w:val="17"/>
              </w:rPr>
              <w:t>currentLevel</w:t>
            </w:r>
            <w:r>
              <w:rPr>
                <w:sz w:val="17"/>
              </w:rPr>
              <w:t xml:space="preserve"> / </w:t>
            </w:r>
            <w:r>
              <w:rPr>
                <w:rFonts w:ascii="Consolas" w:hAnsi="Consolas"/>
                <w:color w:val="4A339E"/>
                <w:sz w:val="17"/>
              </w:rPr>
              <w:t>nextLevel</w:t>
            </w:r>
          </w:p>
        </w:tc>
        <w:tc>
          <w:tcPr>
            <w:tcW w:type="dxa" w:w="2777"/>
            <w:tcMar>
              <w:top w:w="80" w:type="dxa"/>
              <w:start w:w="110" w:type="dxa"/>
              <w:bottom w:w="80" w:type="dxa"/>
              <w:end w:w="110" w:type="dxa"/>
            </w:tcMar>
            <w:vAlign w:val="center"/>
            <w:shd w:fill="F8F7FC"/>
          </w:tcPr>
          <w:p>
            <w:pPr>
              <w:spacing w:after="0" w:line="240" w:lineRule="auto"/>
            </w:pPr>
            <w:r>
              <w:rPr>
                <w:sz w:val="17"/>
              </w:rPr>
              <w:t>challenge TOTP avant action sensible</w:t>
            </w:r>
          </w:p>
        </w:tc>
      </w:tr>
      <w:tr>
        <w:tc>
          <w:tcPr>
            <w:tcW w:type="dxa" w:w="1542"/>
            <w:tcMar>
              <w:top w:w="80" w:type="dxa"/>
              <w:start w:w="110" w:type="dxa"/>
              <w:bottom w:w="80" w:type="dxa"/>
              <w:end w:w="110" w:type="dxa"/>
            </w:tcMar>
            <w:vAlign w:val="center"/>
          </w:tcPr>
          <w:p>
            <w:pPr>
              <w:spacing w:after="0" w:line="240" w:lineRule="auto"/>
            </w:pPr>
            <w:r>
              <w:rPr>
                <w:sz w:val="17"/>
              </w:rPr>
              <w:t>Autorisation</w:t>
            </w:r>
          </w:p>
        </w:tc>
        <w:tc>
          <w:tcPr>
            <w:tcW w:type="dxa" w:w="1620"/>
            <w:tcMar>
              <w:top w:w="80" w:type="dxa"/>
              <w:start w:w="110" w:type="dxa"/>
              <w:bottom w:w="80" w:type="dxa"/>
              <w:end w:w="110" w:type="dxa"/>
            </w:tcMar>
            <w:vAlign w:val="center"/>
          </w:tcPr>
          <w:p>
            <w:pPr>
              <w:spacing w:after="0" w:line="240" w:lineRule="auto"/>
            </w:pPr>
            <w:r>
              <w:rPr>
                <w:sz w:val="17"/>
              </w:rPr>
              <w:t>route et contexte</w:t>
            </w:r>
          </w:p>
        </w:tc>
        <w:tc>
          <w:tcPr>
            <w:tcW w:type="dxa" w:w="3240"/>
            <w:tcMar>
              <w:top w:w="80" w:type="dxa"/>
              <w:start w:w="110" w:type="dxa"/>
              <w:bottom w:w="80" w:type="dxa"/>
              <w:end w:w="110" w:type="dxa"/>
            </w:tcMar>
            <w:vAlign w:val="center"/>
          </w:tcPr>
          <w:p>
            <w:pPr>
              <w:spacing w:after="0" w:line="240" w:lineRule="auto"/>
            </w:pPr>
            <w:r>
              <w:rPr>
                <w:sz w:val="17"/>
              </w:rPr>
              <w:t>contrôle admin ou propriétaire dans le service</w:t>
            </w:r>
          </w:p>
        </w:tc>
        <w:tc>
          <w:tcPr>
            <w:tcW w:type="dxa" w:w="2777"/>
            <w:tcMar>
              <w:top w:w="80" w:type="dxa"/>
              <w:start w:w="110" w:type="dxa"/>
              <w:bottom w:w="80" w:type="dxa"/>
              <w:end w:w="110" w:type="dxa"/>
            </w:tcMar>
            <w:vAlign w:val="center"/>
          </w:tcPr>
          <w:p>
            <w:pPr>
              <w:spacing w:after="0" w:line="240" w:lineRule="auto"/>
            </w:pPr>
            <w:r>
              <w:rPr>
                <w:sz w:val="17"/>
              </w:rPr>
              <w:t>refus avant accès privilégié</w:t>
            </w:r>
          </w:p>
        </w:tc>
      </w:tr>
    </w:tbl>
    <w:p>
      <w:pPr>
        <w:spacing w:after="0"/>
      </w:pPr>
    </w:p>
    <w:p>
      <w:bookmarkStart w:id="8" w:name="h_8_Server_Components__Server_Ac"/>
      <w:pPr>
        <w:pStyle w:val="Heading2"/>
      </w:pPr>
      <w:r>
        <w:t>Server Components, Server Actions et routes HTTP</w:t>
      </w:r>
      <w:bookmarkEnd w:id="8"/>
    </w:p>
    <w:p>
      <w:r>
        <w:t>Les Server Components effectuent les lectures nécessaires au premier rendu sans exposer les clients privilégiés au bundle navigateur. Les Client Components restent réservés à l'état interactif, aux formulaires et au streaming CynAI. Les mutations déclenchées depuis l'interface passent majoritairement par des Server Actions : leur sérialisation par Next.js n'est pas une autorisation, chaque action doit relire la session, les identifiants et les valeurs métier.</w:t>
      </w:r>
    </w:p>
    <w:p>
      <w:r>
        <w:t xml:space="preserve">Les cinq routes HTTP sont employées lorsqu'un contrat protocolaire est nécessaire : recherche JSON, callback PKCE, rapport PDF, flux NDJSON et webhook Stripe. Elles produisent des statuts et types MIME explicites. Les exceptions non prévues remontent à </w:t>
      </w:r>
      <w:r>
        <w:rPr>
          <w:rFonts w:ascii="Consolas" w:hAnsi="Consolas"/>
          <w:color w:val="4A339E"/>
          <w:sz w:val="18"/>
        </w:rPr>
        <w:t>onRequestError</w:t>
      </w:r>
      <w:r>
        <w:t xml:space="preserve">; les erreurs déjà interceptées dans les domaines critiques sont transmises par </w:t>
      </w:r>
      <w:r>
        <w:rPr>
          <w:rFonts w:ascii="Consolas" w:hAnsi="Consolas"/>
          <w:color w:val="4A339E"/>
          <w:sz w:val="18"/>
        </w:rPr>
        <w:t>captureOperationalException</w:t>
      </w:r>
      <w:r>
        <w:t xml:space="preserve"> avec </w:t>
      </w:r>
      <w:r>
        <w:rPr>
          <w:rFonts w:ascii="Consolas" w:hAnsi="Consolas"/>
          <w:color w:val="4A339E"/>
          <w:sz w:val="18"/>
        </w:rPr>
        <w:t>area</w:t>
      </w:r>
      <w:r>
        <w:t xml:space="preserve"> et </w:t>
      </w:r>
      <w:r>
        <w:rPr>
          <w:rFonts w:ascii="Consolas" w:hAnsi="Consolas"/>
          <w:color w:val="4A339E"/>
          <w:sz w:val="18"/>
        </w:rPr>
        <w:t>stage</w:t>
      </w:r>
      <w:r>
        <w:t>, puis une réponse générique est rendue au client.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064"/>
        <w:gridCol w:w="2527"/>
        <w:gridCol w:w="2793"/>
        <w:gridCol w:w="2793"/>
      </w:tblGrid>
      <w:tr>
        <w:trPr>
          <w:tblHeader w:val="true"/>
        </w:trPr>
        <w:tc>
          <w:tcPr>
            <w:tcW w:type="dxa" w:w="1064"/>
            <w:tcMar>
              <w:top w:w="80" w:type="dxa"/>
              <w:start w:w="110" w:type="dxa"/>
              <w:bottom w:w="80" w:type="dxa"/>
              <w:end w:w="110" w:type="dxa"/>
            </w:tcMar>
            <w:vAlign w:val="center"/>
            <w:shd w:fill="E8EEF5"/>
          </w:tcPr>
          <w:p>
            <w:pPr>
              <w:spacing w:after="0" w:line="240" w:lineRule="auto"/>
            </w:pPr>
            <w:r>
              <w:rPr>
                <w:b/>
                <w:color w:val="302082"/>
                <w:sz w:val="17"/>
              </w:rPr>
              <w:t>Mode d'entrée</w:t>
            </w:r>
          </w:p>
        </w:tc>
        <w:tc>
          <w:tcPr>
            <w:tcW w:type="dxa" w:w="2527"/>
            <w:tcMar>
              <w:top w:w="80" w:type="dxa"/>
              <w:start w:w="110" w:type="dxa"/>
              <w:bottom w:w="80" w:type="dxa"/>
              <w:end w:w="110" w:type="dxa"/>
            </w:tcMar>
            <w:vAlign w:val="center"/>
            <w:shd w:fill="E8EEF5"/>
          </w:tcPr>
          <w:p>
            <w:pPr>
              <w:spacing w:after="0" w:line="240" w:lineRule="auto"/>
            </w:pPr>
            <w:r>
              <w:rPr>
                <w:b/>
                <w:color w:val="302082"/>
                <w:sz w:val="17"/>
              </w:rPr>
              <w:t>Usage</w:t>
            </w:r>
          </w:p>
        </w:tc>
        <w:tc>
          <w:tcPr>
            <w:tcW w:type="dxa" w:w="2793"/>
            <w:tcMar>
              <w:top w:w="80" w:type="dxa"/>
              <w:start w:w="110" w:type="dxa"/>
              <w:bottom w:w="80" w:type="dxa"/>
              <w:end w:w="110" w:type="dxa"/>
            </w:tcMar>
            <w:vAlign w:val="center"/>
            <w:shd w:fill="E8EEF5"/>
          </w:tcPr>
          <w:p>
            <w:pPr>
              <w:spacing w:after="0" w:line="240" w:lineRule="auto"/>
            </w:pPr>
            <w:r>
              <w:rPr>
                <w:b/>
                <w:color w:val="302082"/>
                <w:sz w:val="17"/>
              </w:rPr>
              <w:t>Autorité de données</w:t>
            </w:r>
          </w:p>
        </w:tc>
        <w:tc>
          <w:tcPr>
            <w:tcW w:type="dxa" w:w="2793"/>
            <w:tcMar>
              <w:top w:w="80" w:type="dxa"/>
              <w:start w:w="110" w:type="dxa"/>
              <w:bottom w:w="80" w:type="dxa"/>
              <w:end w:w="110" w:type="dxa"/>
            </w:tcMar>
            <w:vAlign w:val="center"/>
            <w:shd w:fill="E8EEF5"/>
          </w:tcPr>
          <w:p>
            <w:pPr>
              <w:spacing w:after="0" w:line="240" w:lineRule="auto"/>
            </w:pPr>
            <w:r>
              <w:rPr>
                <w:b/>
                <w:color w:val="302082"/>
                <w:sz w:val="17"/>
              </w:rPr>
              <w:t>Gestion d'erreur</w:t>
            </w:r>
          </w:p>
        </w:tc>
      </w:tr>
      <w:tr>
        <w:tc>
          <w:tcPr>
            <w:tcW w:type="dxa" w:w="1064"/>
            <w:tcMar>
              <w:top w:w="80" w:type="dxa"/>
              <w:start w:w="110" w:type="dxa"/>
              <w:bottom w:w="80" w:type="dxa"/>
              <w:end w:w="110" w:type="dxa"/>
            </w:tcMar>
            <w:vAlign w:val="center"/>
          </w:tcPr>
          <w:p>
            <w:pPr>
              <w:spacing w:after="0" w:line="240" w:lineRule="auto"/>
            </w:pPr>
            <w:r>
              <w:rPr>
                <w:sz w:val="17"/>
              </w:rPr>
              <w:t>Server Component</w:t>
            </w:r>
          </w:p>
        </w:tc>
        <w:tc>
          <w:tcPr>
            <w:tcW w:type="dxa" w:w="2527"/>
            <w:tcMar>
              <w:top w:w="80" w:type="dxa"/>
              <w:start w:w="110" w:type="dxa"/>
              <w:bottom w:w="80" w:type="dxa"/>
              <w:end w:w="110" w:type="dxa"/>
            </w:tcMar>
            <w:vAlign w:val="center"/>
          </w:tcPr>
          <w:p>
            <w:pPr>
              <w:spacing w:after="0" w:line="240" w:lineRule="auto"/>
            </w:pPr>
            <w:r>
              <w:rPr>
                <w:sz w:val="17"/>
              </w:rPr>
              <w:t>lecture d'une page et de son contexte</w:t>
            </w:r>
          </w:p>
        </w:tc>
        <w:tc>
          <w:tcPr>
            <w:tcW w:type="dxa" w:w="2793"/>
            <w:tcMar>
              <w:top w:w="80" w:type="dxa"/>
              <w:start w:w="110" w:type="dxa"/>
              <w:bottom w:w="80" w:type="dxa"/>
              <w:end w:w="110" w:type="dxa"/>
            </w:tcMar>
            <w:vAlign w:val="center"/>
          </w:tcPr>
          <w:p>
            <w:pPr>
              <w:spacing w:after="0" w:line="240" w:lineRule="auto"/>
            </w:pPr>
            <w:r>
              <w:rPr>
                <w:sz w:val="17"/>
              </w:rPr>
              <w:t>session Supabase et RLS</w:t>
            </w:r>
          </w:p>
        </w:tc>
        <w:tc>
          <w:tcPr>
            <w:tcW w:type="dxa" w:w="2793"/>
            <w:tcMar>
              <w:top w:w="80" w:type="dxa"/>
              <w:start w:w="110" w:type="dxa"/>
              <w:bottom w:w="80" w:type="dxa"/>
              <w:end w:w="110" w:type="dxa"/>
            </w:tcMar>
            <w:vAlign w:val="center"/>
          </w:tcPr>
          <w:p>
            <w:pPr>
              <w:spacing w:after="0" w:line="240" w:lineRule="auto"/>
            </w:pPr>
            <w:r>
              <w:rPr>
                <w:sz w:val="17"/>
              </w:rPr>
              <w:t>page d'erreur Next.js ou état vide explicite</w:t>
            </w:r>
          </w:p>
        </w:tc>
      </w:tr>
      <w:tr>
        <w:tc>
          <w:tcPr>
            <w:tcW w:type="dxa" w:w="1064"/>
            <w:tcMar>
              <w:top w:w="80" w:type="dxa"/>
              <w:start w:w="110" w:type="dxa"/>
              <w:bottom w:w="80" w:type="dxa"/>
              <w:end w:w="110" w:type="dxa"/>
            </w:tcMar>
            <w:vAlign w:val="center"/>
            <w:shd w:fill="F8F7FC"/>
          </w:tcPr>
          <w:p>
            <w:pPr>
              <w:spacing w:after="0" w:line="240" w:lineRule="auto"/>
            </w:pPr>
            <w:r>
              <w:rPr>
                <w:sz w:val="17"/>
              </w:rPr>
              <w:t>Server Action</w:t>
            </w:r>
          </w:p>
        </w:tc>
        <w:tc>
          <w:tcPr>
            <w:tcW w:type="dxa" w:w="2527"/>
            <w:tcMar>
              <w:top w:w="80" w:type="dxa"/>
              <w:start w:w="110" w:type="dxa"/>
              <w:bottom w:w="80" w:type="dxa"/>
              <w:end w:w="110" w:type="dxa"/>
            </w:tcMar>
            <w:vAlign w:val="center"/>
            <w:shd w:fill="F8F7FC"/>
          </w:tcPr>
          <w:p>
            <w:pPr>
              <w:spacing w:after="0" w:line="240" w:lineRule="auto"/>
            </w:pPr>
            <w:r>
              <w:rPr>
                <w:sz w:val="17"/>
              </w:rPr>
              <w:t>mutation issue d'un formulaire</w:t>
            </w:r>
          </w:p>
        </w:tc>
        <w:tc>
          <w:tcPr>
            <w:tcW w:type="dxa" w:w="2793"/>
            <w:tcMar>
              <w:top w:w="80" w:type="dxa"/>
              <w:start w:w="110" w:type="dxa"/>
              <w:bottom w:w="80" w:type="dxa"/>
              <w:end w:w="110" w:type="dxa"/>
            </w:tcMar>
            <w:vAlign w:val="center"/>
            <w:shd w:fill="F8F7FC"/>
          </w:tcPr>
          <w:p>
            <w:pPr>
              <w:spacing w:after="0" w:line="240" w:lineRule="auto"/>
            </w:pPr>
            <w:r>
              <w:rPr>
                <w:sz w:val="17"/>
              </w:rPr>
              <w:t>revalidation serveur des entrées et du propriétaire</w:t>
            </w:r>
          </w:p>
        </w:tc>
        <w:tc>
          <w:tcPr>
            <w:tcW w:type="dxa" w:w="2793"/>
            <w:tcMar>
              <w:top w:w="80" w:type="dxa"/>
              <w:start w:w="110" w:type="dxa"/>
              <w:bottom w:w="80" w:type="dxa"/>
              <w:end w:w="110" w:type="dxa"/>
            </w:tcMar>
            <w:vAlign w:val="center"/>
            <w:shd w:fill="F8F7FC"/>
          </w:tcPr>
          <w:p>
            <w:pPr>
              <w:spacing w:after="0" w:line="240" w:lineRule="auto"/>
            </w:pPr>
            <w:r>
              <w:rPr>
                <w:sz w:val="17"/>
              </w:rPr>
              <w:t>résultat métier contrôlé, exception filtrée si inattendue</w:t>
            </w:r>
          </w:p>
        </w:tc>
      </w:tr>
      <w:tr>
        <w:tc>
          <w:tcPr>
            <w:tcW w:type="dxa" w:w="1064"/>
            <w:tcMar>
              <w:top w:w="80" w:type="dxa"/>
              <w:start w:w="110" w:type="dxa"/>
              <w:bottom w:w="80" w:type="dxa"/>
              <w:end w:w="110" w:type="dxa"/>
            </w:tcMar>
            <w:vAlign w:val="center"/>
          </w:tcPr>
          <w:p>
            <w:pPr>
              <w:spacing w:after="0" w:line="240" w:lineRule="auto"/>
            </w:pPr>
            <w:r>
              <w:rPr>
                <w:sz w:val="17"/>
              </w:rPr>
              <w:t>Route Handler</w:t>
            </w:r>
          </w:p>
        </w:tc>
        <w:tc>
          <w:tcPr>
            <w:tcW w:type="dxa" w:w="2527"/>
            <w:tcMar>
              <w:top w:w="80" w:type="dxa"/>
              <w:start w:w="110" w:type="dxa"/>
              <w:bottom w:w="80" w:type="dxa"/>
              <w:end w:w="110" w:type="dxa"/>
            </w:tcMar>
            <w:vAlign w:val="center"/>
          </w:tcPr>
          <w:p>
            <w:pPr>
              <w:spacing w:after="0" w:line="240" w:lineRule="auto"/>
            </w:pPr>
            <w:r>
              <w:rPr>
                <w:sz w:val="17"/>
              </w:rPr>
              <w:t>contrat HTTP/stream/webhook</w:t>
            </w:r>
          </w:p>
        </w:tc>
        <w:tc>
          <w:tcPr>
            <w:tcW w:type="dxa" w:w="2793"/>
            <w:tcMar>
              <w:top w:w="80" w:type="dxa"/>
              <w:start w:w="110" w:type="dxa"/>
              <w:bottom w:w="80" w:type="dxa"/>
              <w:end w:w="110" w:type="dxa"/>
            </w:tcMar>
            <w:vAlign w:val="center"/>
          </w:tcPr>
          <w:p>
            <w:pPr>
              <w:spacing w:after="0" w:line="240" w:lineRule="auto"/>
            </w:pPr>
            <w:r>
              <w:rPr>
                <w:sz w:val="17"/>
              </w:rPr>
              <w:t>garde dédiée, signature ou session</w:t>
            </w:r>
          </w:p>
        </w:tc>
        <w:tc>
          <w:tcPr>
            <w:tcW w:type="dxa" w:w="2793"/>
            <w:tcMar>
              <w:top w:w="80" w:type="dxa"/>
              <w:start w:w="110" w:type="dxa"/>
              <w:bottom w:w="80" w:type="dxa"/>
              <w:end w:w="110" w:type="dxa"/>
            </w:tcMar>
            <w:vAlign w:val="center"/>
          </w:tcPr>
          <w:p>
            <w:pPr>
              <w:spacing w:after="0" w:line="240" w:lineRule="auto"/>
            </w:pPr>
            <w:r>
              <w:rPr>
                <w:sz w:val="17"/>
              </w:rPr>
              <w:t>statut HTTP, corps minimal, capture opérationnelle</w:t>
            </w:r>
          </w:p>
        </w:tc>
      </w:tr>
      <w:tr>
        <w:tc>
          <w:tcPr>
            <w:tcW w:type="dxa" w:w="1064"/>
            <w:tcMar>
              <w:top w:w="80" w:type="dxa"/>
              <w:start w:w="110" w:type="dxa"/>
              <w:bottom w:w="80" w:type="dxa"/>
              <w:end w:w="110" w:type="dxa"/>
            </w:tcMar>
            <w:vAlign w:val="center"/>
            <w:shd w:fill="F8F7FC"/>
          </w:tcPr>
          <w:p>
            <w:pPr>
              <w:spacing w:after="0" w:line="240" w:lineRule="auto"/>
            </w:pPr>
            <w:r>
              <w:rPr>
                <w:sz w:val="17"/>
              </w:rPr>
              <w:t>Proxy</w:t>
            </w:r>
          </w:p>
        </w:tc>
        <w:tc>
          <w:tcPr>
            <w:tcW w:type="dxa" w:w="2527"/>
            <w:tcMar>
              <w:top w:w="80" w:type="dxa"/>
              <w:start w:w="110" w:type="dxa"/>
              <w:bottom w:w="80" w:type="dxa"/>
              <w:end w:w="110" w:type="dxa"/>
            </w:tcMar>
            <w:vAlign w:val="center"/>
            <w:shd w:fill="F8F7FC"/>
          </w:tcPr>
          <w:p>
            <w:pPr>
              <w:spacing w:after="0" w:line="240" w:lineRule="auto"/>
            </w:pPr>
            <w:r>
              <w:rPr>
                <w:sz w:val="17"/>
              </w:rPr>
              <w:t>locale, session et orientation d'accès</w:t>
            </w:r>
          </w:p>
        </w:tc>
        <w:tc>
          <w:tcPr>
            <w:tcW w:type="dxa" w:w="2793"/>
            <w:tcMar>
              <w:top w:w="80" w:type="dxa"/>
              <w:start w:w="110" w:type="dxa"/>
              <w:bottom w:w="80" w:type="dxa"/>
              <w:end w:w="110" w:type="dxa"/>
            </w:tcMar>
            <w:vAlign w:val="center"/>
            <w:shd w:fill="F8F7FC"/>
          </w:tcPr>
          <w:p>
            <w:pPr>
              <w:spacing w:after="0" w:line="240" w:lineRule="auto"/>
            </w:pPr>
            <w:r>
              <w:rPr>
                <w:sz w:val="17"/>
              </w:rPr>
              <w:t>Auth, profil et assurance MFA</w:t>
            </w:r>
          </w:p>
        </w:tc>
        <w:tc>
          <w:tcPr>
            <w:tcW w:type="dxa" w:w="2793"/>
            <w:tcMar>
              <w:top w:w="80" w:type="dxa"/>
              <w:start w:w="110" w:type="dxa"/>
              <w:bottom w:w="80" w:type="dxa"/>
              <w:end w:w="110" w:type="dxa"/>
            </w:tcMar>
            <w:vAlign w:val="center"/>
            <w:shd w:fill="F8F7FC"/>
          </w:tcPr>
          <w:p>
            <w:pPr>
              <w:spacing w:after="0" w:line="240" w:lineRule="auto"/>
            </w:pPr>
            <w:r>
              <w:rPr>
                <w:sz w:val="17"/>
              </w:rPr>
              <w:t>redirection locale sûre</w:t>
            </w:r>
          </w:p>
        </w:tc>
      </w:tr>
    </w:tbl>
    <w:p>
      <w:pPr>
        <w:spacing w:after="0"/>
      </w:pPr>
    </w:p>
    <w:p>
      <w:bookmarkStart w:id="9" w:name="h_9_Composition_de_configuration"/>
      <w:pPr>
        <w:pStyle w:val="Heading2"/>
      </w:pPr>
      <w:r>
        <w:t>Composition de configuration et build</w:t>
      </w:r>
      <w:bookmarkEnd w:id="9"/>
    </w:p>
    <w:p>
      <w:r>
        <w:rPr>
          <w:rFonts w:ascii="Consolas" w:hAnsi="Consolas"/>
          <w:color w:val="4A339E"/>
          <w:sz w:val="18"/>
        </w:rPr>
        <w:t>next.config.ts</w:t>
      </w:r>
      <w:r>
        <w:t xml:space="preserve"> compose d'abord le plugin </w:t>
      </w:r>
      <w:r>
        <w:rPr>
          <w:rFonts w:ascii="Consolas" w:hAnsi="Consolas"/>
          <w:color w:val="4A339E"/>
          <w:sz w:val="18"/>
        </w:rPr>
        <w:t>next-intl</w:t>
      </w:r>
      <w:r>
        <w:t xml:space="preserve">, puis </w:t>
      </w:r>
      <w:r>
        <w:rPr>
          <w:rFonts w:ascii="Consolas" w:hAnsi="Consolas"/>
          <w:color w:val="4A339E"/>
          <w:sz w:val="18"/>
        </w:rPr>
        <w:t>withSentryConfig</w:t>
      </w:r>
      <w:r>
        <w:t xml:space="preserve">. La racine Turbopack est fixée sur </w:t>
      </w:r>
      <w:r>
        <w:rPr>
          <w:rFonts w:ascii="Consolas" w:hAnsi="Consolas"/>
          <w:color w:val="4A339E"/>
          <w:sz w:val="18"/>
        </w:rPr>
        <w:t>webapp-cyna</w:t>
      </w:r>
      <w:r>
        <w:t xml:space="preserve"> pour que la résolution des paquets, du CSS et des manifestes ne dépende pas du dépôt parent. Sentry reçoit organisation, projet et jeton uniquement au build de production ; sans jeton, le build reste silencieux et fonctionnel, mais aucune source map n'est téléversée. Cette composition est couverte indirectement par le build CI avec des valeurs factices non secrètes.</w:t>
      </w:r>
    </w:p>
    <w:p>
      <w:r>
        <w:t xml:space="preserve">Le runtime n'embarque pas de serveur long-lived géré par l'équipe : le plugin Netlify convertit le build Next.js en fonctions et ressources de plateforme. Les effets persistants doivent donc être écrits dans Supabase, Stripe ou Storage, jamais conservés uniquement dans la mémoire d'une instance. Le </w:t>
      </w:r>
      <w:r>
        <w:rPr>
          <w:rFonts w:ascii="Consolas" w:hAnsi="Consolas"/>
          <w:color w:val="4A339E"/>
          <w:sz w:val="18"/>
        </w:rPr>
        <w:t>conversationId</w:t>
      </w:r>
      <w:r>
        <w:t xml:space="preserve"> gardé seulement dans l'état React illustre précisément la limite restante côté client.</w:t>
      </w:r>
    </w:p>
    <w:p>
      <w:r>
        <w:br w:type="page"/>
      </w:r>
    </w:p>
    <w:p>
      <w:bookmarkStart w:id="10" w:name="h_10_Architecture_front_end_et_de"/>
      <w:pPr>
        <w:pStyle w:val="Heading1"/>
      </w:pPr>
      <w:r>
        <w:t>Architecture front-end et design system</w:t>
      </w:r>
      <w:bookmarkEnd w:id="10"/>
    </w:p>
    <w:p>
      <w:r>
        <w:t>La couche front-end n'est pas une SPA autonome posée devant une API générique. Elle est intégrée à l'App Router : les Server Components produisent le premier rendu à partir des données autorisées, tandis que les Client Components sont introduits seulement lorsqu'un état navigateur, une interaction continue ou une API Web est nécessaire. Ce découpage réduit le JavaScript envoyé pour les pages de lecture et maintient la session, la locale et les règles métier du côté serveur. Les frontières clientes les plus visibles sont les formulaires interactifs, le panier éditable, les filtres de recherche, les galeries, les menus, la navigation BackOffice et le streaming CynAI.</w:t>
      </w:r>
    </w:p>
    <w:p>
      <w:r>
        <w:t xml:space="preserve">L'interface suit quatre niveaux de composition. Les layouts définissent les structures durables : en-tête public, pied de page, navigation de compte, topbar et sidebar d'administration. Les primitives de </w:t>
      </w:r>
      <w:r>
        <w:rPr>
          <w:rFonts w:ascii="Consolas" w:hAnsi="Consolas"/>
          <w:color w:val="4A339E"/>
          <w:sz w:val="18"/>
        </w:rPr>
        <w:t>src/components/ui</w:t>
      </w:r>
      <w:r>
        <w:t xml:space="preserve"> normalisent les contrôles, conteneurs, overlays et états de focus. Les composants métier assemblent ces primitives autour d'un contrat de domaine, par exemple </w:t>
      </w:r>
      <w:r>
        <w:rPr>
          <w:rFonts w:ascii="Consolas" w:hAnsi="Consolas"/>
          <w:color w:val="4A339E"/>
          <w:sz w:val="18"/>
        </w:rPr>
        <w:t>ProductPricingCard</w:t>
      </w:r>
      <w:r>
        <w:t xml:space="preserve">, </w:t>
      </w:r>
      <w:r>
        <w:rPr>
          <w:rFonts w:ascii="Consolas" w:hAnsi="Consolas"/>
          <w:color w:val="4A339E"/>
          <w:sz w:val="18"/>
        </w:rPr>
        <w:t>CartItemCard</w:t>
      </w:r>
      <w:r>
        <w:t xml:space="preserve">, </w:t>
      </w:r>
      <w:r>
        <w:rPr>
          <w:rFonts w:ascii="Consolas" w:hAnsi="Consolas"/>
          <w:color w:val="4A339E"/>
          <w:sz w:val="18"/>
        </w:rPr>
        <w:t>GuestCheckoutDialog</w:t>
      </w:r>
      <w:r>
        <w:t xml:space="preserve"> ou les cartes CynAI. Enfin, les pages orchestrent les lectures serveur et passent des données déjà filtrées aux composants. Une primitive ne doit pas connaître Supabase ou Stripe ; inversement, une page ne devrait pas réimplémenter le comportement clavier d'un dialogue ou d'un bouton.</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034"/>
        <w:gridCol w:w="2715"/>
        <w:gridCol w:w="2715"/>
        <w:gridCol w:w="2715"/>
      </w:tblGrid>
      <w:tr>
        <w:trPr>
          <w:tblHeader w:val="true"/>
        </w:trPr>
        <w:tc>
          <w:tcPr>
            <w:tcW w:type="dxa" w:w="1034"/>
            <w:tcMar>
              <w:top w:w="80" w:type="dxa"/>
              <w:start w:w="110" w:type="dxa"/>
              <w:bottom w:w="80" w:type="dxa"/>
              <w:end w:w="110" w:type="dxa"/>
            </w:tcMar>
            <w:vAlign w:val="center"/>
            <w:shd w:fill="E8EEF5"/>
          </w:tcPr>
          <w:p>
            <w:pPr>
              <w:spacing w:after="0" w:line="240" w:lineRule="auto"/>
            </w:pPr>
            <w:r>
              <w:rPr>
                <w:b/>
                <w:color w:val="302082"/>
                <w:sz w:val="17"/>
              </w:rPr>
              <w:t>Niveau UI</w:t>
            </w:r>
          </w:p>
        </w:tc>
        <w:tc>
          <w:tcPr>
            <w:tcW w:type="dxa" w:w="2715"/>
            <w:tcMar>
              <w:top w:w="80" w:type="dxa"/>
              <w:start w:w="110" w:type="dxa"/>
              <w:bottom w:w="80" w:type="dxa"/>
              <w:end w:w="110" w:type="dxa"/>
            </w:tcMar>
            <w:vAlign w:val="center"/>
            <w:shd w:fill="E8EEF5"/>
          </w:tcPr>
          <w:p>
            <w:pPr>
              <w:spacing w:after="0" w:line="240" w:lineRule="auto"/>
            </w:pPr>
            <w:r>
              <w:rPr>
                <w:b/>
                <w:color w:val="302082"/>
                <w:sz w:val="17"/>
              </w:rPr>
              <w:t>Responsabilité</w:t>
            </w:r>
          </w:p>
        </w:tc>
        <w:tc>
          <w:tcPr>
            <w:tcW w:type="dxa" w:w="2715"/>
            <w:tcMar>
              <w:top w:w="80" w:type="dxa"/>
              <w:start w:w="110" w:type="dxa"/>
              <w:bottom w:w="80" w:type="dxa"/>
              <w:end w:w="110" w:type="dxa"/>
            </w:tcMar>
            <w:vAlign w:val="center"/>
            <w:shd w:fill="E8EEF5"/>
          </w:tcPr>
          <w:p>
            <w:pPr>
              <w:spacing w:after="0" w:line="240" w:lineRule="auto"/>
            </w:pPr>
            <w:r>
              <w:rPr>
                <w:b/>
                <w:color w:val="302082"/>
                <w:sz w:val="17"/>
              </w:rPr>
              <w:t>Exemples réels</w:t>
            </w:r>
          </w:p>
        </w:tc>
        <w:tc>
          <w:tcPr>
            <w:tcW w:type="dxa" w:w="2715"/>
            <w:tcMar>
              <w:top w:w="80" w:type="dxa"/>
              <w:start w:w="110" w:type="dxa"/>
              <w:bottom w:w="80" w:type="dxa"/>
              <w:end w:w="110" w:type="dxa"/>
            </w:tcMar>
            <w:vAlign w:val="center"/>
            <w:shd w:fill="E8EEF5"/>
          </w:tcPr>
          <w:p>
            <w:pPr>
              <w:spacing w:after="0" w:line="240" w:lineRule="auto"/>
            </w:pPr>
            <w:r>
              <w:rPr>
                <w:b/>
                <w:color w:val="302082"/>
                <w:sz w:val="17"/>
              </w:rPr>
              <w:t>Invariant recherché</w:t>
            </w:r>
          </w:p>
        </w:tc>
      </w:tr>
      <w:tr>
        <w:tc>
          <w:tcPr>
            <w:tcW w:type="dxa" w:w="1034"/>
            <w:tcMar>
              <w:top w:w="80" w:type="dxa"/>
              <w:start w:w="110" w:type="dxa"/>
              <w:bottom w:w="80" w:type="dxa"/>
              <w:end w:w="110" w:type="dxa"/>
            </w:tcMar>
            <w:vAlign w:val="center"/>
          </w:tcPr>
          <w:p>
            <w:pPr>
              <w:spacing w:after="0" w:line="240" w:lineRule="auto"/>
            </w:pPr>
            <w:r>
              <w:rPr>
                <w:sz w:val="17"/>
              </w:rPr>
              <w:t>Layout</w:t>
            </w:r>
          </w:p>
        </w:tc>
        <w:tc>
          <w:tcPr>
            <w:tcW w:type="dxa" w:w="2715"/>
            <w:tcMar>
              <w:top w:w="80" w:type="dxa"/>
              <w:start w:w="110" w:type="dxa"/>
              <w:bottom w:w="80" w:type="dxa"/>
              <w:end w:w="110" w:type="dxa"/>
            </w:tcMar>
            <w:vAlign w:val="center"/>
          </w:tcPr>
          <w:p>
            <w:pPr>
              <w:spacing w:after="0" w:line="240" w:lineRule="auto"/>
            </w:pPr>
            <w:r>
              <w:rPr>
                <w:sz w:val="17"/>
              </w:rPr>
              <w:t>structure persistante, navigation et largeur de lecture</w:t>
            </w:r>
          </w:p>
        </w:tc>
        <w:tc>
          <w:tcPr>
            <w:tcW w:type="dxa" w:w="2715"/>
            <w:tcMar>
              <w:top w:w="80" w:type="dxa"/>
              <w:start w:w="110" w:type="dxa"/>
              <w:bottom w:w="80" w:type="dxa"/>
              <w:end w:w="110" w:type="dxa"/>
            </w:tcMar>
            <w:vAlign w:val="center"/>
          </w:tcPr>
          <w:p>
            <w:pPr>
              <w:spacing w:after="0" w:line="240" w:lineRule="auto"/>
            </w:pPr>
            <w:r>
              <w:rPr>
                <w:rFonts w:ascii="Consolas" w:hAnsi="Consolas"/>
                <w:color w:val="4A339E"/>
                <w:sz w:val="17"/>
              </w:rPr>
              <w:t>PublicHeader</w:t>
            </w:r>
            <w:r>
              <w:rPr>
                <w:sz w:val="17"/>
              </w:rPr>
              <w:t xml:space="preserve">, </w:t>
            </w:r>
            <w:r>
              <w:rPr>
                <w:rFonts w:ascii="Consolas" w:hAnsi="Consolas"/>
                <w:color w:val="4A339E"/>
                <w:sz w:val="17"/>
              </w:rPr>
              <w:t>PublicFooter</w:t>
            </w:r>
            <w:r>
              <w:rPr>
                <w:sz w:val="17"/>
              </w:rPr>
              <w:t xml:space="preserve">, </w:t>
            </w:r>
            <w:r>
              <w:rPr>
                <w:rFonts w:ascii="Consolas" w:hAnsi="Consolas"/>
                <w:color w:val="4A339E"/>
                <w:sz w:val="17"/>
              </w:rPr>
              <w:t>AdminSidebar</w:t>
            </w:r>
            <w:r>
              <w:rPr>
                <w:sz w:val="17"/>
              </w:rPr>
              <w:t xml:space="preserve">, </w:t>
            </w:r>
            <w:r>
              <w:rPr>
                <w:rFonts w:ascii="Consolas" w:hAnsi="Consolas"/>
                <w:color w:val="4A339E"/>
                <w:sz w:val="17"/>
              </w:rPr>
              <w:t>UserDashboardNav</w:t>
            </w:r>
          </w:p>
        </w:tc>
        <w:tc>
          <w:tcPr>
            <w:tcW w:type="dxa" w:w="2715"/>
            <w:tcMar>
              <w:top w:w="80" w:type="dxa"/>
              <w:start w:w="110" w:type="dxa"/>
              <w:bottom w:w="80" w:type="dxa"/>
              <w:end w:w="110" w:type="dxa"/>
            </w:tcMar>
            <w:vAlign w:val="center"/>
          </w:tcPr>
          <w:p>
            <w:pPr>
              <w:spacing w:after="0" w:line="240" w:lineRule="auto"/>
            </w:pPr>
            <w:r>
              <w:rPr>
                <w:sz w:val="17"/>
              </w:rPr>
              <w:t>ne pas dupliquer les repères de navigation entre pages</w:t>
            </w:r>
          </w:p>
        </w:tc>
      </w:tr>
      <w:tr>
        <w:tc>
          <w:tcPr>
            <w:tcW w:type="dxa" w:w="1034"/>
            <w:tcMar>
              <w:top w:w="80" w:type="dxa"/>
              <w:start w:w="110" w:type="dxa"/>
              <w:bottom w:w="80" w:type="dxa"/>
              <w:end w:w="110" w:type="dxa"/>
            </w:tcMar>
            <w:vAlign w:val="center"/>
            <w:shd w:fill="F8F7FC"/>
          </w:tcPr>
          <w:p>
            <w:pPr>
              <w:spacing w:after="0" w:line="240" w:lineRule="auto"/>
            </w:pPr>
            <w:r>
              <w:rPr>
                <w:sz w:val="17"/>
              </w:rPr>
              <w:t>Primitive</w:t>
            </w:r>
          </w:p>
        </w:tc>
        <w:tc>
          <w:tcPr>
            <w:tcW w:type="dxa" w:w="2715"/>
            <w:tcMar>
              <w:top w:w="80" w:type="dxa"/>
              <w:start w:w="110" w:type="dxa"/>
              <w:bottom w:w="80" w:type="dxa"/>
              <w:end w:w="110" w:type="dxa"/>
            </w:tcMar>
            <w:vAlign w:val="center"/>
            <w:shd w:fill="F8F7FC"/>
          </w:tcPr>
          <w:p>
            <w:pPr>
              <w:spacing w:after="0" w:line="240" w:lineRule="auto"/>
            </w:pPr>
            <w:r>
              <w:rPr>
                <w:sz w:val="17"/>
              </w:rPr>
              <w:t>interaction générique et états accessibles</w:t>
            </w:r>
          </w:p>
        </w:tc>
        <w:tc>
          <w:tcPr>
            <w:tcW w:type="dxa" w:w="2715"/>
            <w:tcMar>
              <w:top w:w="80" w:type="dxa"/>
              <w:start w:w="110" w:type="dxa"/>
              <w:bottom w:w="80" w:type="dxa"/>
              <w:end w:w="110" w:type="dxa"/>
            </w:tcMar>
            <w:vAlign w:val="center"/>
            <w:shd w:fill="F8F7FC"/>
          </w:tcPr>
          <w:p>
            <w:pPr>
              <w:spacing w:after="0" w:line="240" w:lineRule="auto"/>
            </w:pPr>
            <w:r>
              <w:rPr>
                <w:rFonts w:ascii="Consolas" w:hAnsi="Consolas"/>
                <w:color w:val="4A339E"/>
                <w:sz w:val="17"/>
              </w:rPr>
              <w:t>Button</w:t>
            </w:r>
            <w:r>
              <w:rPr>
                <w:sz w:val="17"/>
              </w:rPr>
              <w:t xml:space="preserve">, </w:t>
            </w:r>
            <w:r>
              <w:rPr>
                <w:rFonts w:ascii="Consolas" w:hAnsi="Consolas"/>
                <w:color w:val="4A339E"/>
                <w:sz w:val="17"/>
              </w:rPr>
              <w:t>Input</w:t>
            </w:r>
            <w:r>
              <w:rPr>
                <w:sz w:val="17"/>
              </w:rPr>
              <w:t xml:space="preserve">, </w:t>
            </w:r>
            <w:r>
              <w:rPr>
                <w:rFonts w:ascii="Consolas" w:hAnsi="Consolas"/>
                <w:color w:val="4A339E"/>
                <w:sz w:val="17"/>
              </w:rPr>
              <w:t>Card</w:t>
            </w:r>
            <w:r>
              <w:rPr>
                <w:sz w:val="17"/>
              </w:rPr>
              <w:t xml:space="preserve">, </w:t>
            </w:r>
            <w:r>
              <w:rPr>
                <w:rFonts w:ascii="Consolas" w:hAnsi="Consolas"/>
                <w:color w:val="4A339E"/>
                <w:sz w:val="17"/>
              </w:rPr>
              <w:t>Sheet</w:t>
            </w:r>
            <w:r>
              <w:rPr>
                <w:sz w:val="17"/>
              </w:rPr>
              <w:t xml:space="preserve">, </w:t>
            </w:r>
            <w:r>
              <w:rPr>
                <w:rFonts w:ascii="Consolas" w:hAnsi="Consolas"/>
                <w:color w:val="4A339E"/>
                <w:sz w:val="17"/>
              </w:rPr>
              <w:t>Table</w:t>
            </w:r>
            <w:r>
              <w:rPr>
                <w:sz w:val="17"/>
              </w:rPr>
              <w:t xml:space="preserve">, </w:t>
            </w:r>
            <w:r>
              <w:rPr>
                <w:rFonts w:ascii="Consolas" w:hAnsi="Consolas"/>
                <w:color w:val="4A339E"/>
                <w:sz w:val="17"/>
              </w:rPr>
              <w:t>Tooltip</w:t>
            </w:r>
          </w:p>
        </w:tc>
        <w:tc>
          <w:tcPr>
            <w:tcW w:type="dxa" w:w="2715"/>
            <w:tcMar>
              <w:top w:w="80" w:type="dxa"/>
              <w:start w:w="110" w:type="dxa"/>
              <w:bottom w:w="80" w:type="dxa"/>
              <w:end w:w="110" w:type="dxa"/>
            </w:tcMar>
            <w:vAlign w:val="center"/>
            <w:shd w:fill="F8F7FC"/>
          </w:tcPr>
          <w:p>
            <w:pPr>
              <w:spacing w:after="0" w:line="240" w:lineRule="auto"/>
            </w:pPr>
            <w:r>
              <w:rPr>
                <w:sz w:val="17"/>
              </w:rPr>
              <w:t>API visuelle stable, focus et états désactivés cohérents</w:t>
            </w:r>
          </w:p>
        </w:tc>
      </w:tr>
      <w:tr>
        <w:tc>
          <w:tcPr>
            <w:tcW w:type="dxa" w:w="1034"/>
            <w:tcMar>
              <w:top w:w="80" w:type="dxa"/>
              <w:start w:w="110" w:type="dxa"/>
              <w:bottom w:w="80" w:type="dxa"/>
              <w:end w:w="110" w:type="dxa"/>
            </w:tcMar>
            <w:vAlign w:val="center"/>
          </w:tcPr>
          <w:p>
            <w:pPr>
              <w:spacing w:after="0" w:line="240" w:lineRule="auto"/>
            </w:pPr>
            <w:r>
              <w:rPr>
                <w:sz w:val="17"/>
              </w:rPr>
              <w:t>Composant métier</w:t>
            </w:r>
          </w:p>
        </w:tc>
        <w:tc>
          <w:tcPr>
            <w:tcW w:type="dxa" w:w="2715"/>
            <w:tcMar>
              <w:top w:w="80" w:type="dxa"/>
              <w:start w:w="110" w:type="dxa"/>
              <w:bottom w:w="80" w:type="dxa"/>
              <w:end w:w="110" w:type="dxa"/>
            </w:tcMar>
            <w:vAlign w:val="center"/>
          </w:tcPr>
          <w:p>
            <w:pPr>
              <w:spacing w:after="0" w:line="240" w:lineRule="auto"/>
            </w:pPr>
            <w:r>
              <w:rPr>
                <w:sz w:val="17"/>
              </w:rPr>
              <w:t>présentation d'un concept et orchestration locale</w:t>
            </w:r>
          </w:p>
        </w:tc>
        <w:tc>
          <w:tcPr>
            <w:tcW w:type="dxa" w:w="2715"/>
            <w:tcMar>
              <w:top w:w="80" w:type="dxa"/>
              <w:start w:w="110" w:type="dxa"/>
              <w:bottom w:w="80" w:type="dxa"/>
              <w:end w:w="110" w:type="dxa"/>
            </w:tcMar>
            <w:vAlign w:val="center"/>
          </w:tcPr>
          <w:p>
            <w:pPr>
              <w:spacing w:after="0" w:line="240" w:lineRule="auto"/>
            </w:pPr>
            <w:r>
              <w:rPr>
                <w:sz w:val="17"/>
              </w:rPr>
              <w:t>produit, tarif, panier, abonnement, ticket, carte CynAI</w:t>
            </w:r>
          </w:p>
        </w:tc>
        <w:tc>
          <w:tcPr>
            <w:tcW w:type="dxa" w:w="2715"/>
            <w:tcMar>
              <w:top w:w="80" w:type="dxa"/>
              <w:start w:w="110" w:type="dxa"/>
              <w:bottom w:w="80" w:type="dxa"/>
              <w:end w:w="110" w:type="dxa"/>
            </w:tcMar>
            <w:vAlign w:val="center"/>
          </w:tcPr>
          <w:p>
            <w:pPr>
              <w:spacing w:after="0" w:line="240" w:lineRule="auto"/>
            </w:pPr>
            <w:r>
              <w:rPr>
                <w:sz w:val="17"/>
              </w:rPr>
              <w:t>données typées et mutation déléguée au service adapté</w:t>
            </w:r>
          </w:p>
        </w:tc>
      </w:tr>
      <w:tr>
        <w:tc>
          <w:tcPr>
            <w:tcW w:type="dxa" w:w="1034"/>
            <w:tcMar>
              <w:top w:w="80" w:type="dxa"/>
              <w:start w:w="110" w:type="dxa"/>
              <w:bottom w:w="80" w:type="dxa"/>
              <w:end w:w="110" w:type="dxa"/>
            </w:tcMar>
            <w:vAlign w:val="center"/>
            <w:shd w:fill="F8F7FC"/>
          </w:tcPr>
          <w:p>
            <w:pPr>
              <w:spacing w:after="0" w:line="240" w:lineRule="auto"/>
            </w:pPr>
            <w:r>
              <w:rPr>
                <w:sz w:val="17"/>
              </w:rPr>
              <w:t>Page App Router</w:t>
            </w:r>
          </w:p>
        </w:tc>
        <w:tc>
          <w:tcPr>
            <w:tcW w:type="dxa" w:w="2715"/>
            <w:tcMar>
              <w:top w:w="80" w:type="dxa"/>
              <w:start w:w="110" w:type="dxa"/>
              <w:bottom w:w="80" w:type="dxa"/>
              <w:end w:w="110" w:type="dxa"/>
            </w:tcMar>
            <w:vAlign w:val="center"/>
            <w:shd w:fill="F8F7FC"/>
          </w:tcPr>
          <w:p>
            <w:pPr>
              <w:spacing w:after="0" w:line="240" w:lineRule="auto"/>
            </w:pPr>
            <w:r>
              <w:rPr>
                <w:sz w:val="17"/>
              </w:rPr>
              <w:t>lecture serveur, garde, locale et composition</w:t>
            </w:r>
          </w:p>
        </w:tc>
        <w:tc>
          <w:tcPr>
            <w:tcW w:type="dxa" w:w="2715"/>
            <w:tcMar>
              <w:top w:w="80" w:type="dxa"/>
              <w:start w:w="110" w:type="dxa"/>
              <w:bottom w:w="80" w:type="dxa"/>
              <w:end w:w="110" w:type="dxa"/>
            </w:tcMar>
            <w:vAlign w:val="center"/>
            <w:shd w:fill="F8F7FC"/>
          </w:tcPr>
          <w:p>
            <w:pPr>
              <w:spacing w:after="0" w:line="240" w:lineRule="auto"/>
            </w:pPr>
            <w:r>
              <w:rPr>
                <w:sz w:val="17"/>
              </w:rPr>
              <w:t>catalogue, détail produit, compte, BackOffice</w:t>
            </w:r>
          </w:p>
        </w:tc>
        <w:tc>
          <w:tcPr>
            <w:tcW w:type="dxa" w:w="2715"/>
            <w:tcMar>
              <w:top w:w="80" w:type="dxa"/>
              <w:start w:w="110" w:type="dxa"/>
              <w:bottom w:w="80" w:type="dxa"/>
              <w:end w:w="110" w:type="dxa"/>
            </w:tcMar>
            <w:vAlign w:val="center"/>
            <w:shd w:fill="F8F7FC"/>
          </w:tcPr>
          <w:p>
            <w:pPr>
              <w:spacing w:after="0" w:line="240" w:lineRule="auto"/>
            </w:pPr>
            <w:r>
              <w:rPr>
                <w:sz w:val="17"/>
              </w:rPr>
              <w:t>aucune clé privilégiée ni autorité tarifaire dans le client</w:t>
            </w:r>
          </w:p>
        </w:tc>
      </w:tr>
    </w:tbl>
    <w:p>
      <w:pPr>
        <w:spacing w:after="0"/>
      </w:pPr>
    </w:p>
    <w:p>
      <w:r>
        <w:t>Les états locaux sont volontairement bornés. Le nombre de licences est tamponné dans le navigateur puis normalisé avant la Server Action ; une transition React matérialise l'attente sans rendre le client autoritaire. Les filtres de recherche écrivent leur état dans la query string avec un debounce : l'URL reste partageable et le serveur recalcule le résultat. Le panier est relu après mutation. CynAI fait exception par sa nature streamée : le hook client agrège le NDJSON et les cartes, mais la conversation canonique est persistée côté serveur. Cette architecture évite un store global unique dont la cohérence serait difficile à maintenir entre rendu serveur, navigation localisée et mutations.</w:t>
      </w:r>
    </w:p>
    <w:p>
      <w:bookmarkStart w:id="11" w:name="h_11_Syst_me_visuel__tokens_et_co"/>
      <w:pPr>
        <w:pStyle w:val="Heading2"/>
      </w:pPr>
      <w:r>
        <w:t>Système visuel, tokens et composants</w:t>
      </w:r>
      <w:bookmarkEnd w:id="11"/>
    </w:p>
    <w:p>
      <w:r>
        <w:t xml:space="preserve">Le socle est Tailwind CSS 4, importé depuis </w:t>
      </w:r>
      <w:r>
        <w:rPr>
          <w:rFonts w:ascii="Consolas" w:hAnsi="Consolas"/>
          <w:color w:val="4A339E"/>
          <w:sz w:val="18"/>
        </w:rPr>
        <w:t>globals.css</w:t>
      </w:r>
      <w:r>
        <w:t xml:space="preserve">, complété par </w:t>
      </w:r>
      <w:r>
        <w:rPr>
          <w:rFonts w:ascii="Consolas" w:hAnsi="Consolas"/>
          <w:color w:val="4A339E"/>
          <w:sz w:val="18"/>
        </w:rPr>
        <w:t>tw-animate-css</w:t>
      </w:r>
      <w:r>
        <w:t xml:space="preserve"> et la feuille shadcn. </w:t>
      </w:r>
      <w:r>
        <w:rPr>
          <w:rFonts w:ascii="Consolas" w:hAnsi="Consolas"/>
          <w:color w:val="4A339E"/>
          <w:sz w:val="18"/>
        </w:rPr>
        <w:t>components.json</w:t>
      </w:r>
      <w:r>
        <w:t xml:space="preserve"> déclare le style </w:t>
      </w:r>
      <w:r>
        <w:rPr>
          <w:rFonts w:ascii="Consolas" w:hAnsi="Consolas"/>
          <w:color w:val="4A339E"/>
          <w:sz w:val="18"/>
        </w:rPr>
        <w:t>base-vega</w:t>
      </w:r>
      <w:r>
        <w:t xml:space="preserve">, le support des React Server Components, les variables CSS et Lucide comme bibliothèque d'icônes. Les primitives interactives s'appuient en majorité sur Base UI, qui fournit la mécanique accessible sans imposer le rendu. </w:t>
      </w:r>
      <w:r>
        <w:rPr>
          <w:rFonts w:ascii="Consolas" w:hAnsi="Consolas"/>
          <w:color w:val="4A339E"/>
          <w:sz w:val="18"/>
        </w:rPr>
        <w:t>class-variance-authority</w:t>
      </w:r>
      <w:r>
        <w:t xml:space="preserve"> décrit les variantes de composants ; </w:t>
      </w:r>
      <w:r>
        <w:rPr>
          <w:rFonts w:ascii="Consolas" w:hAnsi="Consolas"/>
          <w:color w:val="4A339E"/>
          <w:sz w:val="18"/>
        </w:rPr>
        <w:t>cn()</w:t>
      </w:r>
      <w:r>
        <w:t xml:space="preserve"> compose </w:t>
      </w:r>
      <w:r>
        <w:rPr>
          <w:rFonts w:ascii="Consolas" w:hAnsi="Consolas"/>
          <w:color w:val="4A339E"/>
          <w:sz w:val="18"/>
        </w:rPr>
        <w:t>clsx</w:t>
      </w:r>
      <w:r>
        <w:t xml:space="preserve"> et </w:t>
      </w:r>
      <w:r>
        <w:rPr>
          <w:rFonts w:ascii="Consolas" w:hAnsi="Consolas"/>
          <w:color w:val="4A339E"/>
          <w:sz w:val="18"/>
        </w:rPr>
        <w:t>tailwind-merge</w:t>
      </w:r>
      <w:r>
        <w:t xml:space="preserve"> afin qu'une surcharge métier remplace proprement une classe de base au lieu de produire deux règles contradictoires.</w:t>
      </w:r>
    </w:p>
    <w:p>
      <w:r>
        <w:t xml:space="preserve">Le design system est piloté par des tokens sémantiques plutôt que par une couleur liée directement à chaque composant. </w:t>
      </w:r>
      <w:r>
        <w:rPr>
          <w:rFonts w:ascii="Consolas" w:hAnsi="Consolas"/>
          <w:color w:val="4A339E"/>
          <w:sz w:val="18"/>
        </w:rPr>
        <w:t>@theme inline</w:t>
      </w:r>
      <w:r>
        <w:t xml:space="preserve"> expose à Tailwind </w:t>
      </w:r>
      <w:r>
        <w:rPr>
          <w:rFonts w:ascii="Consolas" w:hAnsi="Consolas"/>
          <w:color w:val="4A339E"/>
          <w:sz w:val="18"/>
        </w:rPr>
        <w:t>background</w:t>
      </w:r>
      <w:r>
        <w:t xml:space="preserve">, </w:t>
      </w:r>
      <w:r>
        <w:rPr>
          <w:rFonts w:ascii="Consolas" w:hAnsi="Consolas"/>
          <w:color w:val="4A339E"/>
          <w:sz w:val="18"/>
        </w:rPr>
        <w:t>foreground</w:t>
      </w:r>
      <w:r>
        <w:t xml:space="preserve">, </w:t>
      </w:r>
      <w:r>
        <w:rPr>
          <w:rFonts w:ascii="Consolas" w:hAnsi="Consolas"/>
          <w:color w:val="4A339E"/>
          <w:sz w:val="18"/>
        </w:rPr>
        <w:t>card</w:t>
      </w:r>
      <w:r>
        <w:t xml:space="preserve">, </w:t>
      </w:r>
      <w:r>
        <w:rPr>
          <w:rFonts w:ascii="Consolas" w:hAnsi="Consolas"/>
          <w:color w:val="4A339E"/>
          <w:sz w:val="18"/>
        </w:rPr>
        <w:t>popover</w:t>
      </w:r>
      <w:r>
        <w:t xml:space="preserve">, </w:t>
      </w:r>
      <w:r>
        <w:rPr>
          <w:rFonts w:ascii="Consolas" w:hAnsi="Consolas"/>
          <w:color w:val="4A339E"/>
          <w:sz w:val="18"/>
        </w:rPr>
        <w:t>primary</w:t>
      </w:r>
      <w:r>
        <w:t xml:space="preserve">, </w:t>
      </w:r>
      <w:r>
        <w:rPr>
          <w:rFonts w:ascii="Consolas" w:hAnsi="Consolas"/>
          <w:color w:val="4A339E"/>
          <w:sz w:val="18"/>
        </w:rPr>
        <w:t>secondary</w:t>
      </w:r>
      <w:r>
        <w:t xml:space="preserve">, </w:t>
      </w:r>
      <w:r>
        <w:rPr>
          <w:rFonts w:ascii="Consolas" w:hAnsi="Consolas"/>
          <w:color w:val="4A339E"/>
          <w:sz w:val="18"/>
        </w:rPr>
        <w:t>muted</w:t>
      </w:r>
      <w:r>
        <w:t xml:space="preserve">, </w:t>
      </w:r>
      <w:r>
        <w:rPr>
          <w:rFonts w:ascii="Consolas" w:hAnsi="Consolas"/>
          <w:color w:val="4A339E"/>
          <w:sz w:val="18"/>
        </w:rPr>
        <w:t>accent</w:t>
      </w:r>
      <w:r>
        <w:t xml:space="preserve">, </w:t>
      </w:r>
      <w:r>
        <w:rPr>
          <w:rFonts w:ascii="Consolas" w:hAnsi="Consolas"/>
          <w:color w:val="4A339E"/>
          <w:sz w:val="18"/>
        </w:rPr>
        <w:t>destructive</w:t>
      </w:r>
      <w:r>
        <w:t xml:space="preserve">, </w:t>
      </w:r>
      <w:r>
        <w:rPr>
          <w:rFonts w:ascii="Consolas" w:hAnsi="Consolas"/>
          <w:color w:val="4A339E"/>
          <w:sz w:val="18"/>
        </w:rPr>
        <w:t>border</w:t>
      </w:r>
      <w:r>
        <w:t xml:space="preserve">, </w:t>
      </w:r>
      <w:r>
        <w:rPr>
          <w:rFonts w:ascii="Consolas" w:hAnsi="Consolas"/>
          <w:color w:val="4A339E"/>
          <w:sz w:val="18"/>
        </w:rPr>
        <w:t>input</w:t>
      </w:r>
      <w:r>
        <w:t xml:space="preserve">, </w:t>
      </w:r>
      <w:r>
        <w:rPr>
          <w:rFonts w:ascii="Consolas" w:hAnsi="Consolas"/>
          <w:color w:val="4A339E"/>
          <w:sz w:val="18"/>
        </w:rPr>
        <w:t>ring</w:t>
      </w:r>
      <w:r>
        <w:t xml:space="preserve">, les couleurs de graphiques et celles de sidebar. La palette racine utilise OKLCH, espace qui facilite des variations de luminosité plus prévisibles. Les composants peuvent ainsi demander </w:t>
      </w:r>
      <w:r>
        <w:rPr>
          <w:rFonts w:ascii="Consolas" w:hAnsi="Consolas"/>
          <w:color w:val="4A339E"/>
          <w:sz w:val="18"/>
        </w:rPr>
        <w:t>bg-primary</w:t>
      </w:r>
      <w:r>
        <w:t xml:space="preserve"> ou </w:t>
      </w:r>
      <w:r>
        <w:rPr>
          <w:rFonts w:ascii="Consolas" w:hAnsi="Consolas"/>
          <w:color w:val="4A339E"/>
          <w:sz w:val="18"/>
        </w:rPr>
        <w:t>text-muted-foreground</w:t>
      </w:r>
      <w:r>
        <w:t xml:space="preserve"> sans connaître la valeur concrète. Une famille de rayons est calculée depuis </w:t>
      </w:r>
      <w:r>
        <w:rPr>
          <w:rFonts w:ascii="Consolas" w:hAnsi="Consolas"/>
          <w:color w:val="4A339E"/>
          <w:sz w:val="18"/>
        </w:rPr>
        <w:t>--radius: 0.625rem</w:t>
      </w:r>
      <w:r>
        <w:t>, du petit contrôle jusqu'aux grandes cartes.</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257"/>
        <w:gridCol w:w="2640"/>
        <w:gridCol w:w="2640"/>
        <w:gridCol w:w="2640"/>
      </w:tblGrid>
      <w:tr>
        <w:trPr>
          <w:tblHeader w:val="true"/>
        </w:trPr>
        <w:tc>
          <w:tcPr>
            <w:tcW w:type="dxa" w:w="1257"/>
            <w:tcMar>
              <w:top w:w="80" w:type="dxa"/>
              <w:start w:w="110" w:type="dxa"/>
              <w:bottom w:w="80" w:type="dxa"/>
              <w:end w:w="110" w:type="dxa"/>
            </w:tcMar>
            <w:vAlign w:val="center"/>
            <w:shd w:fill="E8EEF5"/>
          </w:tcPr>
          <w:p>
            <w:pPr>
              <w:spacing w:after="0" w:line="240" w:lineRule="auto"/>
            </w:pPr>
            <w:r>
              <w:rPr>
                <w:b/>
                <w:color w:val="302082"/>
                <w:sz w:val="17"/>
              </w:rPr>
              <w:t>Famille de tokens</w:t>
            </w:r>
          </w:p>
        </w:tc>
        <w:tc>
          <w:tcPr>
            <w:tcW w:type="dxa" w:w="2640"/>
            <w:tcMar>
              <w:top w:w="80" w:type="dxa"/>
              <w:start w:w="110" w:type="dxa"/>
              <w:bottom w:w="80" w:type="dxa"/>
              <w:end w:w="110" w:type="dxa"/>
            </w:tcMar>
            <w:vAlign w:val="center"/>
            <w:shd w:fill="E8EEF5"/>
          </w:tcPr>
          <w:p>
            <w:pPr>
              <w:spacing w:after="0" w:line="240" w:lineRule="auto"/>
            </w:pPr>
            <w:r>
              <w:rPr>
                <w:b/>
                <w:color w:val="302082"/>
                <w:sz w:val="17"/>
              </w:rPr>
              <w:t>Implémentation</w:t>
            </w:r>
          </w:p>
        </w:tc>
        <w:tc>
          <w:tcPr>
            <w:tcW w:type="dxa" w:w="2640"/>
            <w:tcMar>
              <w:top w:w="80" w:type="dxa"/>
              <w:start w:w="110" w:type="dxa"/>
              <w:bottom w:w="80" w:type="dxa"/>
              <w:end w:w="110" w:type="dxa"/>
            </w:tcMar>
            <w:vAlign w:val="center"/>
            <w:shd w:fill="E8EEF5"/>
          </w:tcPr>
          <w:p>
            <w:pPr>
              <w:spacing w:after="0" w:line="240" w:lineRule="auto"/>
            </w:pPr>
            <w:r>
              <w:rPr>
                <w:b/>
                <w:color w:val="302082"/>
                <w:sz w:val="17"/>
              </w:rPr>
              <w:t>Usage architectural</w:t>
            </w:r>
          </w:p>
        </w:tc>
        <w:tc>
          <w:tcPr>
            <w:tcW w:type="dxa" w:w="2640"/>
            <w:tcMar>
              <w:top w:w="80" w:type="dxa"/>
              <w:start w:w="110" w:type="dxa"/>
              <w:bottom w:w="80" w:type="dxa"/>
              <w:end w:w="110" w:type="dxa"/>
            </w:tcMar>
            <w:vAlign w:val="center"/>
            <w:shd w:fill="E8EEF5"/>
          </w:tcPr>
          <w:p>
            <w:pPr>
              <w:spacing w:after="0" w:line="240" w:lineRule="auto"/>
            </w:pPr>
            <w:r>
              <w:rPr>
                <w:b/>
                <w:color w:val="302082"/>
                <w:sz w:val="17"/>
              </w:rPr>
              <w:t>Écart actuel</w:t>
            </w:r>
          </w:p>
        </w:tc>
      </w:tr>
      <w:tr>
        <w:tc>
          <w:tcPr>
            <w:tcW w:type="dxa" w:w="1257"/>
            <w:tcMar>
              <w:top w:w="80" w:type="dxa"/>
              <w:start w:w="110" w:type="dxa"/>
              <w:bottom w:w="80" w:type="dxa"/>
              <w:end w:w="110" w:type="dxa"/>
            </w:tcMar>
            <w:vAlign w:val="center"/>
          </w:tcPr>
          <w:p>
            <w:pPr>
              <w:spacing w:after="0" w:line="240" w:lineRule="auto"/>
            </w:pPr>
            <w:r>
              <w:rPr>
                <w:sz w:val="17"/>
              </w:rPr>
              <w:t>Couleurs sémantiques</w:t>
            </w:r>
          </w:p>
        </w:tc>
        <w:tc>
          <w:tcPr>
            <w:tcW w:type="dxa" w:w="2640"/>
            <w:tcMar>
              <w:top w:w="80" w:type="dxa"/>
              <w:start w:w="110" w:type="dxa"/>
              <w:bottom w:w="80" w:type="dxa"/>
              <w:end w:w="110" w:type="dxa"/>
            </w:tcMar>
            <w:vAlign w:val="center"/>
          </w:tcPr>
          <w:p>
            <w:pPr>
              <w:spacing w:after="0" w:line="240" w:lineRule="auto"/>
            </w:pPr>
            <w:r>
              <w:rPr>
                <w:sz w:val="17"/>
              </w:rPr>
              <w:t xml:space="preserve">variables OKLCH dans </w:t>
            </w:r>
            <w:r>
              <w:rPr>
                <w:rFonts w:ascii="Consolas" w:hAnsi="Consolas"/>
                <w:color w:val="4A339E"/>
                <w:sz w:val="17"/>
              </w:rPr>
              <w:t>:root</w:t>
            </w:r>
            <w:r>
              <w:rPr>
                <w:sz w:val="17"/>
              </w:rPr>
              <w:t xml:space="preserve"> et </w:t>
            </w:r>
            <w:r>
              <w:rPr>
                <w:rFonts w:ascii="Consolas" w:hAnsi="Consolas"/>
                <w:color w:val="4A339E"/>
                <w:sz w:val="17"/>
              </w:rPr>
              <w:t>.dark</w:t>
            </w:r>
          </w:p>
        </w:tc>
        <w:tc>
          <w:tcPr>
            <w:tcW w:type="dxa" w:w="2640"/>
            <w:tcMar>
              <w:top w:w="80" w:type="dxa"/>
              <w:start w:w="110" w:type="dxa"/>
              <w:bottom w:w="80" w:type="dxa"/>
              <w:end w:w="110" w:type="dxa"/>
            </w:tcMar>
            <w:vAlign w:val="center"/>
          </w:tcPr>
          <w:p>
            <w:pPr>
              <w:spacing w:after="0" w:line="240" w:lineRule="auto"/>
            </w:pPr>
            <w:r>
              <w:rPr>
                <w:sz w:val="17"/>
              </w:rPr>
              <w:t>surfaces, texte, focus, erreur, graphiques</w:t>
            </w:r>
          </w:p>
        </w:tc>
        <w:tc>
          <w:tcPr>
            <w:tcW w:type="dxa" w:w="2640"/>
            <w:tcMar>
              <w:top w:w="80" w:type="dxa"/>
              <w:start w:w="110" w:type="dxa"/>
              <w:bottom w:w="80" w:type="dxa"/>
              <w:end w:w="110" w:type="dxa"/>
            </w:tcMar>
            <w:vAlign w:val="center"/>
          </w:tcPr>
          <w:p>
            <w:pPr>
              <w:spacing w:after="0" w:line="240" w:lineRule="auto"/>
            </w:pPr>
            <w:r>
              <w:rPr>
                <w:sz w:val="17"/>
              </w:rPr>
              <w:t xml:space="preserve">le site public emploie encore beaucoup de classes </w:t>
            </w:r>
            <w:r>
              <w:rPr>
                <w:rFonts w:ascii="Consolas" w:hAnsi="Consolas"/>
                <w:color w:val="4A339E"/>
                <w:sz w:val="17"/>
              </w:rPr>
              <w:t>slate-*</w:t>
            </w:r>
            <w:r>
              <w:rPr>
                <w:sz w:val="17"/>
              </w:rPr>
              <w:t xml:space="preserve"> et </w:t>
            </w:r>
            <w:r>
              <w:rPr>
                <w:rFonts w:ascii="Consolas" w:hAnsi="Consolas"/>
                <w:color w:val="4A339E"/>
                <w:sz w:val="17"/>
              </w:rPr>
              <w:t>purple-*</w:t>
            </w:r>
            <w:r>
              <w:rPr>
                <w:sz w:val="17"/>
              </w:rPr>
              <w:t xml:space="preserve"> directes</w:t>
            </w:r>
          </w:p>
        </w:tc>
      </w:tr>
      <w:tr>
        <w:tc>
          <w:tcPr>
            <w:tcW w:type="dxa" w:w="1257"/>
            <w:tcMar>
              <w:top w:w="80" w:type="dxa"/>
              <w:start w:w="110" w:type="dxa"/>
              <w:bottom w:w="80" w:type="dxa"/>
              <w:end w:w="110" w:type="dxa"/>
            </w:tcMar>
            <w:vAlign w:val="center"/>
            <w:shd w:fill="F8F7FC"/>
          </w:tcPr>
          <w:p>
            <w:pPr>
              <w:spacing w:after="0" w:line="240" w:lineRule="auto"/>
            </w:pPr>
            <w:r>
              <w:rPr>
                <w:sz w:val="17"/>
              </w:rPr>
              <w:t>Marque BackOffice</w:t>
            </w:r>
          </w:p>
        </w:tc>
        <w:tc>
          <w:tcPr>
            <w:tcW w:type="dxa" w:w="2640"/>
            <w:tcMar>
              <w:top w:w="80" w:type="dxa"/>
              <w:start w:w="110" w:type="dxa"/>
              <w:bottom w:w="80" w:type="dxa"/>
              <w:end w:w="110" w:type="dxa"/>
            </w:tcMar>
            <w:vAlign w:val="center"/>
            <w:shd w:fill="F8F7FC"/>
          </w:tcPr>
          <w:p>
            <w:pPr>
              <w:spacing w:after="0" w:line="240" w:lineRule="auto"/>
            </w:pPr>
            <w:r>
              <w:rPr>
                <w:sz w:val="17"/>
              </w:rPr>
              <w:t xml:space="preserve">surcharge </w:t>
            </w:r>
            <w:r>
              <w:rPr>
                <w:rFonts w:ascii="Consolas" w:hAnsi="Consolas"/>
                <w:color w:val="4A339E"/>
                <w:sz w:val="17"/>
              </w:rPr>
              <w:t>.admin-theme</w:t>
            </w:r>
            <w:r>
              <w:rPr>
                <w:sz w:val="17"/>
              </w:rPr>
              <w:t xml:space="preserve"> de </w:t>
            </w:r>
            <w:r>
              <w:rPr>
                <w:rFonts w:ascii="Consolas" w:hAnsi="Consolas"/>
                <w:color w:val="4A339E"/>
                <w:sz w:val="17"/>
              </w:rPr>
              <w:t>primary</w:t>
            </w:r>
            <w:r>
              <w:rPr>
                <w:sz w:val="17"/>
              </w:rPr>
              <w:t xml:space="preserve">, </w:t>
            </w:r>
            <w:r>
              <w:rPr>
                <w:rFonts w:ascii="Consolas" w:hAnsi="Consolas"/>
                <w:color w:val="4A339E"/>
                <w:sz w:val="17"/>
              </w:rPr>
              <w:t>accent</w:t>
            </w:r>
            <w:r>
              <w:rPr>
                <w:sz w:val="17"/>
              </w:rPr>
              <w:t xml:space="preserve">, </w:t>
            </w:r>
            <w:r>
              <w:rPr>
                <w:rFonts w:ascii="Consolas" w:hAnsi="Consolas"/>
                <w:color w:val="4A339E"/>
                <w:sz w:val="17"/>
              </w:rPr>
              <w:t>ring</w:t>
            </w:r>
            <w:r>
              <w:rPr>
                <w:sz w:val="17"/>
              </w:rPr>
              <w:t xml:space="preserve"> et </w:t>
            </w:r>
            <w:r>
              <w:rPr>
                <w:rFonts w:ascii="Consolas" w:hAnsi="Consolas"/>
                <w:color w:val="4A339E"/>
                <w:sz w:val="17"/>
              </w:rPr>
              <w:t>sidebar-*</w:t>
            </w:r>
          </w:p>
        </w:tc>
        <w:tc>
          <w:tcPr>
            <w:tcW w:type="dxa" w:w="2640"/>
            <w:tcMar>
              <w:top w:w="80" w:type="dxa"/>
              <w:start w:w="110" w:type="dxa"/>
              <w:bottom w:w="80" w:type="dxa"/>
              <w:end w:w="110" w:type="dxa"/>
            </w:tcMar>
            <w:vAlign w:val="center"/>
            <w:shd w:fill="F8F7FC"/>
          </w:tcPr>
          <w:p>
            <w:pPr>
              <w:spacing w:after="0" w:line="240" w:lineRule="auto"/>
            </w:pPr>
            <w:r>
              <w:rPr>
                <w:sz w:val="17"/>
              </w:rPr>
              <w:t>identité violette cohérente jusque dans les portails</w:t>
            </w:r>
          </w:p>
        </w:tc>
        <w:tc>
          <w:tcPr>
            <w:tcW w:type="dxa" w:w="2640"/>
            <w:tcMar>
              <w:top w:w="80" w:type="dxa"/>
              <w:start w:w="110" w:type="dxa"/>
              <w:bottom w:w="80" w:type="dxa"/>
              <w:end w:w="110" w:type="dxa"/>
            </w:tcMar>
            <w:vAlign w:val="center"/>
            <w:shd w:fill="F8F7FC"/>
          </w:tcPr>
          <w:p>
            <w:pPr>
              <w:spacing w:after="0" w:line="240" w:lineRule="auto"/>
            </w:pPr>
            <w:r>
              <w:rPr>
                <w:sz w:val="17"/>
              </w:rPr>
              <w:t>thème clair uniquement, sans contrat public équivalent entièrement tokenisé</w:t>
            </w:r>
          </w:p>
        </w:tc>
      </w:tr>
      <w:tr>
        <w:tc>
          <w:tcPr>
            <w:tcW w:type="dxa" w:w="1257"/>
            <w:tcMar>
              <w:top w:w="80" w:type="dxa"/>
              <w:start w:w="110" w:type="dxa"/>
              <w:bottom w:w="80" w:type="dxa"/>
              <w:end w:w="110" w:type="dxa"/>
            </w:tcMar>
            <w:vAlign w:val="center"/>
          </w:tcPr>
          <w:p>
            <w:pPr>
              <w:spacing w:after="0" w:line="240" w:lineRule="auto"/>
            </w:pPr>
            <w:r>
              <w:rPr>
                <w:sz w:val="17"/>
              </w:rPr>
              <w:t>Typographie</w:t>
            </w:r>
          </w:p>
        </w:tc>
        <w:tc>
          <w:tcPr>
            <w:tcW w:type="dxa" w:w="2640"/>
            <w:tcMar>
              <w:top w:w="80" w:type="dxa"/>
              <w:start w:w="110" w:type="dxa"/>
              <w:bottom w:w="80" w:type="dxa"/>
              <w:end w:w="110" w:type="dxa"/>
            </w:tcMar>
            <w:vAlign w:val="center"/>
          </w:tcPr>
          <w:p>
            <w:pPr>
              <w:spacing w:after="0" w:line="240" w:lineRule="auto"/>
            </w:pPr>
            <w:r>
              <w:rPr>
                <w:sz w:val="17"/>
              </w:rPr>
              <w:t xml:space="preserve">Inter pour </w:t>
            </w:r>
            <w:r>
              <w:rPr>
                <w:rFonts w:ascii="Consolas" w:hAnsi="Consolas"/>
                <w:color w:val="4A339E"/>
                <w:sz w:val="17"/>
              </w:rPr>
              <w:t>--font-sans</w:t>
            </w:r>
            <w:r>
              <w:rPr>
                <w:sz w:val="17"/>
              </w:rPr>
              <w:t>, Geist Mono pour le code</w:t>
            </w:r>
          </w:p>
        </w:tc>
        <w:tc>
          <w:tcPr>
            <w:tcW w:type="dxa" w:w="2640"/>
            <w:tcMar>
              <w:top w:w="80" w:type="dxa"/>
              <w:start w:w="110" w:type="dxa"/>
              <w:bottom w:w="80" w:type="dxa"/>
              <w:end w:w="110" w:type="dxa"/>
            </w:tcMar>
            <w:vAlign w:val="center"/>
          </w:tcPr>
          <w:p>
            <w:pPr>
              <w:spacing w:after="0" w:line="240" w:lineRule="auto"/>
            </w:pPr>
            <w:r>
              <w:rPr>
                <w:sz w:val="17"/>
              </w:rPr>
              <w:t>lecture UI, chiffres, contrats techniques</w:t>
            </w:r>
          </w:p>
        </w:tc>
        <w:tc>
          <w:tcPr>
            <w:tcW w:type="dxa" w:w="2640"/>
            <w:tcMar>
              <w:top w:w="80" w:type="dxa"/>
              <w:start w:w="110" w:type="dxa"/>
              <w:bottom w:w="80" w:type="dxa"/>
              <w:end w:w="110" w:type="dxa"/>
            </w:tcMar>
            <w:vAlign w:val="center"/>
          </w:tcPr>
          <w:p>
            <w:pPr>
              <w:spacing w:after="0" w:line="240" w:lineRule="auto"/>
            </w:pPr>
            <w:r>
              <w:rPr>
                <w:rFonts w:ascii="Consolas" w:hAnsi="Consolas"/>
                <w:color w:val="4A339E"/>
                <w:sz w:val="17"/>
              </w:rPr>
              <w:t>font-heading</w:t>
            </w:r>
            <w:r>
              <w:rPr>
                <w:sz w:val="17"/>
              </w:rPr>
              <w:t xml:space="preserve"> réutilise la sans ; aucune échelle typographique centralisée nommée</w:t>
            </w:r>
          </w:p>
        </w:tc>
      </w:tr>
      <w:tr>
        <w:tc>
          <w:tcPr>
            <w:tcW w:type="dxa" w:w="1257"/>
            <w:tcMar>
              <w:top w:w="80" w:type="dxa"/>
              <w:start w:w="110" w:type="dxa"/>
              <w:bottom w:w="80" w:type="dxa"/>
              <w:end w:w="110" w:type="dxa"/>
            </w:tcMar>
            <w:vAlign w:val="center"/>
            <w:shd w:fill="F8F7FC"/>
          </w:tcPr>
          <w:p>
            <w:pPr>
              <w:spacing w:after="0" w:line="240" w:lineRule="auto"/>
            </w:pPr>
            <w:r>
              <w:rPr>
                <w:sz w:val="17"/>
              </w:rPr>
              <w:t>Formes</w:t>
            </w:r>
          </w:p>
        </w:tc>
        <w:tc>
          <w:tcPr>
            <w:tcW w:type="dxa" w:w="2640"/>
            <w:tcMar>
              <w:top w:w="80" w:type="dxa"/>
              <w:start w:w="110" w:type="dxa"/>
              <w:bottom w:w="80" w:type="dxa"/>
              <w:end w:w="110" w:type="dxa"/>
            </w:tcMar>
            <w:vAlign w:val="center"/>
            <w:shd w:fill="F8F7FC"/>
          </w:tcPr>
          <w:p>
            <w:pPr>
              <w:spacing w:after="0" w:line="240" w:lineRule="auto"/>
            </w:pPr>
            <w:r>
              <w:rPr>
                <w:sz w:val="17"/>
              </w:rPr>
              <w:t xml:space="preserve">rayon racine et échelle </w:t>
            </w:r>
            <w:r>
              <w:rPr>
                <w:rFonts w:ascii="Consolas" w:hAnsi="Consolas"/>
                <w:color w:val="4A339E"/>
                <w:sz w:val="17"/>
              </w:rPr>
              <w:t>sm</w:t>
            </w:r>
            <w:r>
              <w:rPr>
                <w:sz w:val="17"/>
              </w:rPr>
              <w:t xml:space="preserve"> à </w:t>
            </w:r>
            <w:r>
              <w:rPr>
                <w:rFonts w:ascii="Consolas" w:hAnsi="Consolas"/>
                <w:color w:val="4A339E"/>
                <w:sz w:val="17"/>
              </w:rPr>
              <w:t>4xl</w:t>
            </w:r>
          </w:p>
        </w:tc>
        <w:tc>
          <w:tcPr>
            <w:tcW w:type="dxa" w:w="2640"/>
            <w:tcMar>
              <w:top w:w="80" w:type="dxa"/>
              <w:start w:w="110" w:type="dxa"/>
              <w:bottom w:w="80" w:type="dxa"/>
              <w:end w:w="110" w:type="dxa"/>
            </w:tcMar>
            <w:vAlign w:val="center"/>
            <w:shd w:fill="F8F7FC"/>
          </w:tcPr>
          <w:p>
            <w:pPr>
              <w:spacing w:after="0" w:line="240" w:lineRule="auto"/>
            </w:pPr>
            <w:r>
              <w:rPr>
                <w:sz w:val="17"/>
              </w:rPr>
              <w:t>boutons, champs, cartes, sheets et notifications</w:t>
            </w:r>
          </w:p>
        </w:tc>
        <w:tc>
          <w:tcPr>
            <w:tcW w:type="dxa" w:w="2640"/>
            <w:tcMar>
              <w:top w:w="80" w:type="dxa"/>
              <w:start w:w="110" w:type="dxa"/>
              <w:bottom w:w="80" w:type="dxa"/>
              <w:end w:w="110" w:type="dxa"/>
            </w:tcMar>
            <w:vAlign w:val="center"/>
            <w:shd w:fill="F8F7FC"/>
          </w:tcPr>
          <w:p>
            <w:pPr>
              <w:spacing w:after="0" w:line="240" w:lineRule="auto"/>
            </w:pPr>
            <w:r>
              <w:rPr>
                <w:sz w:val="17"/>
              </w:rPr>
              <w:t xml:space="preserve">quelques composants métier fixent directement </w:t>
            </w:r>
            <w:r>
              <w:rPr>
                <w:rFonts w:ascii="Consolas" w:hAnsi="Consolas"/>
                <w:color w:val="4A339E"/>
                <w:sz w:val="17"/>
              </w:rPr>
              <w:t>rounded-*</w:t>
            </w:r>
          </w:p>
        </w:tc>
      </w:tr>
      <w:tr>
        <w:tc>
          <w:tcPr>
            <w:tcW w:type="dxa" w:w="1257"/>
            <w:tcMar>
              <w:top w:w="80" w:type="dxa"/>
              <w:start w:w="110" w:type="dxa"/>
              <w:bottom w:w="80" w:type="dxa"/>
              <w:end w:w="110" w:type="dxa"/>
            </w:tcMar>
            <w:vAlign w:val="center"/>
          </w:tcPr>
          <w:p>
            <w:pPr>
              <w:spacing w:after="0" w:line="240" w:lineRule="auto"/>
            </w:pPr>
            <w:r>
              <w:rPr>
                <w:sz w:val="17"/>
              </w:rPr>
              <w:t>Élévation</w:t>
            </w:r>
          </w:p>
        </w:tc>
        <w:tc>
          <w:tcPr>
            <w:tcW w:type="dxa" w:w="2640"/>
            <w:tcMar>
              <w:top w:w="80" w:type="dxa"/>
              <w:start w:w="110" w:type="dxa"/>
              <w:bottom w:w="80" w:type="dxa"/>
              <w:end w:w="110" w:type="dxa"/>
            </w:tcMar>
            <w:vAlign w:val="center"/>
          </w:tcPr>
          <w:p>
            <w:pPr>
              <w:spacing w:after="0" w:line="240" w:lineRule="auto"/>
            </w:pPr>
            <w:r>
              <w:rPr>
                <w:rFonts w:ascii="Consolas" w:hAnsi="Consolas"/>
                <w:color w:val="4A339E"/>
                <w:sz w:val="17"/>
              </w:rPr>
              <w:t>shadow-xs</w:t>
            </w:r>
            <w:r>
              <w:rPr>
                <w:sz w:val="17"/>
              </w:rPr>
              <w:t xml:space="preserve">, </w:t>
            </w:r>
            <w:r>
              <w:rPr>
                <w:rFonts w:ascii="Consolas" w:hAnsi="Consolas"/>
                <w:color w:val="4A339E"/>
                <w:sz w:val="17"/>
              </w:rPr>
              <w:t>shadow-sm</w:t>
            </w:r>
            <w:r>
              <w:rPr>
                <w:sz w:val="17"/>
              </w:rPr>
              <w:t xml:space="preserve">, </w:t>
            </w:r>
            <w:r>
              <w:rPr>
                <w:rFonts w:ascii="Consolas" w:hAnsi="Consolas"/>
                <w:color w:val="4A339E"/>
                <w:sz w:val="17"/>
              </w:rPr>
              <w:t>shadow-lg</w:t>
            </w:r>
            <w:r>
              <w:rPr>
                <w:sz w:val="17"/>
              </w:rPr>
              <w:t xml:space="preserve"> et ombres de marque</w:t>
            </w:r>
          </w:p>
        </w:tc>
        <w:tc>
          <w:tcPr>
            <w:tcW w:type="dxa" w:w="2640"/>
            <w:tcMar>
              <w:top w:w="80" w:type="dxa"/>
              <w:start w:w="110" w:type="dxa"/>
              <w:bottom w:w="80" w:type="dxa"/>
              <w:end w:w="110" w:type="dxa"/>
            </w:tcMar>
            <w:vAlign w:val="center"/>
          </w:tcPr>
          <w:p>
            <w:pPr>
              <w:spacing w:after="0" w:line="240" w:lineRule="auto"/>
            </w:pPr>
            <w:r>
              <w:rPr>
                <w:sz w:val="17"/>
              </w:rPr>
              <w:t>hiérarchie des cartes, overlays et feedback</w:t>
            </w:r>
          </w:p>
        </w:tc>
        <w:tc>
          <w:tcPr>
            <w:tcW w:type="dxa" w:w="2640"/>
            <w:tcMar>
              <w:top w:w="80" w:type="dxa"/>
              <w:start w:w="110" w:type="dxa"/>
              <w:bottom w:w="80" w:type="dxa"/>
              <w:end w:w="110" w:type="dxa"/>
            </w:tcMar>
            <w:vAlign w:val="center"/>
          </w:tcPr>
          <w:p>
            <w:pPr>
              <w:spacing w:after="0" w:line="240" w:lineRule="auto"/>
            </w:pPr>
            <w:r>
              <w:rPr>
                <w:sz w:val="17"/>
              </w:rPr>
              <w:t>les ombres CynAI/notifications sont spécifiques, non exposées comme tokens</w:t>
            </w:r>
          </w:p>
        </w:tc>
      </w:tr>
      <w:tr>
        <w:tc>
          <w:tcPr>
            <w:tcW w:type="dxa" w:w="1257"/>
            <w:tcMar>
              <w:top w:w="80" w:type="dxa"/>
              <w:start w:w="110" w:type="dxa"/>
              <w:bottom w:w="80" w:type="dxa"/>
              <w:end w:w="110" w:type="dxa"/>
            </w:tcMar>
            <w:vAlign w:val="center"/>
            <w:shd w:fill="F8F7FC"/>
          </w:tcPr>
          <w:p>
            <w:pPr>
              <w:spacing w:after="0" w:line="240" w:lineRule="auto"/>
            </w:pPr>
            <w:r>
              <w:rPr>
                <w:sz w:val="17"/>
              </w:rPr>
              <w:t>Mouvement</w:t>
            </w:r>
          </w:p>
        </w:tc>
        <w:tc>
          <w:tcPr>
            <w:tcW w:type="dxa" w:w="2640"/>
            <w:tcMar>
              <w:top w:w="80" w:type="dxa"/>
              <w:start w:w="110" w:type="dxa"/>
              <w:bottom w:w="80" w:type="dxa"/>
              <w:end w:w="110" w:type="dxa"/>
            </w:tcMar>
            <w:vAlign w:val="center"/>
            <w:shd w:fill="F8F7FC"/>
          </w:tcPr>
          <w:p>
            <w:pPr>
              <w:spacing w:after="0" w:line="240" w:lineRule="auto"/>
            </w:pPr>
            <w:r>
              <w:rPr>
                <w:sz w:val="17"/>
              </w:rPr>
              <w:t>transitions utilitaires et keyframes CYNA</w:t>
            </w:r>
          </w:p>
        </w:tc>
        <w:tc>
          <w:tcPr>
            <w:tcW w:type="dxa" w:w="2640"/>
            <w:tcMar>
              <w:top w:w="80" w:type="dxa"/>
              <w:start w:w="110" w:type="dxa"/>
              <w:bottom w:w="80" w:type="dxa"/>
              <w:end w:w="110" w:type="dxa"/>
            </w:tcMar>
            <w:vAlign w:val="center"/>
            <w:shd w:fill="F8F7FC"/>
          </w:tcPr>
          <w:p>
            <w:pPr>
              <w:spacing w:after="0" w:line="240" w:lineRule="auto"/>
            </w:pPr>
            <w:r>
              <w:rPr>
                <w:sz w:val="17"/>
              </w:rPr>
              <w:t>changement d'état, navigation de contexte, feedback</w:t>
            </w:r>
          </w:p>
        </w:tc>
        <w:tc>
          <w:tcPr>
            <w:tcW w:type="dxa" w:w="2640"/>
            <w:tcMar>
              <w:top w:w="80" w:type="dxa"/>
              <w:start w:w="110" w:type="dxa"/>
              <w:bottom w:w="80" w:type="dxa"/>
              <w:end w:w="110" w:type="dxa"/>
            </w:tcMar>
            <w:vAlign w:val="center"/>
            <w:shd w:fill="F8F7FC"/>
          </w:tcPr>
          <w:p>
            <w:pPr>
              <w:spacing w:after="0" w:line="240" w:lineRule="auto"/>
            </w:pPr>
            <w:r>
              <w:rPr>
                <w:sz w:val="17"/>
              </w:rPr>
              <w:t xml:space="preserve">couverture </w:t>
            </w:r>
            <w:r>
              <w:rPr>
                <w:rFonts w:ascii="Consolas" w:hAnsi="Consolas"/>
                <w:color w:val="4A339E"/>
                <w:sz w:val="17"/>
              </w:rPr>
              <w:t>prefers-reduced-motion</w:t>
            </w:r>
            <w:r>
              <w:rPr>
                <w:sz w:val="17"/>
              </w:rPr>
              <w:t xml:space="preserve"> partielle hors transition de site</w:t>
            </w:r>
          </w:p>
        </w:tc>
      </w:tr>
    </w:tbl>
    <w:p>
      <w:pPr>
        <w:spacing w:after="0"/>
      </w:pPr>
    </w:p>
    <w:p>
      <w:r>
        <w:t xml:space="preserve">Deux portées de thème coexistent. Le public conserve un fond blanc, une gamme ardoise pour le contenu et le violet CYNA pour les actions et repères. Le BackOffice applique </w:t>
      </w:r>
      <w:r>
        <w:rPr>
          <w:rFonts w:ascii="Consolas" w:hAnsi="Consolas"/>
          <w:color w:val="4A339E"/>
          <w:sz w:val="18"/>
        </w:rPr>
        <w:t>.admin-theme</w:t>
      </w:r>
      <w:r>
        <w:t xml:space="preserve"> au provider et au </w:t>
      </w:r>
      <w:r>
        <w:rPr>
          <w:rFonts w:ascii="Consolas" w:hAnsi="Consolas"/>
          <w:color w:val="4A339E"/>
          <w:sz w:val="18"/>
        </w:rPr>
        <w:t>body</w:t>
      </w:r>
      <w:r>
        <w:t xml:space="preserve"> via </w:t>
      </w:r>
      <w:r>
        <w:rPr>
          <w:rFonts w:ascii="Consolas" w:hAnsi="Consolas"/>
          <w:color w:val="4A339E"/>
          <w:sz w:val="18"/>
        </w:rPr>
        <w:t>AdminThemeBody</w:t>
      </w:r>
      <w:r>
        <w:t xml:space="preserve">, détail important car les dialogues et sheets sont rendus dans des portails hors du sous-arbre du layout. Ils héritent ainsi des mêmes variables que la page d'administration. Une palette </w:t>
      </w:r>
      <w:r>
        <w:rPr>
          <w:rFonts w:ascii="Consolas" w:hAnsi="Consolas"/>
          <w:color w:val="4A339E"/>
          <w:sz w:val="18"/>
        </w:rPr>
        <w:t>.dark</w:t>
      </w:r>
      <w:r>
        <w:t xml:space="preserve"> est définie dans la feuille globale, mais aucun sélecteur de thème sombre n'est livré : elle constitue une capacité technique dormante, pas une fonctionnalité à annoncer. Le BackOffice est explicitement conçu en thème clair.</w:t>
      </w:r>
    </w:p>
    <w:p>
      <w:r>
        <w:t xml:space="preserve">La police principale est Inter, chargée par </w:t>
      </w:r>
      <w:r>
        <w:rPr>
          <w:rFonts w:ascii="Consolas" w:hAnsi="Consolas"/>
          <w:color w:val="4A339E"/>
          <w:sz w:val="18"/>
        </w:rPr>
        <w:t>next/font</w:t>
      </w:r>
      <w:r>
        <w:t xml:space="preserve"> et exposée sous </w:t>
      </w:r>
      <w:r>
        <w:rPr>
          <w:rFonts w:ascii="Consolas" w:hAnsi="Consolas"/>
          <w:color w:val="4A339E"/>
          <w:sz w:val="18"/>
        </w:rPr>
        <w:t>--font-sans</w:t>
      </w:r>
      <w:r>
        <w:t xml:space="preserve">. Geist Sans et Geist Mono sont également déclarées ; la monospace sert aux usages techniques, tandis que les titres réutilisent actuellement la sans. L'option dyslexie remplace la famille par OpenDyslexic. Cette dernière est importée depuis un CDN CSS externe : sa disponibilité et sa politique de sécurité doivent donc être considérées séparément des polices empaquetées par Next.js. L'échelle courante va des métadonnées à </w:t>
      </w:r>
      <w:r>
        <w:rPr>
          <w:rFonts w:ascii="Consolas" w:hAnsi="Consolas"/>
          <w:color w:val="4A339E"/>
          <w:sz w:val="18"/>
        </w:rPr>
        <w:t>text-xs</w:t>
      </w:r>
      <w:r>
        <w:t xml:space="preserve"> jusqu'aux titres de page à </w:t>
      </w:r>
      <w:r>
        <w:rPr>
          <w:rFonts w:ascii="Consolas" w:hAnsi="Consolas"/>
          <w:color w:val="4A339E"/>
          <w:sz w:val="18"/>
        </w:rPr>
        <w:t>text-3xl</w:t>
      </w:r>
      <w:r>
        <w:t>; le poids, la couleur et l'espacement portent la hiérarchie davantage qu'une multiplication de familles.</w:t>
      </w:r>
    </w:p>
    <w:p>
      <w:r>
        <w:t xml:space="preserve">Les primitives les plus structurantes possèdent un contrat explicite. </w:t>
      </w:r>
      <w:r>
        <w:rPr>
          <w:rFonts w:ascii="Consolas" w:hAnsi="Consolas"/>
          <w:color w:val="4A339E"/>
          <w:sz w:val="18"/>
        </w:rPr>
        <w:t>Button</w:t>
      </w:r>
      <w:r>
        <w:t xml:space="preserve"> propose les variantes </w:t>
      </w:r>
      <w:r>
        <w:rPr>
          <w:rFonts w:ascii="Consolas" w:hAnsi="Consolas"/>
          <w:color w:val="4A339E"/>
          <w:sz w:val="18"/>
        </w:rPr>
        <w:t>default</w:t>
      </w:r>
      <w:r>
        <w:t xml:space="preserve">, </w:t>
      </w:r>
      <w:r>
        <w:rPr>
          <w:rFonts w:ascii="Consolas" w:hAnsi="Consolas"/>
          <w:color w:val="4A339E"/>
          <w:sz w:val="18"/>
        </w:rPr>
        <w:t>brand</w:t>
      </w:r>
      <w:r>
        <w:t xml:space="preserve">, </w:t>
      </w:r>
      <w:r>
        <w:rPr>
          <w:rFonts w:ascii="Consolas" w:hAnsi="Consolas"/>
          <w:color w:val="4A339E"/>
          <w:sz w:val="18"/>
        </w:rPr>
        <w:t>outline</w:t>
      </w:r>
      <w:r>
        <w:t xml:space="preserve">, </w:t>
      </w:r>
      <w:r>
        <w:rPr>
          <w:rFonts w:ascii="Consolas" w:hAnsi="Consolas"/>
          <w:color w:val="4A339E"/>
          <w:sz w:val="18"/>
        </w:rPr>
        <w:t>secondary</w:t>
      </w:r>
      <w:r>
        <w:t xml:space="preserve">, </w:t>
      </w:r>
      <w:r>
        <w:rPr>
          <w:rFonts w:ascii="Consolas" w:hAnsi="Consolas"/>
          <w:color w:val="4A339E"/>
          <w:sz w:val="18"/>
        </w:rPr>
        <w:t>ghost</w:t>
      </w:r>
      <w:r>
        <w:t xml:space="preserve">, </w:t>
      </w:r>
      <w:r>
        <w:rPr>
          <w:rFonts w:ascii="Consolas" w:hAnsi="Consolas"/>
          <w:color w:val="4A339E"/>
          <w:sz w:val="18"/>
        </w:rPr>
        <w:t>destructive</w:t>
      </w:r>
      <w:r>
        <w:t xml:space="preserve"> et </w:t>
      </w:r>
      <w:r>
        <w:rPr>
          <w:rFonts w:ascii="Consolas" w:hAnsi="Consolas"/>
          <w:color w:val="4A339E"/>
          <w:sz w:val="18"/>
        </w:rPr>
        <w:t>link</w:t>
      </w:r>
      <w:r>
        <w:t xml:space="preserve">, ainsi que des tailles texte ou icône. Tous les boutons partagent focus visible, état actif, désactivation, gestion </w:t>
      </w:r>
      <w:r>
        <w:rPr>
          <w:rFonts w:ascii="Consolas" w:hAnsi="Consolas"/>
          <w:color w:val="4A339E"/>
          <w:sz w:val="18"/>
        </w:rPr>
        <w:t>aria-invalid</w:t>
      </w:r>
      <w:r>
        <w:t xml:space="preserve"> et neutralisation des événements SVG. </w:t>
      </w:r>
      <w:r>
        <w:rPr>
          <w:rFonts w:ascii="Consolas" w:hAnsi="Consolas"/>
          <w:color w:val="4A339E"/>
          <w:sz w:val="18"/>
        </w:rPr>
        <w:t>Input</w:t>
      </w:r>
      <w:r>
        <w:t xml:space="preserve"> conserve un texte de base sur petit écran, puis passe à </w:t>
      </w:r>
      <w:r>
        <w:rPr>
          <w:rFonts w:ascii="Consolas" w:hAnsi="Consolas"/>
          <w:color w:val="4A339E"/>
          <w:sz w:val="18"/>
        </w:rPr>
        <w:t>text-sm</w:t>
      </w:r>
      <w:r>
        <w:t xml:space="preserve"> à partir de </w:t>
      </w:r>
      <w:r>
        <w:rPr>
          <w:rFonts w:ascii="Consolas" w:hAnsi="Consolas"/>
          <w:color w:val="4A339E"/>
          <w:sz w:val="18"/>
        </w:rPr>
        <w:t>md</w:t>
      </w:r>
      <w:r>
        <w:t xml:space="preserve">; le corps à 16 px sur mobile évite notamment le zoom automatique de certains navigateurs lors du focus. </w:t>
      </w:r>
      <w:r>
        <w:rPr>
          <w:rFonts w:ascii="Consolas" w:hAnsi="Consolas"/>
          <w:color w:val="4A339E"/>
          <w:sz w:val="18"/>
        </w:rPr>
        <w:t>Card</w:t>
      </w:r>
      <w:r>
        <w:t xml:space="preserve"> expose des slots d'en-tête, contenu, action et pied, avec une variante compacte. </w:t>
      </w:r>
      <w:r>
        <w:rPr>
          <w:rFonts w:ascii="Consolas" w:hAnsi="Consolas"/>
          <w:color w:val="4A339E"/>
          <w:sz w:val="18"/>
        </w:rPr>
        <w:t>Sheet</w:t>
      </w:r>
      <w:r>
        <w:t xml:space="preserve"> fournit les tiroirs et sidebars mobiles. </w:t>
      </w:r>
      <w:r>
        <w:rPr>
          <w:rFonts w:ascii="Consolas" w:hAnsi="Consolas"/>
          <w:color w:val="4A339E"/>
          <w:sz w:val="18"/>
        </w:rPr>
        <w:t>Table</w:t>
      </w:r>
      <w:r>
        <w:t xml:space="preserve"> place la table dans un conteneur </w:t>
      </w:r>
      <w:r>
        <w:rPr>
          <w:rFonts w:ascii="Consolas" w:hAnsi="Consolas"/>
          <w:color w:val="4A339E"/>
          <w:sz w:val="18"/>
        </w:rPr>
        <w:t>overflow-x-auto</w:t>
      </w:r>
      <w:r>
        <w:t>, contrat réutilisé par le BackOffice.</w:t>
      </w:r>
    </w:p>
    <w:p>
      <w:r>
        <w:t xml:space="preserve">Les attributs </w:t>
      </w:r>
      <w:r>
        <w:rPr>
          <w:rFonts w:ascii="Consolas" w:hAnsi="Consolas"/>
          <w:color w:val="4A339E"/>
          <w:sz w:val="18"/>
        </w:rPr>
        <w:t>data-slot</w:t>
      </w:r>
      <w:r>
        <w:t xml:space="preserve"> donnent un vocabulaire structurel aux primitives sans imposer un composant propriétaire lourd. Ils servent aux sélecteurs de thème et aux corrections responsive du layout admin. Les composants de domaine peuvent ajouter leurs classes via </w:t>
      </w:r>
      <w:r>
        <w:rPr>
          <w:rFonts w:ascii="Consolas" w:hAnsi="Consolas"/>
          <w:color w:val="4A339E"/>
          <w:sz w:val="18"/>
        </w:rPr>
        <w:t>cn()</w:t>
      </w:r>
      <w:r>
        <w:t xml:space="preserve"> tout en conservant les états fondamentaux. La règle d'architecture est de préférer une variante de primitive lorsqu'un motif se répète ; une classe locale reste acceptable pour un besoin métier unique. En pratique, le code est encore en transition : les nouvelles primitives sont cohérentes, mais plusieurs écrans historiques composent directement boutons, cartes et tableaux avec des utilitaires Tailwind ou des modules SCSS.</w:t>
      </w:r>
    </w:p>
    <w:p>
      <w:r>
        <w:t xml:space="preserve">Le feedback utilisateur suit plusieurs canaux complémentaires. Les actions longues utilisent </w:t>
      </w:r>
      <w:r>
        <w:rPr>
          <w:rFonts w:ascii="Consolas" w:hAnsi="Consolas"/>
          <w:color w:val="4A339E"/>
          <w:sz w:val="18"/>
        </w:rPr>
        <w:t>useTransition</w:t>
      </w:r>
      <w:r>
        <w:t xml:space="preserve">, </w:t>
      </w:r>
      <w:r>
        <w:rPr>
          <w:rFonts w:ascii="Consolas" w:hAnsi="Consolas"/>
          <w:color w:val="4A339E"/>
          <w:sz w:val="18"/>
        </w:rPr>
        <w:t>aria-busy</w:t>
      </w:r>
      <w:r>
        <w:t xml:space="preserve">, une opacité contrôlée et un indicateur de chargement. Le provider de notifications limite l'empilement à trois éléments, expose les statuts succès, information et erreur, annonce le message par </w:t>
      </w:r>
      <w:r>
        <w:rPr>
          <w:rFonts w:ascii="Consolas" w:hAnsi="Consolas"/>
          <w:color w:val="4A339E"/>
          <w:sz w:val="18"/>
        </w:rPr>
        <w:t>aria-live</w:t>
      </w:r>
      <w:r>
        <w:t xml:space="preserve"> et autorise une fermeture explicite. Les erreurs de formulaire associent texte, bordure destructive et </w:t>
      </w:r>
      <w:r>
        <w:rPr>
          <w:rFonts w:ascii="Consolas" w:hAnsi="Consolas"/>
          <w:color w:val="4A339E"/>
          <w:sz w:val="18"/>
        </w:rPr>
        <w:t>aria-invalid</w:t>
      </w:r>
      <w:r>
        <w:t xml:space="preserve">. Les états vides restent rendus dans la structure de la page au lieu d'être confondus avec un chargement. Les modales limitent leur hauteur à </w:t>
      </w:r>
      <w:r>
        <w:rPr>
          <w:rFonts w:ascii="Consolas" w:hAnsi="Consolas"/>
          <w:color w:val="4A339E"/>
          <w:sz w:val="18"/>
        </w:rPr>
        <w:t>calc(100dvh - 2rem)</w:t>
      </w:r>
      <w:r>
        <w:t xml:space="preserve"> et activent le scroll interne, ce qui protège l'accès aux actions sur un écran court ou avec clavier virtuel.</w:t>
      </w:r>
    </w:p>
    <w:p>
      <w:bookmarkStart w:id="12" w:name="h_12_Approche_mobile_first_et_com"/>
      <w:pPr>
        <w:pStyle w:val="Heading2"/>
      </w:pPr>
      <w:r>
        <w:t>Approche mobile-first et comportements responsive</w:t>
      </w:r>
      <w:bookmarkEnd w:id="12"/>
    </w:p>
    <w:p>
      <w:r>
        <w:t xml:space="preserve">Les classes sans préfixe décrivent le téléphone ; les variantes </w:t>
      </w:r>
      <w:r>
        <w:rPr>
          <w:rFonts w:ascii="Consolas" w:hAnsi="Consolas"/>
          <w:color w:val="4A339E"/>
          <w:sz w:val="18"/>
        </w:rPr>
        <w:t>sm</w:t>
      </w:r>
      <w:r>
        <w:t xml:space="preserve">, </w:t>
      </w:r>
      <w:r>
        <w:rPr>
          <w:rFonts w:ascii="Consolas" w:hAnsi="Consolas"/>
          <w:color w:val="4A339E"/>
          <w:sz w:val="18"/>
        </w:rPr>
        <w:t>md</w:t>
      </w:r>
      <w:r>
        <w:t xml:space="preserve">, </w:t>
      </w:r>
      <w:r>
        <w:rPr>
          <w:rFonts w:ascii="Consolas" w:hAnsi="Consolas"/>
          <w:color w:val="4A339E"/>
          <w:sz w:val="18"/>
        </w:rPr>
        <w:t>lg</w:t>
      </w:r>
      <w:r>
        <w:t xml:space="preserve">, </w:t>
      </w:r>
      <w:r>
        <w:rPr>
          <w:rFonts w:ascii="Consolas" w:hAnsi="Consolas"/>
          <w:color w:val="4A339E"/>
          <w:sz w:val="18"/>
        </w:rPr>
        <w:t>xl</w:t>
      </w:r>
      <w:r>
        <w:t xml:space="preserve"> et </w:t>
      </w:r>
      <w:r>
        <w:rPr>
          <w:rFonts w:ascii="Consolas" w:hAnsi="Consolas"/>
          <w:color w:val="4A339E"/>
          <w:sz w:val="18"/>
        </w:rPr>
        <w:t>2xl</w:t>
      </w:r>
      <w:r>
        <w:t xml:space="preserve"> enrichissent progressivement la mise en page lorsque la largeur augmente. Le dépôt ne maintient donc pas deux arbres React « mobile » et « desktop » pour une même page, sauf lorsqu'une représentation de données réellement différente améliore l'usage. Dans l'état documenté, 79 fichiers TypeScript/TSX utilisent des variantes responsive : </w:t>
      </w:r>
      <w:r>
        <w:rPr>
          <w:rFonts w:ascii="Consolas" w:hAnsi="Consolas"/>
          <w:color w:val="4A339E"/>
          <w:sz w:val="18"/>
        </w:rPr>
        <w:t>sm</w:t>
      </w:r>
      <w:r>
        <w:t xml:space="preserve"> domine nettement avec 275 occurrences, devant </w:t>
      </w:r>
      <w:r>
        <w:rPr>
          <w:rFonts w:ascii="Consolas" w:hAnsi="Consolas"/>
          <w:color w:val="4A339E"/>
          <w:sz w:val="18"/>
        </w:rPr>
        <w:t>lg</w:t>
      </w:r>
      <w:r>
        <w:t xml:space="preserve"> 59, </w:t>
      </w:r>
      <w:r>
        <w:rPr>
          <w:rFonts w:ascii="Consolas" w:hAnsi="Consolas"/>
          <w:color w:val="4A339E"/>
          <w:sz w:val="18"/>
        </w:rPr>
        <w:t>md</w:t>
      </w:r>
      <w:r>
        <w:t xml:space="preserve"> 27, </w:t>
      </w:r>
      <w:r>
        <w:rPr>
          <w:rFonts w:ascii="Consolas" w:hAnsi="Consolas"/>
          <w:color w:val="4A339E"/>
          <w:sz w:val="18"/>
        </w:rPr>
        <w:t>xl</w:t>
      </w:r>
      <w:r>
        <w:t xml:space="preserve"> 22 et </w:t>
      </w:r>
      <w:r>
        <w:rPr>
          <w:rFonts w:ascii="Consolas" w:hAnsi="Consolas"/>
          <w:color w:val="4A339E"/>
          <w:sz w:val="18"/>
        </w:rPr>
        <w:t>2xl</w:t>
      </w:r>
      <w:r>
        <w:t xml:space="preserve"> 1. Ces nombres décrivent un instant du code, pas un objectif de couverture.</w:t>
      </w:r>
    </w:p>
    <w:p>
      <w:r>
        <w:t xml:space="preserve">Les seuils suivent les valeurs Tailwind usuelles : </w:t>
      </w:r>
      <w:r>
        <w:rPr>
          <w:rFonts w:ascii="Consolas" w:hAnsi="Consolas"/>
          <w:color w:val="4A339E"/>
          <w:sz w:val="18"/>
        </w:rPr>
        <w:t>sm</w:t>
      </w:r>
      <w:r>
        <w:t xml:space="preserve"> à 640 px, </w:t>
      </w:r>
      <w:r>
        <w:rPr>
          <w:rFonts w:ascii="Consolas" w:hAnsi="Consolas"/>
          <w:color w:val="4A339E"/>
          <w:sz w:val="18"/>
        </w:rPr>
        <w:t>md</w:t>
      </w:r>
      <w:r>
        <w:t xml:space="preserve"> à 768 px, </w:t>
      </w:r>
      <w:r>
        <w:rPr>
          <w:rFonts w:ascii="Consolas" w:hAnsi="Consolas"/>
          <w:color w:val="4A339E"/>
          <w:sz w:val="18"/>
        </w:rPr>
        <w:t>lg</w:t>
      </w:r>
      <w:r>
        <w:t xml:space="preserve"> à 1024 px, </w:t>
      </w:r>
      <w:r>
        <w:rPr>
          <w:rFonts w:ascii="Consolas" w:hAnsi="Consolas"/>
          <w:color w:val="4A339E"/>
          <w:sz w:val="18"/>
        </w:rPr>
        <w:t>xl</w:t>
      </w:r>
      <w:r>
        <w:t xml:space="preserve"> à 1280 px et </w:t>
      </w:r>
      <w:r>
        <w:rPr>
          <w:rFonts w:ascii="Consolas" w:hAnsi="Consolas"/>
          <w:color w:val="4A339E"/>
          <w:sz w:val="18"/>
        </w:rPr>
        <w:t>2xl</w:t>
      </w:r>
      <w:r>
        <w:t xml:space="preserve"> à 1536 px. Le seul breakpoint centralisé en JavaScript, </w:t>
      </w:r>
      <w:r>
        <w:rPr>
          <w:rFonts w:ascii="Consolas" w:hAnsi="Consolas"/>
          <w:color w:val="4A339E"/>
          <w:sz w:val="18"/>
        </w:rPr>
        <w:t>MOBILE_BREAKPOINT = 768</w:t>
      </w:r>
      <w:r>
        <w:t xml:space="preserve">, est aligné sur </w:t>
      </w:r>
      <w:r>
        <w:rPr>
          <w:rFonts w:ascii="Consolas" w:hAnsi="Consolas"/>
          <w:color w:val="4A339E"/>
          <w:sz w:val="18"/>
        </w:rPr>
        <w:t>md</w:t>
      </w:r>
      <w:r>
        <w:t xml:space="preserve">. Il sert à la sidebar : sous 768 px elle devient un </w:t>
      </w:r>
      <w:r>
        <w:rPr>
          <w:rFonts w:ascii="Consolas" w:hAnsi="Consolas"/>
          <w:color w:val="4A339E"/>
          <w:sz w:val="18"/>
        </w:rPr>
        <w:t>Sheet</w:t>
      </w:r>
      <w:r>
        <w:t xml:space="preserve"> de 18 rem, au-dessus elle occupe 16 rem et peut se replier. Les autres décisions restent en CSS, ce qui évite de dériver le rendu initial depuis le user-agent et limite les divergences d'hydratation.</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091"/>
        <w:gridCol w:w="2696"/>
        <w:gridCol w:w="2696"/>
        <w:gridCol w:w="2696"/>
      </w:tblGrid>
      <w:tr>
        <w:trPr>
          <w:tblHeader w:val="true"/>
        </w:trPr>
        <w:tc>
          <w:tcPr>
            <w:tcW w:type="dxa" w:w="1091"/>
            <w:tcMar>
              <w:top w:w="80" w:type="dxa"/>
              <w:start w:w="110" w:type="dxa"/>
              <w:bottom w:w="80" w:type="dxa"/>
              <w:end w:w="110" w:type="dxa"/>
            </w:tcMar>
            <w:vAlign w:val="center"/>
            <w:shd w:fill="E8EEF5"/>
          </w:tcPr>
          <w:p>
            <w:pPr>
              <w:spacing w:after="0" w:line="240" w:lineRule="auto"/>
            </w:pPr>
            <w:r>
              <w:rPr>
                <w:b/>
                <w:color w:val="302082"/>
                <w:sz w:val="17"/>
              </w:rPr>
              <w:t>Zone</w:t>
            </w:r>
          </w:p>
        </w:tc>
        <w:tc>
          <w:tcPr>
            <w:tcW w:type="dxa" w:w="2696"/>
            <w:tcMar>
              <w:top w:w="80" w:type="dxa"/>
              <w:start w:w="110" w:type="dxa"/>
              <w:bottom w:w="80" w:type="dxa"/>
              <w:end w:w="110" w:type="dxa"/>
            </w:tcMar>
            <w:vAlign w:val="center"/>
            <w:shd w:fill="E8EEF5"/>
          </w:tcPr>
          <w:p>
            <w:pPr>
              <w:spacing w:after="0" w:line="240" w:lineRule="auto"/>
            </w:pPr>
            <w:r>
              <w:rPr>
                <w:b/>
                <w:color w:val="302082"/>
                <w:sz w:val="17"/>
              </w:rPr>
              <w:t>Téléphone, règle de base</w:t>
            </w:r>
          </w:p>
        </w:tc>
        <w:tc>
          <w:tcPr>
            <w:tcW w:type="dxa" w:w="2696"/>
            <w:tcMar>
              <w:top w:w="80" w:type="dxa"/>
              <w:start w:w="110" w:type="dxa"/>
              <w:bottom w:w="80" w:type="dxa"/>
              <w:end w:w="110" w:type="dxa"/>
            </w:tcMar>
            <w:vAlign w:val="center"/>
            <w:shd w:fill="E8EEF5"/>
          </w:tcPr>
          <w:p>
            <w:pPr>
              <w:spacing w:after="0" w:line="240" w:lineRule="auto"/>
            </w:pPr>
            <w:r>
              <w:rPr>
                <w:b/>
                <w:color w:val="302082"/>
                <w:sz w:val="17"/>
              </w:rPr>
              <w:t>À partir du breakpoint</w:t>
            </w:r>
          </w:p>
        </w:tc>
        <w:tc>
          <w:tcPr>
            <w:tcW w:type="dxa" w:w="2696"/>
            <w:tcMar>
              <w:top w:w="80" w:type="dxa"/>
              <w:start w:w="110" w:type="dxa"/>
              <w:bottom w:w="80" w:type="dxa"/>
              <w:end w:w="110" w:type="dxa"/>
            </w:tcMar>
            <w:vAlign w:val="center"/>
            <w:shd w:fill="E8EEF5"/>
          </w:tcPr>
          <w:p>
            <w:pPr>
              <w:spacing w:after="0" w:line="240" w:lineRule="auto"/>
            </w:pPr>
            <w:r>
              <w:rPr>
                <w:b/>
                <w:color w:val="302082"/>
                <w:sz w:val="17"/>
              </w:rPr>
              <w:t>Justification</w:t>
            </w:r>
          </w:p>
        </w:tc>
      </w:tr>
      <w:tr>
        <w:tc>
          <w:tcPr>
            <w:tcW w:type="dxa" w:w="1091"/>
            <w:tcMar>
              <w:top w:w="80" w:type="dxa"/>
              <w:start w:w="110" w:type="dxa"/>
              <w:bottom w:w="80" w:type="dxa"/>
              <w:end w:w="110" w:type="dxa"/>
            </w:tcMar>
            <w:vAlign w:val="center"/>
          </w:tcPr>
          <w:p>
            <w:pPr>
              <w:spacing w:after="0" w:line="240" w:lineRule="auto"/>
            </w:pPr>
            <w:r>
              <w:rPr>
                <w:sz w:val="17"/>
              </w:rPr>
              <w:t>En-tête public</w:t>
            </w:r>
          </w:p>
        </w:tc>
        <w:tc>
          <w:tcPr>
            <w:tcW w:type="dxa" w:w="2696"/>
            <w:tcMar>
              <w:top w:w="80" w:type="dxa"/>
              <w:start w:w="110" w:type="dxa"/>
              <w:bottom w:w="80" w:type="dxa"/>
              <w:end w:w="110" w:type="dxa"/>
            </w:tcMar>
            <w:vAlign w:val="center"/>
          </w:tcPr>
          <w:p>
            <w:pPr>
              <w:spacing w:after="0" w:line="240" w:lineRule="auto"/>
            </w:pPr>
            <w:r>
              <w:rPr>
                <w:sz w:val="17"/>
              </w:rPr>
              <w:t>logo compact, recherche par bouton, panier et menu 44 px</w:t>
            </w:r>
          </w:p>
        </w:tc>
        <w:tc>
          <w:tcPr>
            <w:tcW w:type="dxa" w:w="2696"/>
            <w:tcMar>
              <w:top w:w="80" w:type="dxa"/>
              <w:start w:w="110" w:type="dxa"/>
              <w:bottom w:w="80" w:type="dxa"/>
              <w:end w:w="110" w:type="dxa"/>
            </w:tcMar>
            <w:vAlign w:val="center"/>
          </w:tcPr>
          <w:p>
            <w:pPr>
              <w:spacing w:after="0" w:line="240" w:lineRule="auto"/>
            </w:pPr>
            <w:r>
              <w:rPr>
                <w:sz w:val="17"/>
              </w:rPr>
              <w:t xml:space="preserve">recherche et catégories visibles à </w:t>
            </w:r>
            <w:r>
              <w:rPr>
                <w:rFonts w:ascii="Consolas" w:hAnsi="Consolas"/>
                <w:color w:val="4A339E"/>
                <w:sz w:val="17"/>
              </w:rPr>
              <w:t>md</w:t>
            </w:r>
            <w:r>
              <w:rPr>
                <w:sz w:val="17"/>
              </w:rPr>
              <w:t xml:space="preserve">; compte/connexion à </w:t>
            </w:r>
            <w:r>
              <w:rPr>
                <w:rFonts w:ascii="Consolas" w:hAnsi="Consolas"/>
                <w:color w:val="4A339E"/>
                <w:sz w:val="17"/>
              </w:rPr>
              <w:t>lg</w:t>
            </w:r>
          </w:p>
        </w:tc>
        <w:tc>
          <w:tcPr>
            <w:tcW w:type="dxa" w:w="2696"/>
            <w:tcMar>
              <w:top w:w="80" w:type="dxa"/>
              <w:start w:w="110" w:type="dxa"/>
              <w:bottom w:w="80" w:type="dxa"/>
              <w:end w:w="110" w:type="dxa"/>
            </w:tcMar>
            <w:vAlign w:val="center"/>
          </w:tcPr>
          <w:p>
            <w:pPr>
              <w:spacing w:after="0" w:line="240" w:lineRule="auto"/>
            </w:pPr>
            <w:r>
              <w:rPr>
                <w:sz w:val="17"/>
              </w:rPr>
              <w:t>conserver les actions critiques sans comprimer le champ de recherche</w:t>
            </w:r>
          </w:p>
        </w:tc>
      </w:tr>
      <w:tr>
        <w:tc>
          <w:tcPr>
            <w:tcW w:type="dxa" w:w="1091"/>
            <w:tcMar>
              <w:top w:w="80" w:type="dxa"/>
              <w:start w:w="110" w:type="dxa"/>
              <w:bottom w:w="80" w:type="dxa"/>
              <w:end w:w="110" w:type="dxa"/>
            </w:tcMar>
            <w:vAlign w:val="center"/>
            <w:shd w:fill="F8F7FC"/>
          </w:tcPr>
          <w:p>
            <w:pPr>
              <w:spacing w:after="0" w:line="240" w:lineRule="auto"/>
            </w:pPr>
            <w:r>
              <w:rPr>
                <w:sz w:val="17"/>
              </w:rPr>
              <w:t>Grilles catalogue</w:t>
            </w:r>
          </w:p>
        </w:tc>
        <w:tc>
          <w:tcPr>
            <w:tcW w:type="dxa" w:w="2696"/>
            <w:tcMar>
              <w:top w:w="80" w:type="dxa"/>
              <w:start w:w="110" w:type="dxa"/>
              <w:bottom w:w="80" w:type="dxa"/>
              <w:end w:w="110" w:type="dxa"/>
            </w:tcMar>
            <w:vAlign w:val="center"/>
            <w:shd w:fill="F8F7FC"/>
          </w:tcPr>
          <w:p>
            <w:pPr>
              <w:spacing w:after="0" w:line="240" w:lineRule="auto"/>
            </w:pPr>
            <w:r>
              <w:rPr>
                <w:sz w:val="17"/>
              </w:rPr>
              <w:t>une colonne</w:t>
            </w:r>
          </w:p>
        </w:tc>
        <w:tc>
          <w:tcPr>
            <w:tcW w:type="dxa" w:w="2696"/>
            <w:tcMar>
              <w:top w:w="80" w:type="dxa"/>
              <w:start w:w="110" w:type="dxa"/>
              <w:bottom w:w="80" w:type="dxa"/>
              <w:end w:w="110" w:type="dxa"/>
            </w:tcMar>
            <w:vAlign w:val="center"/>
            <w:shd w:fill="F8F7FC"/>
          </w:tcPr>
          <w:p>
            <w:pPr>
              <w:spacing w:after="0" w:line="240" w:lineRule="auto"/>
            </w:pPr>
            <w:r>
              <w:rPr>
                <w:sz w:val="17"/>
              </w:rPr>
              <w:t xml:space="preserve">deux à </w:t>
            </w:r>
            <w:r>
              <w:rPr>
                <w:rFonts w:ascii="Consolas" w:hAnsi="Consolas"/>
                <w:color w:val="4A339E"/>
                <w:sz w:val="17"/>
              </w:rPr>
              <w:t>sm</w:t>
            </w:r>
            <w:r>
              <w:rPr>
                <w:sz w:val="17"/>
              </w:rPr>
              <w:t xml:space="preserve">, trois à </w:t>
            </w:r>
            <w:r>
              <w:rPr>
                <w:rFonts w:ascii="Consolas" w:hAnsi="Consolas"/>
                <w:color w:val="4A339E"/>
                <w:sz w:val="17"/>
              </w:rPr>
              <w:t>lg</w:t>
            </w:r>
            <w:r>
              <w:rPr>
                <w:sz w:val="17"/>
              </w:rPr>
              <w:t xml:space="preserve">, parfois quatre à </w:t>
            </w:r>
            <w:r>
              <w:rPr>
                <w:rFonts w:ascii="Consolas" w:hAnsi="Consolas"/>
                <w:color w:val="4A339E"/>
                <w:sz w:val="17"/>
              </w:rPr>
              <w:t>xl</w:t>
            </w:r>
          </w:p>
        </w:tc>
        <w:tc>
          <w:tcPr>
            <w:tcW w:type="dxa" w:w="2696"/>
            <w:tcMar>
              <w:top w:w="80" w:type="dxa"/>
              <w:start w:w="110" w:type="dxa"/>
              <w:bottom w:w="80" w:type="dxa"/>
              <w:end w:w="110" w:type="dxa"/>
            </w:tcMar>
            <w:vAlign w:val="center"/>
            <w:shd w:fill="F8F7FC"/>
          </w:tcPr>
          <w:p>
            <w:pPr>
              <w:spacing w:after="0" w:line="240" w:lineRule="auto"/>
            </w:pPr>
            <w:r>
              <w:rPr>
                <w:sz w:val="17"/>
              </w:rPr>
              <w:t>carte lisible avant maximisation de la densité</w:t>
            </w:r>
          </w:p>
        </w:tc>
      </w:tr>
      <w:tr>
        <w:tc>
          <w:tcPr>
            <w:tcW w:type="dxa" w:w="1091"/>
            <w:tcMar>
              <w:top w:w="80" w:type="dxa"/>
              <w:start w:w="110" w:type="dxa"/>
              <w:bottom w:w="80" w:type="dxa"/>
              <w:end w:w="110" w:type="dxa"/>
            </w:tcMar>
            <w:vAlign w:val="center"/>
          </w:tcPr>
          <w:p>
            <w:pPr>
              <w:spacing w:after="0" w:line="240" w:lineRule="auto"/>
            </w:pPr>
            <w:r>
              <w:rPr>
                <w:sz w:val="17"/>
              </w:rPr>
              <w:t>Détail produit</w:t>
            </w:r>
          </w:p>
        </w:tc>
        <w:tc>
          <w:tcPr>
            <w:tcW w:type="dxa" w:w="2696"/>
            <w:tcMar>
              <w:top w:w="80" w:type="dxa"/>
              <w:start w:w="110" w:type="dxa"/>
              <w:bottom w:w="80" w:type="dxa"/>
              <w:end w:w="110" w:type="dxa"/>
            </w:tcMar>
            <w:vAlign w:val="center"/>
          </w:tcPr>
          <w:p>
            <w:pPr>
              <w:spacing w:after="0" w:line="240" w:lineRule="auto"/>
            </w:pPr>
            <w:r>
              <w:rPr>
                <w:sz w:val="17"/>
              </w:rPr>
              <w:t>galerie, informations puis tarification en flux vertical</w:t>
            </w:r>
          </w:p>
        </w:tc>
        <w:tc>
          <w:tcPr>
            <w:tcW w:type="dxa" w:w="2696"/>
            <w:tcMar>
              <w:top w:w="80" w:type="dxa"/>
              <w:start w:w="110" w:type="dxa"/>
              <w:bottom w:w="80" w:type="dxa"/>
              <w:end w:w="110" w:type="dxa"/>
            </w:tcMar>
            <w:vAlign w:val="center"/>
          </w:tcPr>
          <w:p>
            <w:pPr>
              <w:spacing w:after="0" w:line="240" w:lineRule="auto"/>
            </w:pPr>
            <w:r>
              <w:rPr>
                <w:sz w:val="17"/>
              </w:rPr>
              <w:t xml:space="preserve">grille à </w:t>
            </w:r>
            <w:r>
              <w:rPr>
                <w:rFonts w:ascii="Consolas" w:hAnsi="Consolas"/>
                <w:color w:val="4A339E"/>
                <w:sz w:val="17"/>
              </w:rPr>
              <w:t>lg</w:t>
            </w:r>
            <w:r>
              <w:rPr>
                <w:sz w:val="17"/>
              </w:rPr>
              <w:t>, panneau tarifaire de 360 px sticky</w:t>
            </w:r>
          </w:p>
        </w:tc>
        <w:tc>
          <w:tcPr>
            <w:tcW w:type="dxa" w:w="2696"/>
            <w:tcMar>
              <w:top w:w="80" w:type="dxa"/>
              <w:start w:w="110" w:type="dxa"/>
              <w:bottom w:w="80" w:type="dxa"/>
              <w:end w:w="110" w:type="dxa"/>
            </w:tcMar>
            <w:vAlign w:val="center"/>
          </w:tcPr>
          <w:p>
            <w:pPr>
              <w:spacing w:after="0" w:line="240" w:lineRule="auto"/>
            </w:pPr>
            <w:r>
              <w:rPr>
                <w:sz w:val="17"/>
              </w:rPr>
              <w:t>achat visible sur grand écran, ordre naturel au clavier sur mobile</w:t>
            </w:r>
          </w:p>
        </w:tc>
      </w:tr>
      <w:tr>
        <w:tc>
          <w:tcPr>
            <w:tcW w:type="dxa" w:w="1091"/>
            <w:tcMar>
              <w:top w:w="80" w:type="dxa"/>
              <w:start w:w="110" w:type="dxa"/>
              <w:bottom w:w="80" w:type="dxa"/>
              <w:end w:w="110" w:type="dxa"/>
            </w:tcMar>
            <w:vAlign w:val="center"/>
            <w:shd w:fill="F8F7FC"/>
          </w:tcPr>
          <w:p>
            <w:pPr>
              <w:spacing w:after="0" w:line="240" w:lineRule="auto"/>
            </w:pPr>
            <w:r>
              <w:rPr>
                <w:sz w:val="17"/>
              </w:rPr>
              <w:t>Espace client</w:t>
            </w:r>
          </w:p>
        </w:tc>
        <w:tc>
          <w:tcPr>
            <w:tcW w:type="dxa" w:w="2696"/>
            <w:tcMar>
              <w:top w:w="80" w:type="dxa"/>
              <w:start w:w="110" w:type="dxa"/>
              <w:bottom w:w="80" w:type="dxa"/>
              <w:end w:w="110" w:type="dxa"/>
            </w:tcMar>
            <w:vAlign w:val="center"/>
            <w:shd w:fill="F8F7FC"/>
          </w:tcPr>
          <w:p>
            <w:pPr>
              <w:spacing w:after="0" w:line="240" w:lineRule="auto"/>
            </w:pPr>
            <w:r>
              <w:rPr>
                <w:sz w:val="17"/>
              </w:rPr>
              <w:t>navigation en grille 2 colonnes</w:t>
            </w:r>
          </w:p>
        </w:tc>
        <w:tc>
          <w:tcPr>
            <w:tcW w:type="dxa" w:w="2696"/>
            <w:tcMar>
              <w:top w:w="80" w:type="dxa"/>
              <w:start w:w="110" w:type="dxa"/>
              <w:bottom w:w="80" w:type="dxa"/>
              <w:end w:w="110" w:type="dxa"/>
            </w:tcMar>
            <w:vAlign w:val="center"/>
            <w:shd w:fill="F8F7FC"/>
          </w:tcPr>
          <w:p>
            <w:pPr>
              <w:spacing w:after="0" w:line="240" w:lineRule="auto"/>
            </w:pPr>
            <w:r>
              <w:rPr>
                <w:sz w:val="17"/>
              </w:rPr>
              <w:t xml:space="preserve">4 colonnes à </w:t>
            </w:r>
            <w:r>
              <w:rPr>
                <w:rFonts w:ascii="Consolas" w:hAnsi="Consolas"/>
                <w:color w:val="4A339E"/>
                <w:sz w:val="17"/>
              </w:rPr>
              <w:t>sm</w:t>
            </w:r>
            <w:r>
              <w:rPr>
                <w:sz w:val="17"/>
              </w:rPr>
              <w:t xml:space="preserve">, sidebar 256 px à </w:t>
            </w:r>
            <w:r>
              <w:rPr>
                <w:rFonts w:ascii="Consolas" w:hAnsi="Consolas"/>
                <w:color w:val="4A339E"/>
                <w:sz w:val="17"/>
              </w:rPr>
              <w:t>lg</w:t>
            </w:r>
          </w:p>
        </w:tc>
        <w:tc>
          <w:tcPr>
            <w:tcW w:type="dxa" w:w="2696"/>
            <w:tcMar>
              <w:top w:w="80" w:type="dxa"/>
              <w:start w:w="110" w:type="dxa"/>
              <w:bottom w:w="80" w:type="dxa"/>
              <w:end w:w="110" w:type="dxa"/>
            </w:tcMar>
            <w:vAlign w:val="center"/>
            <w:shd w:fill="F8F7FC"/>
          </w:tcPr>
          <w:p>
            <w:pPr>
              <w:spacing w:after="0" w:line="240" w:lineRule="auto"/>
            </w:pPr>
            <w:r>
              <w:rPr>
                <w:sz w:val="17"/>
              </w:rPr>
              <w:t>cibles tactiles avant navigation verticale persistante</w:t>
            </w:r>
          </w:p>
        </w:tc>
      </w:tr>
      <w:tr>
        <w:tc>
          <w:tcPr>
            <w:tcW w:type="dxa" w:w="1091"/>
            <w:tcMar>
              <w:top w:w="80" w:type="dxa"/>
              <w:start w:w="110" w:type="dxa"/>
              <w:bottom w:w="80" w:type="dxa"/>
              <w:end w:w="110" w:type="dxa"/>
            </w:tcMar>
            <w:vAlign w:val="center"/>
          </w:tcPr>
          <w:p>
            <w:pPr>
              <w:spacing w:after="0" w:line="240" w:lineRule="auto"/>
            </w:pPr>
            <w:r>
              <w:rPr>
                <w:sz w:val="17"/>
              </w:rPr>
              <w:t>BackOffice</w:t>
            </w:r>
          </w:p>
        </w:tc>
        <w:tc>
          <w:tcPr>
            <w:tcW w:type="dxa" w:w="2696"/>
            <w:tcMar>
              <w:top w:w="80" w:type="dxa"/>
              <w:start w:w="110" w:type="dxa"/>
              <w:bottom w:w="80" w:type="dxa"/>
              <w:end w:w="110" w:type="dxa"/>
            </w:tcMar>
            <w:vAlign w:val="center"/>
          </w:tcPr>
          <w:p>
            <w:pPr>
              <w:spacing w:after="0" w:line="240" w:lineRule="auto"/>
            </w:pPr>
            <w:r>
              <w:rPr>
                <w:sz w:val="17"/>
              </w:rPr>
              <w:t>sidebar off-canvas, topbar compacte, contenu avec marge réduite</w:t>
            </w:r>
          </w:p>
        </w:tc>
        <w:tc>
          <w:tcPr>
            <w:tcW w:type="dxa" w:w="2696"/>
            <w:tcMar>
              <w:top w:w="80" w:type="dxa"/>
              <w:start w:w="110" w:type="dxa"/>
              <w:bottom w:w="80" w:type="dxa"/>
              <w:end w:w="110" w:type="dxa"/>
            </w:tcMar>
            <w:vAlign w:val="center"/>
          </w:tcPr>
          <w:p>
            <w:pPr>
              <w:spacing w:after="0" w:line="240" w:lineRule="auto"/>
            </w:pPr>
            <w:r>
              <w:rPr>
                <w:sz w:val="17"/>
              </w:rPr>
              <w:t xml:space="preserve">sidebar fixe à </w:t>
            </w:r>
            <w:r>
              <w:rPr>
                <w:rFonts w:ascii="Consolas" w:hAnsi="Consolas"/>
                <w:color w:val="4A339E"/>
                <w:sz w:val="17"/>
              </w:rPr>
              <w:t>md</w:t>
            </w:r>
            <w:r>
              <w:rPr>
                <w:sz w:val="17"/>
              </w:rPr>
              <w:t>, padding croissant à 768 et 1280 px</w:t>
            </w:r>
          </w:p>
        </w:tc>
        <w:tc>
          <w:tcPr>
            <w:tcW w:type="dxa" w:w="2696"/>
            <w:tcMar>
              <w:top w:w="80" w:type="dxa"/>
              <w:start w:w="110" w:type="dxa"/>
              <w:bottom w:w="80" w:type="dxa"/>
              <w:end w:w="110" w:type="dxa"/>
            </w:tcMar>
            <w:vAlign w:val="center"/>
          </w:tcPr>
          <w:p>
            <w:pPr>
              <w:spacing w:after="0" w:line="240" w:lineRule="auto"/>
            </w:pPr>
            <w:r>
              <w:rPr>
                <w:sz w:val="17"/>
              </w:rPr>
              <w:t>préserver l'espace de travail et la profondeur de navigation</w:t>
            </w:r>
          </w:p>
        </w:tc>
      </w:tr>
      <w:tr>
        <w:tc>
          <w:tcPr>
            <w:tcW w:type="dxa" w:w="1091"/>
            <w:tcMar>
              <w:top w:w="80" w:type="dxa"/>
              <w:start w:w="110" w:type="dxa"/>
              <w:bottom w:w="80" w:type="dxa"/>
              <w:end w:w="110" w:type="dxa"/>
            </w:tcMar>
            <w:vAlign w:val="center"/>
            <w:shd w:fill="F8F7FC"/>
          </w:tcPr>
          <w:p>
            <w:pPr>
              <w:spacing w:after="0" w:line="240" w:lineRule="auto"/>
            </w:pPr>
            <w:r>
              <w:rPr>
                <w:sz w:val="17"/>
              </w:rPr>
              <w:t>Tableaux</w:t>
            </w:r>
          </w:p>
        </w:tc>
        <w:tc>
          <w:tcPr>
            <w:tcW w:type="dxa" w:w="2696"/>
            <w:tcMar>
              <w:top w:w="80" w:type="dxa"/>
              <w:start w:w="110" w:type="dxa"/>
              <w:bottom w:w="80" w:type="dxa"/>
              <w:end w:w="110" w:type="dxa"/>
            </w:tcMar>
            <w:vAlign w:val="center"/>
            <w:shd w:fill="F8F7FC"/>
          </w:tcPr>
          <w:p>
            <w:pPr>
              <w:spacing w:after="0" w:line="240" w:lineRule="auto"/>
            </w:pPr>
            <w:r>
              <w:rPr>
                <w:sz w:val="17"/>
              </w:rPr>
              <w:t>scroll horizontal contenu ou cartes dédiées</w:t>
            </w:r>
          </w:p>
        </w:tc>
        <w:tc>
          <w:tcPr>
            <w:tcW w:type="dxa" w:w="2696"/>
            <w:tcMar>
              <w:top w:w="80" w:type="dxa"/>
              <w:start w:w="110" w:type="dxa"/>
              <w:bottom w:w="80" w:type="dxa"/>
              <w:end w:w="110" w:type="dxa"/>
            </w:tcMar>
            <w:vAlign w:val="center"/>
            <w:shd w:fill="F8F7FC"/>
          </w:tcPr>
          <w:p>
            <w:pPr>
              <w:spacing w:after="0" w:line="240" w:lineRule="auto"/>
            </w:pPr>
            <w:r>
              <w:rPr>
                <w:sz w:val="17"/>
              </w:rPr>
              <w:t xml:space="preserve">table complète à </w:t>
            </w:r>
            <w:r>
              <w:rPr>
                <w:rFonts w:ascii="Consolas" w:hAnsi="Consolas"/>
                <w:color w:val="4A339E"/>
                <w:sz w:val="17"/>
              </w:rPr>
              <w:t>md</w:t>
            </w:r>
            <w:r>
              <w:rPr>
                <w:sz w:val="17"/>
              </w:rPr>
              <w:t xml:space="preserve"> pour commandes/factures client</w:t>
            </w:r>
          </w:p>
        </w:tc>
        <w:tc>
          <w:tcPr>
            <w:tcW w:type="dxa" w:w="2696"/>
            <w:tcMar>
              <w:top w:w="80" w:type="dxa"/>
              <w:start w:w="110" w:type="dxa"/>
              <w:bottom w:w="80" w:type="dxa"/>
              <w:end w:w="110" w:type="dxa"/>
            </w:tcMar>
            <w:vAlign w:val="center"/>
            <w:shd w:fill="F8F7FC"/>
          </w:tcPr>
          <w:p>
            <w:pPr>
              <w:spacing w:after="0" w:line="240" w:lineRule="auto"/>
            </w:pPr>
            <w:r>
              <w:rPr>
                <w:sz w:val="17"/>
              </w:rPr>
              <w:t>éviter une table illisible sans perdre les champs utiles</w:t>
            </w:r>
          </w:p>
        </w:tc>
      </w:tr>
      <w:tr>
        <w:tc>
          <w:tcPr>
            <w:tcW w:type="dxa" w:w="1091"/>
            <w:tcMar>
              <w:top w:w="80" w:type="dxa"/>
              <w:start w:w="110" w:type="dxa"/>
              <w:bottom w:w="80" w:type="dxa"/>
              <w:end w:w="110" w:type="dxa"/>
            </w:tcMar>
            <w:vAlign w:val="center"/>
          </w:tcPr>
          <w:p>
            <w:pPr>
              <w:spacing w:after="0" w:line="240" w:lineRule="auto"/>
            </w:pPr>
            <w:r>
              <w:rPr>
                <w:sz w:val="17"/>
              </w:rPr>
              <w:t>CynAI</w:t>
            </w:r>
          </w:p>
        </w:tc>
        <w:tc>
          <w:tcPr>
            <w:tcW w:type="dxa" w:w="2696"/>
            <w:tcMar>
              <w:top w:w="80" w:type="dxa"/>
              <w:start w:w="110" w:type="dxa"/>
              <w:bottom w:w="80" w:type="dxa"/>
              <w:end w:w="110" w:type="dxa"/>
            </w:tcMar>
            <w:vAlign w:val="center"/>
          </w:tcPr>
          <w:p>
            <w:pPr>
              <w:spacing w:after="0" w:line="240" w:lineRule="auto"/>
            </w:pPr>
            <w:r>
              <w:rPr>
                <w:sz w:val="17"/>
              </w:rPr>
              <w:t>panneau presque pleine largeur, hauteur max 70 vh, ancré au safe area</w:t>
            </w:r>
          </w:p>
        </w:tc>
        <w:tc>
          <w:tcPr>
            <w:tcW w:type="dxa" w:w="2696"/>
            <w:tcMar>
              <w:top w:w="80" w:type="dxa"/>
              <w:start w:w="110" w:type="dxa"/>
              <w:bottom w:w="80" w:type="dxa"/>
              <w:end w:w="110" w:type="dxa"/>
            </w:tcMar>
            <w:vAlign w:val="center"/>
          </w:tcPr>
          <w:p>
            <w:pPr>
              <w:spacing w:after="0" w:line="240" w:lineRule="auto"/>
            </w:pPr>
            <w:r>
              <w:rPr>
                <w:sz w:val="17"/>
              </w:rPr>
              <w:t xml:space="preserve">largeur fixe de 384 px à </w:t>
            </w:r>
            <w:r>
              <w:rPr>
                <w:rFonts w:ascii="Consolas" w:hAnsi="Consolas"/>
                <w:color w:val="4A339E"/>
                <w:sz w:val="17"/>
              </w:rPr>
              <w:t>sm</w:t>
            </w:r>
          </w:p>
        </w:tc>
        <w:tc>
          <w:tcPr>
            <w:tcW w:type="dxa" w:w="2696"/>
            <w:tcMar>
              <w:top w:w="80" w:type="dxa"/>
              <w:start w:w="110" w:type="dxa"/>
              <w:bottom w:w="80" w:type="dxa"/>
              <w:end w:w="110" w:type="dxa"/>
            </w:tcMar>
            <w:vAlign w:val="center"/>
          </w:tcPr>
          <w:p>
            <w:pPr>
              <w:spacing w:after="0" w:line="240" w:lineRule="auto"/>
            </w:pPr>
            <w:r>
              <w:rPr>
                <w:sz w:val="17"/>
              </w:rPr>
              <w:t>rester utilisable avec clavier virtuel et ne pas masquer toute la page</w:t>
            </w:r>
          </w:p>
        </w:tc>
      </w:tr>
      <w:tr>
        <w:tc>
          <w:tcPr>
            <w:tcW w:type="dxa" w:w="1091"/>
            <w:tcMar>
              <w:top w:w="80" w:type="dxa"/>
              <w:start w:w="110" w:type="dxa"/>
              <w:bottom w:w="80" w:type="dxa"/>
              <w:end w:w="110" w:type="dxa"/>
            </w:tcMar>
            <w:vAlign w:val="center"/>
            <w:shd w:fill="F8F7FC"/>
          </w:tcPr>
          <w:p>
            <w:pPr>
              <w:spacing w:after="0" w:line="240" w:lineRule="auto"/>
            </w:pPr>
            <w:r>
              <w:rPr>
                <w:sz w:val="17"/>
              </w:rPr>
              <w:t>Dialogues</w:t>
            </w:r>
          </w:p>
        </w:tc>
        <w:tc>
          <w:tcPr>
            <w:tcW w:type="dxa" w:w="2696"/>
            <w:tcMar>
              <w:top w:w="80" w:type="dxa"/>
              <w:start w:w="110" w:type="dxa"/>
              <w:bottom w:w="80" w:type="dxa"/>
              <w:end w:w="110" w:type="dxa"/>
            </w:tcMar>
            <w:vAlign w:val="center"/>
            <w:shd w:fill="F8F7FC"/>
          </w:tcPr>
          <w:p>
            <w:pPr>
              <w:spacing w:after="0" w:line="240" w:lineRule="auto"/>
            </w:pPr>
            <w:r>
              <w:rPr>
                <w:sz w:val="17"/>
              </w:rPr>
              <w:t xml:space="preserve">largeur </w:t>
            </w:r>
            <w:r>
              <w:rPr>
                <w:rFonts w:ascii="Consolas" w:hAnsi="Consolas"/>
                <w:color w:val="4A339E"/>
                <w:sz w:val="17"/>
              </w:rPr>
              <w:t>calc(100% - 2rem)</w:t>
            </w:r>
            <w:r>
              <w:rPr>
                <w:sz w:val="17"/>
              </w:rPr>
              <w:t>, hauteur dynamique et scroll interne</w:t>
            </w:r>
          </w:p>
        </w:tc>
        <w:tc>
          <w:tcPr>
            <w:tcW w:type="dxa" w:w="2696"/>
            <w:tcMar>
              <w:top w:w="80" w:type="dxa"/>
              <w:start w:w="110" w:type="dxa"/>
              <w:bottom w:w="80" w:type="dxa"/>
              <w:end w:w="110" w:type="dxa"/>
            </w:tcMar>
            <w:vAlign w:val="center"/>
            <w:shd w:fill="F8F7FC"/>
          </w:tcPr>
          <w:p>
            <w:pPr>
              <w:spacing w:after="0" w:line="240" w:lineRule="auto"/>
            </w:pPr>
            <w:r>
              <w:rPr>
                <w:sz w:val="17"/>
              </w:rPr>
              <w:t xml:space="preserve">largeur bornée par </w:t>
            </w:r>
            <w:r>
              <w:rPr>
                <w:rFonts w:ascii="Consolas" w:hAnsi="Consolas"/>
                <w:color w:val="4A339E"/>
                <w:sz w:val="17"/>
              </w:rPr>
              <w:t>max-w-*</w:t>
            </w:r>
            <w:r>
              <w:rPr>
                <w:sz w:val="17"/>
              </w:rPr>
              <w:t xml:space="preserve">, padding accru à </w:t>
            </w:r>
            <w:r>
              <w:rPr>
                <w:rFonts w:ascii="Consolas" w:hAnsi="Consolas"/>
                <w:color w:val="4A339E"/>
                <w:sz w:val="17"/>
              </w:rPr>
              <w:t>sm</w:t>
            </w:r>
          </w:p>
        </w:tc>
        <w:tc>
          <w:tcPr>
            <w:tcW w:type="dxa" w:w="2696"/>
            <w:tcMar>
              <w:top w:w="80" w:type="dxa"/>
              <w:start w:w="110" w:type="dxa"/>
              <w:bottom w:w="80" w:type="dxa"/>
              <w:end w:w="110" w:type="dxa"/>
            </w:tcMar>
            <w:vAlign w:val="center"/>
            <w:shd w:fill="F8F7FC"/>
          </w:tcPr>
          <w:p>
            <w:pPr>
              <w:spacing w:after="0" w:line="240" w:lineRule="auto"/>
            </w:pPr>
            <w:r>
              <w:rPr>
                <w:sz w:val="17"/>
              </w:rPr>
              <w:t>aucune action hors viewport, même en orientation paysage</w:t>
            </w:r>
          </w:p>
        </w:tc>
      </w:tr>
    </w:tbl>
    <w:p>
      <w:pPr>
        <w:spacing w:after="0"/>
      </w:pPr>
    </w:p>
    <w:p>
      <w:r>
        <w:t xml:space="preserve">L'en-tête fixe mesure 72 px et la page réserve exactement cet espace afin d'éviter un recouvrement du contenu. Sous </w:t>
      </w:r>
      <w:r>
        <w:rPr>
          <w:rFonts w:ascii="Consolas" w:hAnsi="Consolas"/>
          <w:color w:val="4A339E"/>
          <w:sz w:val="18"/>
        </w:rPr>
        <w:t>md</w:t>
      </w:r>
      <w:r>
        <w:t xml:space="preserve">, la recherche principale est remplacée par un bouton de 44 px ouvrant une ligne pleine largeur sous l'en-tête ; </w:t>
      </w:r>
      <w:r>
        <w:rPr>
          <w:rFonts w:ascii="Consolas" w:hAnsi="Consolas"/>
          <w:color w:val="4A339E"/>
          <w:sz w:val="18"/>
        </w:rPr>
        <w:t>aria-expanded</w:t>
      </w:r>
      <w:r>
        <w:t xml:space="preserve">, </w:t>
      </w:r>
      <w:r>
        <w:rPr>
          <w:rFonts w:ascii="Consolas" w:hAnsi="Consolas"/>
          <w:color w:val="4A339E"/>
          <w:sz w:val="18"/>
        </w:rPr>
        <w:t>aria-controls</w:t>
      </w:r>
      <w:r>
        <w:t xml:space="preserve"> et Échap exposent son état. Le tiroir latéral regroupe session, inscription, catégories, informations, langue et préférences d'accessibilité. Le pied de page visuel est masqué sur mobile, mais ses destinations restent accessibles dans ce menu. La page publique ajoute un padding inférieur mobile afin que les éléments flottants et les commandes basses ne recouvrent pas le dernier contenu.</w:t>
      </w:r>
    </w:p>
    <w:p>
      <w:r>
        <w:t xml:space="preserve">Les pages catalogue partent d'une colonne. Les catégories et produits passent à deux cartes à </w:t>
      </w:r>
      <w:r>
        <w:rPr>
          <w:rFonts w:ascii="Consolas" w:hAnsi="Consolas"/>
          <w:color w:val="4A339E"/>
          <w:sz w:val="18"/>
        </w:rPr>
        <w:t>sm</w:t>
      </w:r>
      <w:r>
        <w:t xml:space="preserve">, trois à </w:t>
      </w:r>
      <w:r>
        <w:rPr>
          <w:rFonts w:ascii="Consolas" w:hAnsi="Consolas"/>
          <w:color w:val="4A339E"/>
          <w:sz w:val="18"/>
        </w:rPr>
        <w:t>lg</w:t>
      </w:r>
      <w:r>
        <w:t xml:space="preserve">, et les listes les plus larges à quatre à </w:t>
      </w:r>
      <w:r>
        <w:rPr>
          <w:rFonts w:ascii="Consolas" w:hAnsi="Consolas"/>
          <w:color w:val="4A339E"/>
          <w:sz w:val="18"/>
        </w:rPr>
        <w:t>xl</w:t>
      </w:r>
      <w:r>
        <w:t xml:space="preserve">. Les cartes utilisent un ratio d'image 16/9 ou une hauteur minimale stable, ce qui limite les déplacements de mise en page pendant le chargement. Le détail produit conserve l'ordre galerie, description, caractéristiques et prix dans le DOM. À </w:t>
      </w:r>
      <w:r>
        <w:rPr>
          <w:rFonts w:ascii="Consolas" w:hAnsi="Consolas"/>
          <w:color w:val="4A339E"/>
          <w:sz w:val="18"/>
        </w:rPr>
        <w:t>lg</w:t>
      </w:r>
      <w:r>
        <w:t>, il devient une grille dont la colonne d'achat est sticky sous l'en-tête. Cette transformation purement CSS préserve l'ordre de lecture et évite de dupliquer le formulaire de tarification.</w:t>
      </w:r>
    </w:p>
    <w:p>
      <w:r>
        <w:t xml:space="preserve">L'espace client illustre une adaptation plus sémantique. Sa navigation est une grille de grandes destinations tactiles sur mobile, puis une sidebar sticky à </w:t>
      </w:r>
      <w:r>
        <w:rPr>
          <w:rFonts w:ascii="Consolas" w:hAnsi="Consolas"/>
          <w:color w:val="4A339E"/>
          <w:sz w:val="18"/>
        </w:rPr>
        <w:t>lg</w:t>
      </w:r>
      <w:r>
        <w:t xml:space="preserve">. Les adresses et abonnements passent progressivement à plusieurs colonnes. Les commandes et factures choisissent une représentation en cartes sous </w:t>
      </w:r>
      <w:r>
        <w:rPr>
          <w:rFonts w:ascii="Consolas" w:hAnsi="Consolas"/>
          <w:color w:val="4A339E"/>
          <w:sz w:val="18"/>
        </w:rPr>
        <w:t>md</w:t>
      </w:r>
      <w:r>
        <w:t>, puis une table au-dessus : cette duplication visuelle est justifiée par la différence de tâche, car faire défiler six colonnes sur un téléphone rend la comparaison et l'action plus difficiles. Les onglets d'achats restent horizontalement scrollables plutôt que de réduire le texte sous un seuil lisible.</w:t>
      </w:r>
    </w:p>
    <w:p>
      <w:r>
        <w:t xml:space="preserve">Le BackOffice conserve les tables, car l'opérateur doit comparer de nombreuses colonnes. La primitive </w:t>
      </w:r>
      <w:r>
        <w:rPr>
          <w:rFonts w:ascii="Consolas" w:hAnsi="Consolas"/>
          <w:color w:val="4A339E"/>
          <w:sz w:val="18"/>
        </w:rPr>
        <w:t>Table</w:t>
      </w:r>
      <w:r>
        <w:t xml:space="preserve"> fournit le scroll horizontal ; le layout admin lui ajoute inertie tactile, containment de l'overscroll et gouttière de scrollbar stable. Sous 640 px, le conteneur devient visuellement bord à bord tout en gardant un padding interne. Les dashboards utilisent des cartes KPI en une colonne puis 2/4/6 colonnes, et les graphiques Recharts sont placés dans </w:t>
      </w:r>
      <w:r>
        <w:rPr>
          <w:rFonts w:ascii="Consolas" w:hAnsi="Consolas"/>
          <w:color w:val="4A339E"/>
          <w:sz w:val="18"/>
        </w:rPr>
        <w:t>ResponsiveContainer</w:t>
      </w:r>
      <w:r>
        <w:t>. Les tables de classement imposent une largeur minimale et préfèrent le scroll à l'écrasement des libellés.</w:t>
      </w:r>
    </w:p>
    <w:p>
      <w:r>
        <w:t xml:space="preserve">Les unités de viewport modernes sont utilisées là où la barre d'adresse mobile ou le clavier change la hauteur réellement disponible : </w:t>
      </w:r>
      <w:r>
        <w:rPr>
          <w:rFonts w:ascii="Consolas" w:hAnsi="Consolas"/>
          <w:color w:val="4A339E"/>
          <w:sz w:val="18"/>
        </w:rPr>
        <w:t>svh</w:t>
      </w:r>
      <w:r>
        <w:t xml:space="preserve"> pour les structures plein écran stables, </w:t>
      </w:r>
      <w:r>
        <w:rPr>
          <w:rFonts w:ascii="Consolas" w:hAnsi="Consolas"/>
          <w:color w:val="4A339E"/>
          <w:sz w:val="18"/>
        </w:rPr>
        <w:t>dvh</w:t>
      </w:r>
      <w:r>
        <w:t xml:space="preserve"> pour la hauteur maximale des overlays. CynAI ancre son lanceur à </w:t>
      </w:r>
      <w:r>
        <w:rPr>
          <w:rFonts w:ascii="Consolas" w:hAnsi="Consolas"/>
          <w:color w:val="4A339E"/>
          <w:sz w:val="18"/>
        </w:rPr>
        <w:t>env(safe-area-inset-bottom)</w:t>
      </w:r>
      <w:r>
        <w:t xml:space="preserve"> afin de respecter les zones réservées des appareils. Son panneau occupe </w:t>
      </w:r>
      <w:r>
        <w:rPr>
          <w:rFonts w:ascii="Consolas" w:hAnsi="Consolas"/>
          <w:color w:val="4A339E"/>
          <w:sz w:val="18"/>
        </w:rPr>
        <w:t>100vw - 1.5rem</w:t>
      </w:r>
      <w:r>
        <w:t xml:space="preserve"> sur petit écran, reste borné à 70 % de la hauteur et se place au-dessus du lanceur. Les dialogues centrés préservent deux marges de 1 rem. Ces règles empêchent les principaux contrôles de sortir du viewport sans supposer un modèle d'appareil précis.</w:t>
      </w:r>
    </w:p>
    <w:p>
      <w:r>
        <w:t xml:space="preserve">La stratégie ne garantit pas encore chaque cas extrême. Les libellés allemands ou RTL ne sont pas dans le périmètre ; </w:t>
      </w:r>
      <w:r>
        <w:rPr>
          <w:rFonts w:ascii="Consolas" w:hAnsi="Consolas"/>
          <w:color w:val="4A339E"/>
          <w:sz w:val="18"/>
        </w:rPr>
        <w:t>components.json</w:t>
      </w:r>
      <w:r>
        <w:t xml:space="preserve"> déclare d'ailleurs </w:t>
      </w:r>
      <w:r>
        <w:rPr>
          <w:rFonts w:ascii="Consolas" w:hAnsi="Consolas"/>
          <w:color w:val="4A339E"/>
          <w:sz w:val="18"/>
        </w:rPr>
        <w:t>rtl: false</w:t>
      </w:r>
      <w:r>
        <w:t xml:space="preserve">. Les vues très étroites, le zoom à 200 %, les claviers virtuels et les écrans paysage nécessitent des tests de navigateur dédiés. La cohérence du breakpoint 768 px est actuellement implicite entre Tailwind et </w:t>
      </w:r>
      <w:r>
        <w:rPr>
          <w:rFonts w:ascii="Consolas" w:hAnsi="Consolas"/>
          <w:color w:val="4A339E"/>
          <w:sz w:val="18"/>
        </w:rPr>
        <w:t>useIsMobile</w:t>
      </w:r>
      <w:r>
        <w:t>; une personnalisation future des breakpoints devra modifier et tester ces deux sources ensemble.</w:t>
      </w:r>
    </w:p>
    <w:p>
      <w:bookmarkStart w:id="13" w:name="h_13_Accessibilit___interactions_"/>
      <w:pPr>
        <w:pStyle w:val="Heading2"/>
      </w:pPr>
      <w:r>
        <w:t>Accessibilité, interactions et performance perçue</w:t>
      </w:r>
      <w:bookmarkEnd w:id="13"/>
    </w:p>
    <w:p>
      <w:r>
        <w:t xml:space="preserve">Le layout racine renseigne </w:t>
      </w:r>
      <w:r>
        <w:rPr>
          <w:rFonts w:ascii="Consolas" w:hAnsi="Consolas"/>
          <w:color w:val="4A339E"/>
          <w:sz w:val="18"/>
        </w:rPr>
        <w:t>lang</w:t>
      </w:r>
      <w:r>
        <w:t xml:space="preserve"> avec la locale active et fournit les messages FR/EN via </w:t>
      </w:r>
      <w:r>
        <w:rPr>
          <w:rFonts w:ascii="Consolas" w:hAnsi="Consolas"/>
          <w:color w:val="4A339E"/>
          <w:sz w:val="18"/>
        </w:rPr>
        <w:t>next-intl</w:t>
      </w:r>
      <w:r>
        <w:t xml:space="preserve">. Les icônes purement décoratives sont généralement </w:t>
      </w:r>
      <w:r>
        <w:rPr>
          <w:rFonts w:ascii="Consolas" w:hAnsi="Consolas"/>
          <w:color w:val="4A339E"/>
          <w:sz w:val="18"/>
        </w:rPr>
        <w:t>aria-hidden</w:t>
      </w:r>
      <w:r>
        <w:t xml:space="preserve">; les boutons icône reçoivent un nom accessible. Les menus, champs, listes et tableaux utilisent des éléments natifs autant que possible. Les dialogues portent un titre accessible, les switches du menu d'accessibilité exposent </w:t>
      </w:r>
      <w:r>
        <w:rPr>
          <w:rFonts w:ascii="Consolas" w:hAnsi="Consolas"/>
          <w:color w:val="4A339E"/>
          <w:sz w:val="18"/>
        </w:rPr>
        <w:t>role="switch"</w:t>
      </w:r>
      <w:r>
        <w:t xml:space="preserve"> et </w:t>
      </w:r>
      <w:r>
        <w:rPr>
          <w:rFonts w:ascii="Consolas" w:hAnsi="Consolas"/>
          <w:color w:val="4A339E"/>
          <w:sz w:val="18"/>
        </w:rPr>
        <w:t>aria-checked</w:t>
      </w:r>
      <w:r>
        <w:t xml:space="preserve">, et les notifications distinguent </w:t>
      </w:r>
      <w:r>
        <w:rPr>
          <w:rFonts w:ascii="Consolas" w:hAnsi="Consolas"/>
          <w:color w:val="4A339E"/>
          <w:sz w:val="18"/>
        </w:rPr>
        <w:t>status</w:t>
      </w:r>
      <w:r>
        <w:t xml:space="preserve"> de </w:t>
      </w:r>
      <w:r>
        <w:rPr>
          <w:rFonts w:ascii="Consolas" w:hAnsi="Consolas"/>
          <w:color w:val="4A339E"/>
          <w:sz w:val="18"/>
        </w:rPr>
        <w:t>alert</w:t>
      </w:r>
      <w:r>
        <w:t xml:space="preserve">. Les formulaires conservent des labels ou des </w:t>
      </w:r>
      <w:r>
        <w:rPr>
          <w:rFonts w:ascii="Consolas" w:hAnsi="Consolas"/>
          <w:color w:val="4A339E"/>
          <w:sz w:val="18"/>
        </w:rPr>
        <w:t>aria-label</w:t>
      </w:r>
      <w:r>
        <w:t xml:space="preserve"> explicites, tandis que </w:t>
      </w:r>
      <w:r>
        <w:rPr>
          <w:rFonts w:ascii="Consolas" w:hAnsi="Consolas"/>
          <w:color w:val="4A339E"/>
          <w:sz w:val="18"/>
        </w:rPr>
        <w:t>focus-visible</w:t>
      </w:r>
      <w:r>
        <w:t xml:space="preserve"> évite de supprimer l'indicateur clavier.</w:t>
      </w:r>
    </w:p>
    <w:p>
      <w:r>
        <w:t>Les cibles mobiles majeures (menu, recherche, panier, fermeture, envoi CynAI et navigation) utilisent fréquemment 44 px (</w:t>
      </w:r>
      <w:r>
        <w:rPr>
          <w:rFonts w:ascii="Consolas" w:hAnsi="Consolas"/>
          <w:color w:val="4A339E"/>
          <w:sz w:val="18"/>
        </w:rPr>
        <w:t>size-11</w:t>
      </w:r>
      <w:r>
        <w:t xml:space="preserve"> ou </w:t>
      </w:r>
      <w:r>
        <w:rPr>
          <w:rFonts w:ascii="Consolas" w:hAnsi="Consolas"/>
          <w:color w:val="4A339E"/>
          <w:sz w:val="18"/>
        </w:rPr>
        <w:t>min-h-11</w:t>
      </w:r>
      <w:r>
        <w:t>). Ce seuil n'est cependant pas imposé à toutes les primitives : le bouton par défaut mesure 36 px et les variantes compactes sont destinées aux contextes denses. Le contrat est donc contextuel : une commande isolée et essentielle sur écran tactile doit être agrandie ; une action secondaire dans une table opérateur peut rester compacte si elle conserve un nom, un focus et un espacement suffisants.</w:t>
      </w:r>
    </w:p>
    <w:p>
      <w:r>
        <w:t>Le menu d'accessibilité persiste quatre préférences locales : augmentation de la racine à 120 %, police OpenDyslexic, mise en évidence des liens et filtre de perception des couleurs. Les classes sont réappliquées après navigation client et synchronisées entre onglets. Ces aides ne remplacent pas l'accessibilité intrinsèque : le filtre daltonisme ne prouve pas les contrastes, une police dédiée ne corrige pas la structure, et l'agrandissement doit être vérifié sans perte de contenu. La navigation clavier, les titres, l'ordre DOM, les libellés et la communication des erreurs restent prioritaires.</w:t>
      </w:r>
    </w:p>
    <w:p>
      <w:r>
        <w:t xml:space="preserve">Les overlays ferment sur Échap lorsqu'ils implémentent une interaction personnalisée ; le chat restitue le focus au lanceur après fermeture. Le moteur Base UI porte le piégeage de focus et les états de ses dialogues/sheets. La transition entre marketplace et BackOffice annonce son état par </w:t>
      </w:r>
      <w:r>
        <w:rPr>
          <w:rFonts w:ascii="Consolas" w:hAnsi="Consolas"/>
          <w:color w:val="4A339E"/>
          <w:sz w:val="18"/>
        </w:rPr>
        <w:t>aria-live="assertive"</w:t>
      </w:r>
      <w:r>
        <w:t xml:space="preserve">, bloque temporairement le scroll et prévoit un timeout de secours. Elle interroge </w:t>
      </w:r>
      <w:r>
        <w:rPr>
          <w:rFonts w:ascii="Consolas" w:hAnsi="Consolas"/>
          <w:color w:val="4A339E"/>
          <w:sz w:val="18"/>
        </w:rPr>
        <w:t>prefers-reduced-motion</w:t>
      </w:r>
      <w:r>
        <w:t xml:space="preserve"> pour réduire ses délais, et les keyframes associées passent à 1 ms. Les animations du chat, des notifications et de certaines cartes ne sont pas toutes couvertes par une règle équivalente : c'est une dette d'accessibilité à traiter, non une conformité supposée.</w:t>
      </w:r>
    </w:p>
    <w:p>
      <w:r>
        <w:t xml:space="preserve">La performance perçue découle d'abord du rendu serveur. Les pages de catalogue, les layouts et plusieurs cartes restent des Server Components ; seuls les widgets interactifs hydratent. Les logos utilisent </w:t>
      </w:r>
      <w:r>
        <w:rPr>
          <w:rFonts w:ascii="Consolas" w:hAnsi="Consolas"/>
          <w:color w:val="4A339E"/>
          <w:sz w:val="18"/>
        </w:rPr>
        <w:t>next/image</w:t>
      </w:r>
      <w:r>
        <w:t xml:space="preserve"> et les zones média réservent leur ratio. Les images catalogue sont en revanche souvent appliquées comme </w:t>
      </w:r>
      <w:r>
        <w:rPr>
          <w:rFonts w:ascii="Consolas" w:hAnsi="Consolas"/>
          <w:color w:val="4A339E"/>
          <w:sz w:val="18"/>
        </w:rPr>
        <w:t>background-image</w:t>
      </w:r>
      <w:r>
        <w:t xml:space="preserve"> pour le cadrage </w:t>
      </w:r>
      <w:r>
        <w:rPr>
          <w:rFonts w:ascii="Consolas" w:hAnsi="Consolas"/>
          <w:color w:val="4A339E"/>
          <w:sz w:val="18"/>
        </w:rPr>
        <w:t>cover</w:t>
      </w:r>
      <w:r>
        <w:t xml:space="preserve">; elles ne bénéficient alors pas automatiquement du redimensionnement, des </w:t>
      </w:r>
      <w:r>
        <w:rPr>
          <w:rFonts w:ascii="Consolas" w:hAnsi="Consolas"/>
          <w:color w:val="4A339E"/>
          <w:sz w:val="18"/>
        </w:rPr>
        <w:t>sizes</w:t>
      </w:r>
      <w:r>
        <w:t xml:space="preserve"> et du lazy loading de </w:t>
      </w:r>
      <w:r>
        <w:rPr>
          <w:rFonts w:ascii="Consolas" w:hAnsi="Consolas"/>
          <w:color w:val="4A339E"/>
          <w:sz w:val="18"/>
        </w:rPr>
        <w:t>next/image</w:t>
      </w:r>
      <w:r>
        <w:t>. Une politique de loader Supabase ou de variantes d'images serait préférable si le volume média augmente.</w:t>
      </w:r>
    </w:p>
    <w:p>
      <w:r>
        <w:t>Les mutations affichent immédiatement un état pending, empêchent les doubles soumissions et laissent le serveur réémettre les totaux. Les filtres prix attendent 400 ms avant de mettre à jour l'URL. Les notifications expirent sans bloquer l'interface. Les transitions visuelles restent courtes et l'élévation remplace les overlays inutiles : CynAI flotte sans rendre le reste de la page inerte. À l'inverse, Checkout et les confirmations destructives utilisent un vrai dialogue modal car l'utilisateur doit terminer ou annuler une décision avant de continuer.</w:t>
      </w:r>
    </w:p>
    <w:p>
      <w:r>
        <w:t xml:space="preserve">Le design system est donc opérationnel mais pas encore complètement gouverné. Il n'existe ni catalogue Storybook, ni tests de régression visuelle, ni paquet de tokens partagé, ni matrice E2E automatisée par viewport. Les primitives récentes utilisent des tokens sémantiques, alors que le public historique emploie encore directement </w:t>
      </w:r>
      <w:r>
        <w:rPr>
          <w:rFonts w:ascii="Consolas" w:hAnsi="Consolas"/>
          <w:color w:val="4A339E"/>
          <w:sz w:val="18"/>
        </w:rPr>
        <w:t>slate</w:t>
      </w:r>
      <w:r>
        <w:t xml:space="preserve">, </w:t>
      </w:r>
      <w:r>
        <w:rPr>
          <w:rFonts w:ascii="Consolas" w:hAnsi="Consolas"/>
          <w:color w:val="4A339E"/>
          <w:sz w:val="18"/>
        </w:rPr>
        <w:t>purple</w:t>
      </w:r>
      <w:r>
        <w:t xml:space="preserve"> et des ombres particulières ; des modules SCSS subsistent dans les formulaires et le layout admin. Cette hybridation est acceptable à court terme, mais elle augmente le risque de divergence lors d'un changement de marque.</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973"/>
        <w:gridCol w:w="3603"/>
        <w:gridCol w:w="3603"/>
      </w:tblGrid>
      <w:tr>
        <w:trPr>
          <w:tblHeader w:val="true"/>
        </w:trPr>
        <w:tc>
          <w:tcPr>
            <w:tcW w:type="dxa" w:w="1973"/>
            <w:tcMar>
              <w:top w:w="80" w:type="dxa"/>
              <w:start w:w="110" w:type="dxa"/>
              <w:bottom w:w="80" w:type="dxa"/>
              <w:end w:w="110" w:type="dxa"/>
            </w:tcMar>
            <w:vAlign w:val="center"/>
            <w:shd w:fill="E8EEF5"/>
          </w:tcPr>
          <w:p>
            <w:pPr>
              <w:spacing w:after="0" w:line="240" w:lineRule="auto"/>
            </w:pPr>
            <w:r>
              <w:rPr>
                <w:b/>
                <w:color w:val="302082"/>
                <w:sz w:val="17"/>
              </w:rPr>
              <w:t>Priorité d'évolution UI</w:t>
            </w:r>
          </w:p>
        </w:tc>
        <w:tc>
          <w:tcPr>
            <w:tcW w:type="dxa" w:w="3603"/>
            <w:tcMar>
              <w:top w:w="80" w:type="dxa"/>
              <w:start w:w="110" w:type="dxa"/>
              <w:bottom w:w="80" w:type="dxa"/>
              <w:end w:w="110" w:type="dxa"/>
            </w:tcMar>
            <w:vAlign w:val="center"/>
            <w:shd w:fill="E8EEF5"/>
          </w:tcPr>
          <w:p>
            <w:pPr>
              <w:spacing w:after="0" w:line="240" w:lineRule="auto"/>
            </w:pPr>
            <w:r>
              <w:rPr>
                <w:b/>
                <w:color w:val="302082"/>
                <w:sz w:val="17"/>
              </w:rPr>
              <w:t>Action technique</w:t>
            </w:r>
          </w:p>
        </w:tc>
        <w:tc>
          <w:tcPr>
            <w:tcW w:type="dxa" w:w="3603"/>
            <w:tcMar>
              <w:top w:w="80" w:type="dxa"/>
              <w:start w:w="110" w:type="dxa"/>
              <w:bottom w:w="80" w:type="dxa"/>
              <w:end w:w="110" w:type="dxa"/>
            </w:tcMar>
            <w:vAlign w:val="center"/>
            <w:shd w:fill="E8EEF5"/>
          </w:tcPr>
          <w:p>
            <w:pPr>
              <w:spacing w:after="0" w:line="240" w:lineRule="auto"/>
            </w:pPr>
            <w:r>
              <w:rPr>
                <w:b/>
                <w:color w:val="302082"/>
                <w:sz w:val="17"/>
              </w:rPr>
              <w:t>Critère de sortie</w:t>
            </w:r>
          </w:p>
        </w:tc>
      </w:tr>
      <w:tr>
        <w:tc>
          <w:tcPr>
            <w:tcW w:type="dxa" w:w="1973"/>
            <w:tcMar>
              <w:top w:w="80" w:type="dxa"/>
              <w:start w:w="110" w:type="dxa"/>
              <w:bottom w:w="80" w:type="dxa"/>
              <w:end w:w="110" w:type="dxa"/>
            </w:tcMar>
            <w:vAlign w:val="center"/>
          </w:tcPr>
          <w:p>
            <w:pPr>
              <w:spacing w:after="0" w:line="240" w:lineRule="auto"/>
            </w:pPr>
            <w:r>
              <w:rPr>
                <w:sz w:val="17"/>
              </w:rPr>
              <w:t>Gouvernance</w:t>
            </w:r>
          </w:p>
        </w:tc>
        <w:tc>
          <w:tcPr>
            <w:tcW w:type="dxa" w:w="3603"/>
            <w:tcMar>
              <w:top w:w="80" w:type="dxa"/>
              <w:start w:w="110" w:type="dxa"/>
              <w:bottom w:w="80" w:type="dxa"/>
              <w:end w:w="110" w:type="dxa"/>
            </w:tcMar>
            <w:vAlign w:val="center"/>
          </w:tcPr>
          <w:p>
            <w:pPr>
              <w:spacing w:after="0" w:line="240" w:lineRule="auto"/>
            </w:pPr>
            <w:r>
              <w:rPr>
                <w:sz w:val="17"/>
              </w:rPr>
              <w:t>documenter les tokens publics et convertir les motifs répétés en variantes de primitives</w:t>
            </w:r>
          </w:p>
        </w:tc>
        <w:tc>
          <w:tcPr>
            <w:tcW w:type="dxa" w:w="3603"/>
            <w:tcMar>
              <w:top w:w="80" w:type="dxa"/>
              <w:start w:w="110" w:type="dxa"/>
              <w:bottom w:w="80" w:type="dxa"/>
              <w:end w:w="110" w:type="dxa"/>
            </w:tcMar>
            <w:vAlign w:val="center"/>
          </w:tcPr>
          <w:p>
            <w:pPr>
              <w:spacing w:after="0" w:line="240" w:lineRule="auto"/>
            </w:pPr>
            <w:r>
              <w:rPr>
                <w:sz w:val="17"/>
              </w:rPr>
              <w:t>une couleur ou élévation de marque change à un endroit contrôlé</w:t>
            </w:r>
          </w:p>
        </w:tc>
      </w:tr>
      <w:tr>
        <w:tc>
          <w:tcPr>
            <w:tcW w:type="dxa" w:w="1973"/>
            <w:tcMar>
              <w:top w:w="80" w:type="dxa"/>
              <w:start w:w="110" w:type="dxa"/>
              <w:bottom w:w="80" w:type="dxa"/>
              <w:end w:w="110" w:type="dxa"/>
            </w:tcMar>
            <w:vAlign w:val="center"/>
            <w:shd w:fill="F8F7FC"/>
          </w:tcPr>
          <w:p>
            <w:pPr>
              <w:spacing w:after="0" w:line="240" w:lineRule="auto"/>
            </w:pPr>
            <w:r>
              <w:rPr>
                <w:sz w:val="17"/>
              </w:rPr>
              <w:t>Responsive</w:t>
            </w:r>
          </w:p>
        </w:tc>
        <w:tc>
          <w:tcPr>
            <w:tcW w:type="dxa" w:w="3603"/>
            <w:tcMar>
              <w:top w:w="80" w:type="dxa"/>
              <w:start w:w="110" w:type="dxa"/>
              <w:bottom w:w="80" w:type="dxa"/>
              <w:end w:w="110" w:type="dxa"/>
            </w:tcMar>
            <w:vAlign w:val="center"/>
            <w:shd w:fill="F8F7FC"/>
          </w:tcPr>
          <w:p>
            <w:pPr>
              <w:spacing w:after="0" w:line="240" w:lineRule="auto"/>
            </w:pPr>
            <w:r>
              <w:rPr>
                <w:sz w:val="17"/>
              </w:rPr>
              <w:t>ajouter des parcours Playwright à 360, 768, 1024 et 1440 px, avec zoom et paysage</w:t>
            </w:r>
          </w:p>
        </w:tc>
        <w:tc>
          <w:tcPr>
            <w:tcW w:type="dxa" w:w="3603"/>
            <w:tcMar>
              <w:top w:w="80" w:type="dxa"/>
              <w:start w:w="110" w:type="dxa"/>
              <w:bottom w:w="80" w:type="dxa"/>
              <w:end w:w="110" w:type="dxa"/>
            </w:tcMar>
            <w:vAlign w:val="center"/>
            <w:shd w:fill="F8F7FC"/>
          </w:tcPr>
          <w:p>
            <w:pPr>
              <w:spacing w:after="0" w:line="240" w:lineRule="auto"/>
            </w:pPr>
            <w:r>
              <w:rPr>
                <w:sz w:val="17"/>
              </w:rPr>
              <w:t>aucune action critique coupée, aucun scroll horizontal de page</w:t>
            </w:r>
          </w:p>
        </w:tc>
      </w:tr>
      <w:tr>
        <w:tc>
          <w:tcPr>
            <w:tcW w:type="dxa" w:w="1973"/>
            <w:tcMar>
              <w:top w:w="80" w:type="dxa"/>
              <w:start w:w="110" w:type="dxa"/>
              <w:bottom w:w="80" w:type="dxa"/>
              <w:end w:w="110" w:type="dxa"/>
            </w:tcMar>
            <w:vAlign w:val="center"/>
          </w:tcPr>
          <w:p>
            <w:pPr>
              <w:spacing w:after="0" w:line="240" w:lineRule="auto"/>
            </w:pPr>
            <w:r>
              <w:rPr>
                <w:sz w:val="17"/>
              </w:rPr>
              <w:t>Accessibilité</w:t>
            </w:r>
          </w:p>
        </w:tc>
        <w:tc>
          <w:tcPr>
            <w:tcW w:type="dxa" w:w="3603"/>
            <w:tcMar>
              <w:top w:w="80" w:type="dxa"/>
              <w:start w:w="110" w:type="dxa"/>
              <w:bottom w:w="80" w:type="dxa"/>
              <w:end w:w="110" w:type="dxa"/>
            </w:tcMar>
            <w:vAlign w:val="center"/>
          </w:tcPr>
          <w:p>
            <w:pPr>
              <w:spacing w:after="0" w:line="240" w:lineRule="auto"/>
            </w:pPr>
            <w:r>
              <w:rPr>
                <w:sz w:val="17"/>
              </w:rPr>
              <w:t xml:space="preserve">automatiser axe, tester clavier/lecteur d'écran et généraliser </w:t>
            </w:r>
            <w:r>
              <w:rPr>
                <w:rFonts w:ascii="Consolas" w:hAnsi="Consolas"/>
                <w:color w:val="4A339E"/>
                <w:sz w:val="17"/>
              </w:rPr>
              <w:t>prefers-reduced-motion</w:t>
            </w:r>
          </w:p>
        </w:tc>
        <w:tc>
          <w:tcPr>
            <w:tcW w:type="dxa" w:w="3603"/>
            <w:tcMar>
              <w:top w:w="80" w:type="dxa"/>
              <w:start w:w="110" w:type="dxa"/>
              <w:bottom w:w="80" w:type="dxa"/>
              <w:end w:w="110" w:type="dxa"/>
            </w:tcMar>
            <w:vAlign w:val="center"/>
          </w:tcPr>
          <w:p>
            <w:pPr>
              <w:spacing w:after="0" w:line="240" w:lineRule="auto"/>
            </w:pPr>
            <w:r>
              <w:rPr>
                <w:sz w:val="17"/>
              </w:rPr>
              <w:t>zéro violation critique et scénarios clavier documentés</w:t>
            </w:r>
          </w:p>
        </w:tc>
      </w:tr>
      <w:tr>
        <w:tc>
          <w:tcPr>
            <w:tcW w:type="dxa" w:w="1973"/>
            <w:tcMar>
              <w:top w:w="80" w:type="dxa"/>
              <w:start w:w="110" w:type="dxa"/>
              <w:bottom w:w="80" w:type="dxa"/>
              <w:end w:w="110" w:type="dxa"/>
            </w:tcMar>
            <w:vAlign w:val="center"/>
            <w:shd w:fill="F8F7FC"/>
          </w:tcPr>
          <w:p>
            <w:pPr>
              <w:spacing w:after="0" w:line="240" w:lineRule="auto"/>
            </w:pPr>
            <w:r>
              <w:rPr>
                <w:sz w:val="17"/>
              </w:rPr>
              <w:t>Médias</w:t>
            </w:r>
          </w:p>
        </w:tc>
        <w:tc>
          <w:tcPr>
            <w:tcW w:type="dxa" w:w="3603"/>
            <w:tcMar>
              <w:top w:w="80" w:type="dxa"/>
              <w:start w:w="110" w:type="dxa"/>
              <w:bottom w:w="80" w:type="dxa"/>
              <w:end w:w="110" w:type="dxa"/>
            </w:tcMar>
            <w:vAlign w:val="center"/>
            <w:shd w:fill="F8F7FC"/>
          </w:tcPr>
          <w:p>
            <w:pPr>
              <w:spacing w:after="0" w:line="240" w:lineRule="auto"/>
            </w:pPr>
            <w:r>
              <w:rPr>
                <w:sz w:val="17"/>
              </w:rPr>
              <w:t>remplacer les backgrounds produits par un composant image optimisé lorsque possible</w:t>
            </w:r>
          </w:p>
        </w:tc>
        <w:tc>
          <w:tcPr>
            <w:tcW w:type="dxa" w:w="3603"/>
            <w:tcMar>
              <w:top w:w="80" w:type="dxa"/>
              <w:start w:w="110" w:type="dxa"/>
              <w:bottom w:w="80" w:type="dxa"/>
              <w:end w:w="110" w:type="dxa"/>
            </w:tcMar>
            <w:vAlign w:val="center"/>
            <w:shd w:fill="F8F7FC"/>
          </w:tcPr>
          <w:p>
            <w:pPr>
              <w:spacing w:after="0" w:line="240" w:lineRule="auto"/>
            </w:pPr>
            <w:r>
              <w:rPr>
                <w:sz w:val="17"/>
              </w:rPr>
              <w:t>tailles adaptées, lazy loading et ratio conservé</w:t>
            </w:r>
          </w:p>
        </w:tc>
      </w:tr>
      <w:tr>
        <w:tc>
          <w:tcPr>
            <w:tcW w:type="dxa" w:w="1973"/>
            <w:tcMar>
              <w:top w:w="80" w:type="dxa"/>
              <w:start w:w="110" w:type="dxa"/>
              <w:bottom w:w="80" w:type="dxa"/>
              <w:end w:w="110" w:type="dxa"/>
            </w:tcMar>
            <w:vAlign w:val="center"/>
          </w:tcPr>
          <w:p>
            <w:pPr>
              <w:spacing w:after="0" w:line="240" w:lineRule="auto"/>
            </w:pPr>
            <w:r>
              <w:rPr>
                <w:sz w:val="17"/>
              </w:rPr>
              <w:t>Documentation</w:t>
            </w:r>
          </w:p>
        </w:tc>
        <w:tc>
          <w:tcPr>
            <w:tcW w:type="dxa" w:w="3603"/>
            <w:tcMar>
              <w:top w:w="80" w:type="dxa"/>
              <w:start w:w="110" w:type="dxa"/>
              <w:bottom w:w="80" w:type="dxa"/>
              <w:end w:w="110" w:type="dxa"/>
            </w:tcMar>
            <w:vAlign w:val="center"/>
          </w:tcPr>
          <w:p>
            <w:pPr>
              <w:spacing w:after="0" w:line="240" w:lineRule="auto"/>
            </w:pPr>
            <w:r>
              <w:rPr>
                <w:sz w:val="17"/>
              </w:rPr>
              <w:t>maintenir un inventaire des primitives, variantes, états et usages interdits</w:t>
            </w:r>
          </w:p>
        </w:tc>
        <w:tc>
          <w:tcPr>
            <w:tcW w:type="dxa" w:w="3603"/>
            <w:tcMar>
              <w:top w:w="80" w:type="dxa"/>
              <w:start w:w="110" w:type="dxa"/>
              <w:bottom w:w="80" w:type="dxa"/>
              <w:end w:w="110" w:type="dxa"/>
            </w:tcMar>
            <w:vAlign w:val="center"/>
          </w:tcPr>
          <w:p>
            <w:pPr>
              <w:spacing w:after="0" w:line="240" w:lineRule="auto"/>
            </w:pPr>
            <w:r>
              <w:rPr>
                <w:sz w:val="17"/>
              </w:rPr>
              <w:t>une nouvelle page réutilise le système sans style parallèle</w:t>
            </w:r>
          </w:p>
        </w:tc>
      </w:tr>
      <w:tr>
        <w:tc>
          <w:tcPr>
            <w:tcW w:type="dxa" w:w="1973"/>
            <w:tcMar>
              <w:top w:w="80" w:type="dxa"/>
              <w:start w:w="110" w:type="dxa"/>
              <w:bottom w:w="80" w:type="dxa"/>
              <w:end w:w="110" w:type="dxa"/>
            </w:tcMar>
            <w:vAlign w:val="center"/>
            <w:shd w:fill="F8F7FC"/>
          </w:tcPr>
          <w:p>
            <w:pPr>
              <w:spacing w:after="0" w:line="240" w:lineRule="auto"/>
            </w:pPr>
            <w:r>
              <w:rPr>
                <w:sz w:val="17"/>
              </w:rPr>
              <w:t>Internationalisation</w:t>
            </w:r>
          </w:p>
        </w:tc>
        <w:tc>
          <w:tcPr>
            <w:tcW w:type="dxa" w:w="3603"/>
            <w:tcMar>
              <w:top w:w="80" w:type="dxa"/>
              <w:start w:w="110" w:type="dxa"/>
              <w:bottom w:w="80" w:type="dxa"/>
              <w:end w:w="110" w:type="dxa"/>
            </w:tcMar>
            <w:vAlign w:val="center"/>
            <w:shd w:fill="F8F7FC"/>
          </w:tcPr>
          <w:p>
            <w:pPr>
              <w:spacing w:after="0" w:line="240" w:lineRule="auto"/>
            </w:pPr>
            <w:r>
              <w:rPr>
                <w:sz w:val="17"/>
              </w:rPr>
              <w:t>éliminer les libellés techniques anglais résiduels et préparer la direction de texte</w:t>
            </w:r>
          </w:p>
        </w:tc>
        <w:tc>
          <w:tcPr>
            <w:tcW w:type="dxa" w:w="3603"/>
            <w:tcMar>
              <w:top w:w="80" w:type="dxa"/>
              <w:start w:w="110" w:type="dxa"/>
              <w:bottom w:w="80" w:type="dxa"/>
              <w:end w:w="110" w:type="dxa"/>
            </w:tcMar>
            <w:vAlign w:val="center"/>
            <w:shd w:fill="F8F7FC"/>
          </w:tcPr>
          <w:p>
            <w:pPr>
              <w:spacing w:after="0" w:line="240" w:lineRule="auto"/>
            </w:pPr>
            <w:r>
              <w:rPr>
                <w:sz w:val="17"/>
              </w:rPr>
              <w:t>aucun nom accessible codé en dur ; décision RTL explicite</w:t>
            </w:r>
          </w:p>
        </w:tc>
      </w:tr>
    </w:tbl>
    <w:p>
      <w:pPr>
        <w:spacing w:after="0"/>
      </w:pPr>
    </w:p>
    <w:p>
      <w:r>
        <w:t>Les limites ci-dessus doivent être distinguées d'un défaut responsive général : les parcours principaux disposent déjà d'une adaptation mobile concrète. La dette porte surtout sur l'industrialisation de sa preuve, l'unification des tokens et les cas d'accessibilité avancés. Une future refonte ne devrait pas commencer par remplacer les primitives existantes, mais par figer leurs contrats, mesurer les écarts puis migrer progressivement les composants historiques.</w:t>
      </w:r>
    </w:p>
    <w:p>
      <w:bookmarkStart w:id="14" w:name="h_14_Identit___s_curit__et_autori"/>
      <w:pPr>
        <w:pStyle w:val="Heading1"/>
      </w:pPr>
      <w:r>
        <w:t>Identité, sécurité et autorisations</w:t>
      </w:r>
      <w:bookmarkEnd w:id="14"/>
    </w:p>
    <w:p>
      <w:r>
        <w:t xml:space="preserve">Supabase Auth dépose la session dans des cookies gérés par le client serveur. Le callback PKCE échange un </w:t>
      </w:r>
      <w:r>
        <w:rPr>
          <w:rFonts w:ascii="Consolas" w:hAnsi="Consolas"/>
          <w:color w:val="4A339E"/>
          <w:sz w:val="18"/>
        </w:rPr>
        <w:t>code</w:t>
      </w:r>
      <w:r>
        <w:t xml:space="preserve"> et assainit </w:t>
      </w:r>
      <w:r>
        <w:rPr>
          <w:rFonts w:ascii="Consolas" w:hAnsi="Consolas"/>
          <w:color w:val="4A339E"/>
          <w:sz w:val="18"/>
        </w:rPr>
        <w:t>next</w:t>
      </w:r>
      <w:r>
        <w:t xml:space="preserve"> pour empêcher une redirection ouverte. Le profil </w:t>
      </w:r>
      <w:r>
        <w:rPr>
          <w:rFonts w:ascii="Consolas" w:hAnsi="Consolas"/>
          <w:color w:val="4A339E"/>
          <w:sz w:val="18"/>
        </w:rPr>
        <w:t>utilisateur.id_compte</w:t>
      </w:r>
      <w:r>
        <w:t xml:space="preserve"> référence l'identité Auth. Les gardes serveur vérifient successivement session, rôle, activité et, pour le BackOffice sensible, AAL2. L'interface peut masquer une action, mais seul le serveur autorise.</w:t>
      </w:r>
    </w:p>
    <w:p>
      <w:pPr>
        <w:keepNext/>
        <w:jc w:val="center"/>
      </w:pPr>
      <w:r>
        <w:drawing>
          <wp:inline xmlns:a="http://schemas.openxmlformats.org/drawingml/2006/main" xmlns:pic="http://schemas.openxmlformats.org/drawingml/2006/picture">
            <wp:extent cx="5652000" cy="5261230"/>
            <wp:docPr id="4" name="Picture 4" descr="Séquence d'accès administrateur AAL2" title="Séquence d'accès administrateur AAL2"/>
            <wp:cNvGraphicFramePr>
              <a:graphicFrameLocks noChangeAspect="1"/>
            </wp:cNvGraphicFramePr>
            <a:graphic>
              <a:graphicData uri="http://schemas.openxmlformats.org/drawingml/2006/picture">
                <pic:pic>
                  <pic:nvPicPr>
                    <pic:cNvPr id="0" name="06-seq-mfa.png"/>
                    <pic:cNvPicPr/>
                  </pic:nvPicPr>
                  <pic:blipFill>
                    <a:blip r:embed="rId12"/>
                    <a:stretch>
                      <a:fillRect/>
                    </a:stretch>
                  </pic:blipFill>
                  <pic:spPr>
                    <a:xfrm>
                      <a:off x="0" y="0"/>
                      <a:ext cx="5652000" cy="5261230"/>
                    </a:xfrm>
                    <a:prstGeom prst="rect"/>
                  </pic:spPr>
                </pic:pic>
              </a:graphicData>
            </a:graphic>
          </wp:inline>
        </w:drawing>
      </w:r>
    </w:p>
    <w:p>
      <w:pPr>
        <w:pStyle w:val="CYNACaption"/>
      </w:pPr>
      <w:r>
        <w:t>Séquence d'accès administrateur AAL2</w:t>
      </w:r>
    </w:p>
    <w:p>
      <w:r>
        <w:t>La RLS réduit les lignes visibles et modifiables par un client authentifié. Les routes publiques lisent uniquement les projections de catalogue nécessaires. Le client service role est réservé aux traitements dont l'identité ne peut pas porter l'écriture : webhook Stripe, persistance chatbot contrôlée et tâches d'exploitation. Toute entrée dans ce périmètre doit d'abord vérifier sa preuve de confiance, par signature Stripe ou propriété de conversation.</w:t>
      </w:r>
    </w:p>
    <w:p>
      <w:bookmarkStart w:id="15" w:name="h_15_Architecture_des_donn_es_et_"/>
      <w:pPr>
        <w:pStyle w:val="Heading1"/>
      </w:pPr>
      <w:r>
        <w:t>Architecture des données et de la persistance</w:t>
      </w:r>
      <w:bookmarkEnd w:id="15"/>
    </w:p>
    <w:p>
      <w:bookmarkStart w:id="16" w:name="h_16_Clients_Supabase_et_fronti_r"/>
      <w:pPr>
        <w:pStyle w:val="Heading2"/>
      </w:pPr>
      <w:r>
        <w:t>Clients Supabase et frontières de privilège</w:t>
      </w:r>
      <w:bookmarkEnd w:id="16"/>
    </w:p>
    <w:p>
      <w:r>
        <w:t xml:space="preserve">CYNA utilise plusieurs constructions de client Supabase afin que le moyen d'authentification reflète la confiance disponible. </w:t>
      </w:r>
      <w:r>
        <w:rPr>
          <w:rFonts w:ascii="Consolas" w:hAnsi="Consolas"/>
          <w:color w:val="4A339E"/>
          <w:sz w:val="18"/>
        </w:rPr>
        <w:t>createServerClient</w:t>
      </w:r>
      <w:r>
        <w:t xml:space="preserve"> s'appuie sur la clé anonyme et les cookies de la requête : les politiques RLS voient alors l'identité du client. Les lectures publiques utilisent également une clé publique avec une projection limitée. </w:t>
      </w:r>
      <w:r>
        <w:rPr>
          <w:rFonts w:ascii="Consolas" w:hAnsi="Consolas"/>
          <w:color w:val="4A339E"/>
          <w:sz w:val="18"/>
        </w:rPr>
        <w:t>createAdminClient</w:t>
      </w:r>
      <w:r>
        <w:t xml:space="preserve"> et les clients service role contournent la RLS ; ils sont confinés aux modules serveur et ne sont appelés qu'après une garde métier ou une preuve externe.</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163"/>
        <w:gridCol w:w="2585"/>
        <w:gridCol w:w="2715"/>
        <w:gridCol w:w="2715"/>
      </w:tblGrid>
      <w:tr>
        <w:trPr>
          <w:tblHeader w:val="true"/>
        </w:trPr>
        <w:tc>
          <w:tcPr>
            <w:tcW w:type="dxa" w:w="1163"/>
            <w:tcMar>
              <w:top w:w="80" w:type="dxa"/>
              <w:start w:w="110" w:type="dxa"/>
              <w:bottom w:w="80" w:type="dxa"/>
              <w:end w:w="110" w:type="dxa"/>
            </w:tcMar>
            <w:vAlign w:val="center"/>
            <w:shd w:fill="E8EEF5"/>
          </w:tcPr>
          <w:p>
            <w:pPr>
              <w:spacing w:after="0" w:line="240" w:lineRule="auto"/>
            </w:pPr>
            <w:r>
              <w:rPr>
                <w:b/>
                <w:color w:val="302082"/>
                <w:sz w:val="17"/>
              </w:rPr>
              <w:t>Client logique</w:t>
            </w:r>
          </w:p>
        </w:tc>
        <w:tc>
          <w:tcPr>
            <w:tcW w:type="dxa" w:w="2585"/>
            <w:tcMar>
              <w:top w:w="80" w:type="dxa"/>
              <w:start w:w="110" w:type="dxa"/>
              <w:bottom w:w="80" w:type="dxa"/>
              <w:end w:w="110" w:type="dxa"/>
            </w:tcMar>
            <w:vAlign w:val="center"/>
            <w:shd w:fill="E8EEF5"/>
          </w:tcPr>
          <w:p>
            <w:pPr>
              <w:spacing w:after="0" w:line="240" w:lineRule="auto"/>
            </w:pPr>
            <w:r>
              <w:rPr>
                <w:b/>
                <w:color w:val="302082"/>
                <w:sz w:val="17"/>
              </w:rPr>
              <w:t>Preuve disponible</w:t>
            </w:r>
          </w:p>
        </w:tc>
        <w:tc>
          <w:tcPr>
            <w:tcW w:type="dxa" w:w="2715"/>
            <w:tcMar>
              <w:top w:w="80" w:type="dxa"/>
              <w:start w:w="110" w:type="dxa"/>
              <w:bottom w:w="80" w:type="dxa"/>
              <w:end w:w="110" w:type="dxa"/>
            </w:tcMar>
            <w:vAlign w:val="center"/>
            <w:shd w:fill="E8EEF5"/>
          </w:tcPr>
          <w:p>
            <w:pPr>
              <w:spacing w:after="0" w:line="240" w:lineRule="auto"/>
            </w:pPr>
            <w:r>
              <w:rPr>
                <w:b/>
                <w:color w:val="302082"/>
                <w:sz w:val="17"/>
              </w:rPr>
              <w:t>Capacités</w:t>
            </w:r>
          </w:p>
        </w:tc>
        <w:tc>
          <w:tcPr>
            <w:tcW w:type="dxa" w:w="2715"/>
            <w:tcMar>
              <w:top w:w="80" w:type="dxa"/>
              <w:start w:w="110" w:type="dxa"/>
              <w:bottom w:w="80" w:type="dxa"/>
              <w:end w:w="110" w:type="dxa"/>
            </w:tcMar>
            <w:vAlign w:val="center"/>
            <w:shd w:fill="E8EEF5"/>
          </w:tcPr>
          <w:p>
            <w:pPr>
              <w:spacing w:after="0" w:line="240" w:lineRule="auto"/>
            </w:pPr>
            <w:r>
              <w:rPr>
                <w:b/>
                <w:color w:val="302082"/>
                <w:sz w:val="17"/>
              </w:rPr>
              <w:t>Emplois représentatifs</w:t>
            </w:r>
          </w:p>
        </w:tc>
      </w:tr>
      <w:tr>
        <w:tc>
          <w:tcPr>
            <w:tcW w:type="dxa" w:w="1163"/>
            <w:tcMar>
              <w:top w:w="80" w:type="dxa"/>
              <w:start w:w="110" w:type="dxa"/>
              <w:bottom w:w="80" w:type="dxa"/>
              <w:end w:w="110" w:type="dxa"/>
            </w:tcMar>
            <w:vAlign w:val="center"/>
          </w:tcPr>
          <w:p>
            <w:pPr>
              <w:spacing w:after="0" w:line="240" w:lineRule="auto"/>
            </w:pPr>
            <w:r>
              <w:rPr>
                <w:sz w:val="17"/>
              </w:rPr>
              <w:t>Public anonyme</w:t>
            </w:r>
          </w:p>
        </w:tc>
        <w:tc>
          <w:tcPr>
            <w:tcW w:type="dxa" w:w="2585"/>
            <w:tcMar>
              <w:top w:w="80" w:type="dxa"/>
              <w:start w:w="110" w:type="dxa"/>
              <w:bottom w:w="80" w:type="dxa"/>
              <w:end w:w="110" w:type="dxa"/>
            </w:tcMar>
            <w:vAlign w:val="center"/>
          </w:tcPr>
          <w:p>
            <w:pPr>
              <w:spacing w:after="0" w:line="240" w:lineRule="auto"/>
            </w:pPr>
            <w:r>
              <w:rPr>
                <w:sz w:val="17"/>
              </w:rPr>
              <w:t>aucune identité</w:t>
            </w:r>
          </w:p>
        </w:tc>
        <w:tc>
          <w:tcPr>
            <w:tcW w:type="dxa" w:w="2715"/>
            <w:tcMar>
              <w:top w:w="80" w:type="dxa"/>
              <w:start w:w="110" w:type="dxa"/>
              <w:bottom w:w="80" w:type="dxa"/>
              <w:end w:w="110" w:type="dxa"/>
            </w:tcMar>
            <w:vAlign w:val="center"/>
          </w:tcPr>
          <w:p>
            <w:pPr>
              <w:spacing w:after="0" w:line="240" w:lineRule="auto"/>
            </w:pPr>
            <w:r>
              <w:rPr>
                <w:sz w:val="17"/>
              </w:rPr>
              <w:t>lecture des données publiées par politique</w:t>
            </w:r>
          </w:p>
        </w:tc>
        <w:tc>
          <w:tcPr>
            <w:tcW w:type="dxa" w:w="2715"/>
            <w:tcMar>
              <w:top w:w="80" w:type="dxa"/>
              <w:start w:w="110" w:type="dxa"/>
              <w:bottom w:w="80" w:type="dxa"/>
              <w:end w:w="110" w:type="dxa"/>
            </w:tcMar>
            <w:vAlign w:val="center"/>
          </w:tcPr>
          <w:p>
            <w:pPr>
              <w:spacing w:after="0" w:line="240" w:lineRule="auto"/>
            </w:pPr>
            <w:r>
              <w:rPr>
                <w:sz w:val="17"/>
              </w:rPr>
              <w:t>catalogue, catégories, recherche</w:t>
            </w:r>
          </w:p>
        </w:tc>
      </w:tr>
      <w:tr>
        <w:tc>
          <w:tcPr>
            <w:tcW w:type="dxa" w:w="1163"/>
            <w:tcMar>
              <w:top w:w="80" w:type="dxa"/>
              <w:start w:w="110" w:type="dxa"/>
              <w:bottom w:w="80" w:type="dxa"/>
              <w:end w:w="110" w:type="dxa"/>
            </w:tcMar>
            <w:vAlign w:val="center"/>
            <w:shd w:fill="F8F7FC"/>
          </w:tcPr>
          <w:p>
            <w:pPr>
              <w:spacing w:after="0" w:line="240" w:lineRule="auto"/>
            </w:pPr>
            <w:r>
              <w:rPr>
                <w:sz w:val="17"/>
              </w:rPr>
              <w:t>Serveur de session</w:t>
            </w:r>
          </w:p>
        </w:tc>
        <w:tc>
          <w:tcPr>
            <w:tcW w:type="dxa" w:w="2585"/>
            <w:tcMar>
              <w:top w:w="80" w:type="dxa"/>
              <w:start w:w="110" w:type="dxa"/>
              <w:bottom w:w="80" w:type="dxa"/>
              <w:end w:w="110" w:type="dxa"/>
            </w:tcMar>
            <w:vAlign w:val="center"/>
            <w:shd w:fill="F8F7FC"/>
          </w:tcPr>
          <w:p>
            <w:pPr>
              <w:spacing w:after="0" w:line="240" w:lineRule="auto"/>
            </w:pPr>
            <w:r>
              <w:rPr>
                <w:sz w:val="17"/>
              </w:rPr>
              <w:t>cookies Supabase valides</w:t>
            </w:r>
          </w:p>
        </w:tc>
        <w:tc>
          <w:tcPr>
            <w:tcW w:type="dxa" w:w="2715"/>
            <w:tcMar>
              <w:top w:w="80" w:type="dxa"/>
              <w:start w:w="110" w:type="dxa"/>
              <w:bottom w:w="80" w:type="dxa"/>
              <w:end w:w="110" w:type="dxa"/>
            </w:tcMar>
            <w:vAlign w:val="center"/>
            <w:shd w:fill="F8F7FC"/>
          </w:tcPr>
          <w:p>
            <w:pPr>
              <w:spacing w:after="0" w:line="240" w:lineRule="auto"/>
            </w:pPr>
            <w:r>
              <w:rPr>
                <w:sz w:val="17"/>
              </w:rPr>
              <w:t>droits de l'utilisateur sous RLS</w:t>
            </w:r>
          </w:p>
        </w:tc>
        <w:tc>
          <w:tcPr>
            <w:tcW w:type="dxa" w:w="2715"/>
            <w:tcMar>
              <w:top w:w="80" w:type="dxa"/>
              <w:start w:w="110" w:type="dxa"/>
              <w:bottom w:w="80" w:type="dxa"/>
              <w:end w:w="110" w:type="dxa"/>
            </w:tcMar>
            <w:vAlign w:val="center"/>
            <w:shd w:fill="F8F7FC"/>
          </w:tcPr>
          <w:p>
            <w:pPr>
              <w:spacing w:after="0" w:line="240" w:lineRule="auto"/>
            </w:pPr>
            <w:r>
              <w:rPr>
                <w:sz w:val="17"/>
              </w:rPr>
              <w:t>profil, adresses, commandes, factures, tickets</w:t>
            </w:r>
          </w:p>
        </w:tc>
      </w:tr>
      <w:tr>
        <w:tc>
          <w:tcPr>
            <w:tcW w:type="dxa" w:w="1163"/>
            <w:tcMar>
              <w:top w:w="80" w:type="dxa"/>
              <w:start w:w="110" w:type="dxa"/>
              <w:bottom w:w="80" w:type="dxa"/>
              <w:end w:w="110" w:type="dxa"/>
            </w:tcMar>
            <w:vAlign w:val="center"/>
          </w:tcPr>
          <w:p>
            <w:pPr>
              <w:spacing w:after="0" w:line="240" w:lineRule="auto"/>
            </w:pPr>
            <w:r>
              <w:rPr>
                <w:sz w:val="17"/>
              </w:rPr>
              <w:t>Admin après garde</w:t>
            </w:r>
          </w:p>
        </w:tc>
        <w:tc>
          <w:tcPr>
            <w:tcW w:type="dxa" w:w="2585"/>
            <w:tcMar>
              <w:top w:w="80" w:type="dxa"/>
              <w:start w:w="110" w:type="dxa"/>
              <w:bottom w:w="80" w:type="dxa"/>
              <w:end w:w="110" w:type="dxa"/>
            </w:tcMar>
            <w:vAlign w:val="center"/>
          </w:tcPr>
          <w:p>
            <w:pPr>
              <w:spacing w:after="0" w:line="240" w:lineRule="auto"/>
            </w:pPr>
            <w:r>
              <w:rPr>
                <w:sz w:val="17"/>
              </w:rPr>
              <w:t>session, profil admin actif, AAL2</w:t>
            </w:r>
          </w:p>
        </w:tc>
        <w:tc>
          <w:tcPr>
            <w:tcW w:type="dxa" w:w="2715"/>
            <w:tcMar>
              <w:top w:w="80" w:type="dxa"/>
              <w:start w:w="110" w:type="dxa"/>
              <w:bottom w:w="80" w:type="dxa"/>
              <w:end w:w="110" w:type="dxa"/>
            </w:tcMar>
            <w:vAlign w:val="center"/>
          </w:tcPr>
          <w:p>
            <w:pPr>
              <w:spacing w:after="0" w:line="240" w:lineRule="auto"/>
            </w:pPr>
            <w:r>
              <w:rPr>
                <w:sz w:val="17"/>
              </w:rPr>
              <w:t>agrégations et mutations BackOffice nécessaires</w:t>
            </w:r>
          </w:p>
        </w:tc>
        <w:tc>
          <w:tcPr>
            <w:tcW w:type="dxa" w:w="2715"/>
            <w:tcMar>
              <w:top w:w="80" w:type="dxa"/>
              <w:start w:w="110" w:type="dxa"/>
              <w:bottom w:w="80" w:type="dxa"/>
              <w:end w:w="110" w:type="dxa"/>
            </w:tcMar>
            <w:vAlign w:val="center"/>
          </w:tcPr>
          <w:p>
            <w:pPr>
              <w:spacing w:after="0" w:line="240" w:lineRule="auto"/>
            </w:pPr>
            <w:r>
              <w:rPr>
                <w:sz w:val="17"/>
              </w:rPr>
              <w:t>rapport commerce, administration sensible</w:t>
            </w:r>
          </w:p>
        </w:tc>
      </w:tr>
      <w:tr>
        <w:tc>
          <w:tcPr>
            <w:tcW w:type="dxa" w:w="1163"/>
            <w:tcMar>
              <w:top w:w="80" w:type="dxa"/>
              <w:start w:w="110" w:type="dxa"/>
              <w:bottom w:w="80" w:type="dxa"/>
              <w:end w:w="110" w:type="dxa"/>
            </w:tcMar>
            <w:vAlign w:val="center"/>
            <w:shd w:fill="F8F7FC"/>
          </w:tcPr>
          <w:p>
            <w:pPr>
              <w:spacing w:after="0" w:line="240" w:lineRule="auto"/>
            </w:pPr>
            <w:r>
              <w:rPr>
                <w:sz w:val="17"/>
              </w:rPr>
              <w:t>Service webhook</w:t>
            </w:r>
          </w:p>
        </w:tc>
        <w:tc>
          <w:tcPr>
            <w:tcW w:type="dxa" w:w="2585"/>
            <w:tcMar>
              <w:top w:w="80" w:type="dxa"/>
              <w:start w:w="110" w:type="dxa"/>
              <w:bottom w:w="80" w:type="dxa"/>
              <w:end w:w="110" w:type="dxa"/>
            </w:tcMar>
            <w:vAlign w:val="center"/>
            <w:shd w:fill="F8F7FC"/>
          </w:tcPr>
          <w:p>
            <w:pPr>
              <w:spacing w:after="0" w:line="240" w:lineRule="auto"/>
            </w:pPr>
            <w:r>
              <w:rPr>
                <w:sz w:val="17"/>
              </w:rPr>
              <w:t>signature Stripe vérifiée sur corps brut</w:t>
            </w:r>
          </w:p>
        </w:tc>
        <w:tc>
          <w:tcPr>
            <w:tcW w:type="dxa" w:w="2715"/>
            <w:tcMar>
              <w:top w:w="80" w:type="dxa"/>
              <w:start w:w="110" w:type="dxa"/>
              <w:bottom w:w="80" w:type="dxa"/>
              <w:end w:w="110" w:type="dxa"/>
            </w:tcMar>
            <w:vAlign w:val="center"/>
            <w:shd w:fill="F8F7FC"/>
          </w:tcPr>
          <w:p>
            <w:pPr>
              <w:spacing w:after="0" w:line="240" w:lineRule="auto"/>
            </w:pPr>
            <w:r>
              <w:rPr>
                <w:sz w:val="17"/>
              </w:rPr>
              <w:t>écriture financière réentrante</w:t>
            </w:r>
          </w:p>
        </w:tc>
        <w:tc>
          <w:tcPr>
            <w:tcW w:type="dxa" w:w="2715"/>
            <w:tcMar>
              <w:top w:w="80" w:type="dxa"/>
              <w:start w:w="110" w:type="dxa"/>
              <w:bottom w:w="80" w:type="dxa"/>
              <w:end w:w="110" w:type="dxa"/>
            </w:tcMar>
            <w:vAlign w:val="center"/>
            <w:shd w:fill="F8F7FC"/>
          </w:tcPr>
          <w:p>
            <w:pPr>
              <w:spacing w:after="0" w:line="240" w:lineRule="auto"/>
            </w:pPr>
            <w:r>
              <w:rPr>
                <w:sz w:val="17"/>
              </w:rPr>
              <w:t>commande, abonnement, facture</w:t>
            </w:r>
          </w:p>
        </w:tc>
      </w:tr>
      <w:tr>
        <w:tc>
          <w:tcPr>
            <w:tcW w:type="dxa" w:w="1163"/>
            <w:tcMar>
              <w:top w:w="80" w:type="dxa"/>
              <w:start w:w="110" w:type="dxa"/>
              <w:bottom w:w="80" w:type="dxa"/>
              <w:end w:w="110" w:type="dxa"/>
            </w:tcMar>
            <w:vAlign w:val="center"/>
          </w:tcPr>
          <w:p>
            <w:pPr>
              <w:spacing w:after="0" w:line="240" w:lineRule="auto"/>
            </w:pPr>
            <w:r>
              <w:rPr>
                <w:sz w:val="17"/>
              </w:rPr>
              <w:t>Service chatbot</w:t>
            </w:r>
          </w:p>
        </w:tc>
        <w:tc>
          <w:tcPr>
            <w:tcW w:type="dxa" w:w="2585"/>
            <w:tcMar>
              <w:top w:w="80" w:type="dxa"/>
              <w:start w:w="110" w:type="dxa"/>
              <w:bottom w:w="80" w:type="dxa"/>
              <w:end w:w="110" w:type="dxa"/>
            </w:tcMar>
            <w:vAlign w:val="center"/>
          </w:tcPr>
          <w:p>
            <w:pPr>
              <w:spacing w:after="0" w:line="240" w:lineRule="auto"/>
            </w:pPr>
            <w:r>
              <w:rPr>
                <w:sz w:val="17"/>
              </w:rPr>
              <w:t>propriété compte ou hash invité vérifiée</w:t>
            </w:r>
          </w:p>
        </w:tc>
        <w:tc>
          <w:tcPr>
            <w:tcW w:type="dxa" w:w="2715"/>
            <w:tcMar>
              <w:top w:w="80" w:type="dxa"/>
              <w:start w:w="110" w:type="dxa"/>
              <w:bottom w:w="80" w:type="dxa"/>
              <w:end w:w="110" w:type="dxa"/>
            </w:tcMar>
            <w:vAlign w:val="center"/>
          </w:tcPr>
          <w:p>
            <w:pPr>
              <w:spacing w:after="0" w:line="240" w:lineRule="auto"/>
            </w:pPr>
            <w:r>
              <w:rPr>
                <w:sz w:val="17"/>
              </w:rPr>
              <w:t>persistance conversationnelle ciblée</w:t>
            </w:r>
          </w:p>
        </w:tc>
        <w:tc>
          <w:tcPr>
            <w:tcW w:type="dxa" w:w="2715"/>
            <w:tcMar>
              <w:top w:w="80" w:type="dxa"/>
              <w:start w:w="110" w:type="dxa"/>
              <w:bottom w:w="80" w:type="dxa"/>
              <w:end w:w="110" w:type="dxa"/>
            </w:tcMar>
            <w:vAlign w:val="center"/>
          </w:tcPr>
          <w:p>
            <w:pPr>
              <w:spacing w:after="0" w:line="240" w:lineRule="auto"/>
            </w:pPr>
            <w:r>
              <w:rPr>
                <w:sz w:val="17"/>
              </w:rPr>
              <w:t>conversations et messages CynAI</w:t>
            </w:r>
          </w:p>
        </w:tc>
      </w:tr>
    </w:tbl>
    <w:p>
      <w:pPr>
        <w:spacing w:after="0"/>
      </w:pPr>
    </w:p>
    <w:p>
      <w:r>
        <w:t xml:space="preserve">La présence d'un identifiant dans une requête ne constitue jamais la preuve de propriété. Les services relient l'identité Auth au profil métier, filtrent sur </w:t>
      </w:r>
      <w:r>
        <w:rPr>
          <w:rFonts w:ascii="Consolas" w:hAnsi="Consolas"/>
          <w:color w:val="4A339E"/>
          <w:sz w:val="18"/>
        </w:rPr>
        <w:t>id_compte</w:t>
      </w:r>
      <w:r>
        <w:t xml:space="preserve"> lorsque la RLS ne suffit pas à exprimer le cas, et n'acceptent une commande dans un ticket ou le chatbot qu'après l'avoir retrouvée dans le périmètre autorisé.</w:t>
      </w:r>
    </w:p>
    <w:p>
      <w:bookmarkStart w:id="17" w:name="h_17_Coh_rence__idempotence_et_tr"/>
      <w:pPr>
        <w:pStyle w:val="Heading2"/>
      </w:pPr>
      <w:r>
        <w:t>Cohérence, idempotence et transactions distribuées</w:t>
      </w:r>
      <w:bookmarkEnd w:id="17"/>
    </w:p>
    <w:p>
      <w:r>
        <w:t>Une transaction PostgreSQL protège les opérations regroupées dans une fonction RPC, notamment la finalisation de commande. Elle ne peut toutefois pas englober simultanément Stripe, Storage et PostgreSQL. L'architecture assume donc une cohérence asynchrone : identifiant de commande propagé à Stripe, identifiants externes uniques, upserts, fonctions réentrantes et possibilité de rejouer un webhook.</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910"/>
        <w:gridCol w:w="3134"/>
        <w:gridCol w:w="3134"/>
      </w:tblGrid>
      <w:tr>
        <w:trPr>
          <w:tblHeader w:val="true"/>
        </w:trPr>
        <w:tc>
          <w:tcPr>
            <w:tcW w:type="dxa" w:w="2910"/>
            <w:tcMar>
              <w:top w:w="80" w:type="dxa"/>
              <w:start w:w="110" w:type="dxa"/>
              <w:bottom w:w="80" w:type="dxa"/>
              <w:end w:w="110" w:type="dxa"/>
            </w:tcMar>
            <w:vAlign w:val="center"/>
            <w:shd w:fill="E8EEF5"/>
          </w:tcPr>
          <w:p>
            <w:pPr>
              <w:spacing w:after="0" w:line="240" w:lineRule="auto"/>
            </w:pPr>
            <w:r>
              <w:rPr>
                <w:b/>
                <w:color w:val="302082"/>
                <w:sz w:val="17"/>
              </w:rPr>
              <w:t>Risque de cohérence</w:t>
            </w:r>
          </w:p>
        </w:tc>
        <w:tc>
          <w:tcPr>
            <w:tcW w:type="dxa" w:w="3134"/>
            <w:tcMar>
              <w:top w:w="80" w:type="dxa"/>
              <w:start w:w="110" w:type="dxa"/>
              <w:bottom w:w="80" w:type="dxa"/>
              <w:end w:w="110" w:type="dxa"/>
            </w:tcMar>
            <w:vAlign w:val="center"/>
            <w:shd w:fill="E8EEF5"/>
          </w:tcPr>
          <w:p>
            <w:pPr>
              <w:spacing w:after="0" w:line="240" w:lineRule="auto"/>
            </w:pPr>
            <w:r>
              <w:rPr>
                <w:b/>
                <w:color w:val="302082"/>
                <w:sz w:val="17"/>
              </w:rPr>
              <w:t>Mécanisme</w:t>
            </w:r>
          </w:p>
        </w:tc>
        <w:tc>
          <w:tcPr>
            <w:tcW w:type="dxa" w:w="3134"/>
            <w:tcMar>
              <w:top w:w="80" w:type="dxa"/>
              <w:start w:w="110" w:type="dxa"/>
              <w:bottom w:w="80" w:type="dxa"/>
              <w:end w:w="110" w:type="dxa"/>
            </w:tcMar>
            <w:vAlign w:val="center"/>
            <w:shd w:fill="E8EEF5"/>
          </w:tcPr>
          <w:p>
            <w:pPr>
              <w:spacing w:after="0" w:line="240" w:lineRule="auto"/>
            </w:pPr>
            <w:r>
              <w:rPr>
                <w:b/>
                <w:color w:val="302082"/>
                <w:sz w:val="17"/>
              </w:rPr>
              <w:t>Vérification d'exploitation</w:t>
            </w:r>
          </w:p>
        </w:tc>
      </w:tr>
      <w:tr>
        <w:tc>
          <w:tcPr>
            <w:tcW w:type="dxa" w:w="2910"/>
            <w:tcMar>
              <w:top w:w="80" w:type="dxa"/>
              <w:start w:w="110" w:type="dxa"/>
              <w:bottom w:w="80" w:type="dxa"/>
              <w:end w:w="110" w:type="dxa"/>
            </w:tcMar>
            <w:vAlign w:val="center"/>
          </w:tcPr>
          <w:p>
            <w:pPr>
              <w:spacing w:after="0" w:line="240" w:lineRule="auto"/>
            </w:pPr>
            <w:r>
              <w:rPr>
                <w:sz w:val="17"/>
              </w:rPr>
              <w:t>Retour navigateur sans webhook</w:t>
            </w:r>
          </w:p>
        </w:tc>
        <w:tc>
          <w:tcPr>
            <w:tcW w:type="dxa" w:w="3134"/>
            <w:tcMar>
              <w:top w:w="80" w:type="dxa"/>
              <w:start w:w="110" w:type="dxa"/>
              <w:bottom w:w="80" w:type="dxa"/>
              <w:end w:w="110" w:type="dxa"/>
            </w:tcMar>
            <w:vAlign w:val="center"/>
          </w:tcPr>
          <w:p>
            <w:pPr>
              <w:spacing w:after="0" w:line="240" w:lineRule="auto"/>
            </w:pPr>
            <w:r>
              <w:rPr>
                <w:sz w:val="17"/>
              </w:rPr>
              <w:t>statut commande non finalisé</w:t>
            </w:r>
          </w:p>
        </w:tc>
        <w:tc>
          <w:tcPr>
            <w:tcW w:type="dxa" w:w="3134"/>
            <w:tcMar>
              <w:top w:w="80" w:type="dxa"/>
              <w:start w:w="110" w:type="dxa"/>
              <w:bottom w:w="80" w:type="dxa"/>
              <w:end w:w="110" w:type="dxa"/>
            </w:tcMar>
            <w:vAlign w:val="center"/>
          </w:tcPr>
          <w:p>
            <w:pPr>
              <w:spacing w:after="0" w:line="240" w:lineRule="auto"/>
            </w:pPr>
            <w:r>
              <w:rPr>
                <w:sz w:val="17"/>
              </w:rPr>
              <w:t>surveiller événements et commandes en attente</w:t>
            </w:r>
          </w:p>
        </w:tc>
      </w:tr>
      <w:tr>
        <w:tc>
          <w:tcPr>
            <w:tcW w:type="dxa" w:w="2910"/>
            <w:tcMar>
              <w:top w:w="80" w:type="dxa"/>
              <w:start w:w="110" w:type="dxa"/>
              <w:bottom w:w="80" w:type="dxa"/>
              <w:end w:w="110" w:type="dxa"/>
            </w:tcMar>
            <w:vAlign w:val="center"/>
            <w:shd w:fill="F8F7FC"/>
          </w:tcPr>
          <w:p>
            <w:pPr>
              <w:spacing w:after="0" w:line="240" w:lineRule="auto"/>
            </w:pPr>
            <w:r>
              <w:rPr>
                <w:sz w:val="17"/>
              </w:rPr>
              <w:t>Webhook livré plusieurs fois</w:t>
            </w:r>
          </w:p>
        </w:tc>
        <w:tc>
          <w:tcPr>
            <w:tcW w:type="dxa" w:w="3134"/>
            <w:tcMar>
              <w:top w:w="80" w:type="dxa"/>
              <w:start w:w="110" w:type="dxa"/>
              <w:bottom w:w="80" w:type="dxa"/>
              <w:end w:w="110" w:type="dxa"/>
            </w:tcMar>
            <w:vAlign w:val="center"/>
            <w:shd w:fill="F8F7FC"/>
          </w:tcPr>
          <w:p>
            <w:pPr>
              <w:spacing w:after="0" w:line="240" w:lineRule="auto"/>
            </w:pPr>
            <w:r>
              <w:rPr>
                <w:sz w:val="17"/>
              </w:rPr>
              <w:t>RPC réentrante et upsert par identifiant Stripe</w:t>
            </w:r>
          </w:p>
        </w:tc>
        <w:tc>
          <w:tcPr>
            <w:tcW w:type="dxa" w:w="3134"/>
            <w:tcMar>
              <w:top w:w="80" w:type="dxa"/>
              <w:start w:w="110" w:type="dxa"/>
              <w:bottom w:w="80" w:type="dxa"/>
              <w:end w:w="110" w:type="dxa"/>
            </w:tcMar>
            <w:vAlign w:val="center"/>
            <w:shd w:fill="F8F7FC"/>
          </w:tcPr>
          <w:p>
            <w:pPr>
              <w:spacing w:after="0" w:line="240" w:lineRule="auto"/>
            </w:pPr>
            <w:r>
              <w:rPr>
                <w:sz w:val="17"/>
              </w:rPr>
              <w:t>rejouer en staging et vérifier absence de doublon</w:t>
            </w:r>
          </w:p>
        </w:tc>
      </w:tr>
      <w:tr>
        <w:tc>
          <w:tcPr>
            <w:tcW w:type="dxa" w:w="2910"/>
            <w:tcMar>
              <w:top w:w="80" w:type="dxa"/>
              <w:start w:w="110" w:type="dxa"/>
              <w:bottom w:w="80" w:type="dxa"/>
              <w:end w:w="110" w:type="dxa"/>
            </w:tcMar>
            <w:vAlign w:val="center"/>
          </w:tcPr>
          <w:p>
            <w:pPr>
              <w:spacing w:after="0" w:line="240" w:lineRule="auto"/>
            </w:pPr>
            <w:r>
              <w:rPr>
                <w:sz w:val="17"/>
              </w:rPr>
              <w:t>PDF indisponible temporairement</w:t>
            </w:r>
          </w:p>
        </w:tc>
        <w:tc>
          <w:tcPr>
            <w:tcW w:type="dxa" w:w="3134"/>
            <w:tcMar>
              <w:top w:w="80" w:type="dxa"/>
              <w:start w:w="110" w:type="dxa"/>
              <w:bottom w:w="80" w:type="dxa"/>
              <w:end w:w="110" w:type="dxa"/>
            </w:tcMar>
            <w:vAlign w:val="center"/>
          </w:tcPr>
          <w:p>
            <w:pPr>
              <w:spacing w:after="0" w:line="240" w:lineRule="auto"/>
            </w:pPr>
            <w:r>
              <w:rPr>
                <w:sz w:val="17"/>
              </w:rPr>
              <w:t>métadonnées de facture conservées, téléchargement rejouable</w:t>
            </w:r>
          </w:p>
        </w:tc>
        <w:tc>
          <w:tcPr>
            <w:tcW w:type="dxa" w:w="3134"/>
            <w:tcMar>
              <w:top w:w="80" w:type="dxa"/>
              <w:start w:w="110" w:type="dxa"/>
              <w:bottom w:w="80" w:type="dxa"/>
              <w:end w:w="110" w:type="dxa"/>
            </w:tcMar>
            <w:vAlign w:val="center"/>
          </w:tcPr>
          <w:p>
            <w:pPr>
              <w:spacing w:after="0" w:line="240" w:lineRule="auto"/>
            </w:pPr>
            <w:r>
              <w:rPr>
                <w:sz w:val="17"/>
              </w:rPr>
              <w:t>runbook facture absente</w:t>
            </w:r>
          </w:p>
        </w:tc>
      </w:tr>
      <w:tr>
        <w:tc>
          <w:tcPr>
            <w:tcW w:type="dxa" w:w="2910"/>
            <w:tcMar>
              <w:top w:w="80" w:type="dxa"/>
              <w:start w:w="110" w:type="dxa"/>
              <w:bottom w:w="80" w:type="dxa"/>
              <w:end w:w="110" w:type="dxa"/>
            </w:tcMar>
            <w:vAlign w:val="center"/>
            <w:shd w:fill="F8F7FC"/>
          </w:tcPr>
          <w:p>
            <w:pPr>
              <w:spacing w:after="0" w:line="240" w:lineRule="auto"/>
            </w:pPr>
            <w:r>
              <w:rPr>
                <w:sz w:val="17"/>
              </w:rPr>
              <w:t>Échec après mutation Stripe</w:t>
            </w:r>
          </w:p>
        </w:tc>
        <w:tc>
          <w:tcPr>
            <w:tcW w:type="dxa" w:w="3134"/>
            <w:tcMar>
              <w:top w:w="80" w:type="dxa"/>
              <w:start w:w="110" w:type="dxa"/>
              <w:bottom w:w="80" w:type="dxa"/>
              <w:end w:w="110" w:type="dxa"/>
            </w:tcMar>
            <w:vAlign w:val="center"/>
            <w:shd w:fill="F8F7FC"/>
          </w:tcPr>
          <w:p>
            <w:pPr>
              <w:spacing w:after="0" w:line="240" w:lineRule="auto"/>
            </w:pPr>
            <w:r>
              <w:rPr>
                <w:sz w:val="17"/>
              </w:rPr>
              <w:t>nouvelle synchronisation depuis Stripe</w:t>
            </w:r>
          </w:p>
        </w:tc>
        <w:tc>
          <w:tcPr>
            <w:tcW w:type="dxa" w:w="3134"/>
            <w:tcMar>
              <w:top w:w="80" w:type="dxa"/>
              <w:start w:w="110" w:type="dxa"/>
              <w:bottom w:w="80" w:type="dxa"/>
              <w:end w:w="110" w:type="dxa"/>
            </w:tcMar>
            <w:vAlign w:val="center"/>
            <w:shd w:fill="F8F7FC"/>
          </w:tcPr>
          <w:p>
            <w:pPr>
              <w:spacing w:after="0" w:line="240" w:lineRule="auto"/>
            </w:pPr>
            <w:r>
              <w:rPr>
                <w:sz w:val="17"/>
              </w:rPr>
              <w:t>réconciliation mensuelle</w:t>
            </w:r>
          </w:p>
        </w:tc>
      </w:tr>
      <w:tr>
        <w:tc>
          <w:tcPr>
            <w:tcW w:type="dxa" w:w="2910"/>
            <w:tcMar>
              <w:top w:w="80" w:type="dxa"/>
              <w:start w:w="110" w:type="dxa"/>
              <w:bottom w:w="80" w:type="dxa"/>
              <w:end w:w="110" w:type="dxa"/>
            </w:tcMar>
            <w:vAlign w:val="center"/>
          </w:tcPr>
          <w:p>
            <w:pPr>
              <w:spacing w:after="0" w:line="240" w:lineRule="auto"/>
            </w:pPr>
            <w:r>
              <w:rPr>
                <w:sz w:val="17"/>
              </w:rPr>
              <w:t>Déploiement avec migration incompatible</w:t>
            </w:r>
          </w:p>
        </w:tc>
        <w:tc>
          <w:tcPr>
            <w:tcW w:type="dxa" w:w="3134"/>
            <w:tcMar>
              <w:top w:w="80" w:type="dxa"/>
              <w:start w:w="110" w:type="dxa"/>
              <w:bottom w:w="80" w:type="dxa"/>
              <w:end w:w="110" w:type="dxa"/>
            </w:tcMar>
            <w:vAlign w:val="center"/>
          </w:tcPr>
          <w:p>
            <w:pPr>
              <w:spacing w:after="0" w:line="240" w:lineRule="auto"/>
            </w:pPr>
            <w:r>
              <w:rPr>
                <w:sz w:val="17"/>
              </w:rPr>
              <w:t>migration additive et code compatible</w:t>
            </w:r>
          </w:p>
        </w:tc>
        <w:tc>
          <w:tcPr>
            <w:tcW w:type="dxa" w:w="3134"/>
            <w:tcMar>
              <w:top w:w="80" w:type="dxa"/>
              <w:start w:w="110" w:type="dxa"/>
              <w:bottom w:w="80" w:type="dxa"/>
              <w:end w:w="110" w:type="dxa"/>
            </w:tcMar>
            <w:vAlign w:val="center"/>
          </w:tcPr>
          <w:p>
            <w:pPr>
              <w:spacing w:after="0" w:line="240" w:lineRule="auto"/>
            </w:pPr>
            <w:r>
              <w:rPr>
                <w:sz w:val="17"/>
              </w:rPr>
              <w:t>ordre migration, CI, preview puis smoke test</w:t>
            </w:r>
          </w:p>
        </w:tc>
      </w:tr>
    </w:tbl>
    <w:p>
      <w:pPr>
        <w:spacing w:after="0"/>
      </w:pPr>
    </w:p>
    <w:p>
      <w:bookmarkStart w:id="18" w:name="h_18_Storage__migrations_et_types"/>
      <w:pPr>
        <w:pStyle w:val="Heading2"/>
      </w:pPr>
      <w:r>
        <w:t>Storage, migrations et types</w:t>
      </w:r>
      <w:bookmarkEnd w:id="18"/>
    </w:p>
    <w:p>
      <w:r>
        <w:t xml:space="preserve">Les buckets </w:t>
      </w:r>
      <w:r>
        <w:rPr>
          <w:rFonts w:ascii="Consolas" w:hAnsi="Consolas"/>
          <w:color w:val="4A339E"/>
          <w:sz w:val="18"/>
        </w:rPr>
        <w:t>product-images</w:t>
      </w:r>
      <w:r>
        <w:t xml:space="preserve">, </w:t>
      </w:r>
      <w:r>
        <w:rPr>
          <w:rFonts w:ascii="Consolas" w:hAnsi="Consolas"/>
          <w:color w:val="4A339E"/>
          <w:sz w:val="18"/>
        </w:rPr>
        <w:t>category-images</w:t>
      </w:r>
      <w:r>
        <w:t xml:space="preserve"> et </w:t>
      </w:r>
      <w:r>
        <w:rPr>
          <w:rFonts w:ascii="Consolas" w:hAnsi="Consolas"/>
          <w:color w:val="4A339E"/>
          <w:sz w:val="18"/>
        </w:rPr>
        <w:t>carousel-images</w:t>
      </w:r>
      <w:r>
        <w:t xml:space="preserve"> servent des médias publics. </w:t>
      </w:r>
      <w:r>
        <w:rPr>
          <w:rFonts w:ascii="Consolas" w:hAnsi="Consolas"/>
          <w:color w:val="4A339E"/>
          <w:sz w:val="18"/>
        </w:rPr>
        <w:t>invoice-pdf</w:t>
      </w:r>
      <w:r>
        <w:t xml:space="preserve"> reste privé : le service serveur y écrit la copie d'une facture Stripe et l'espace client demande une URL signée après contrôle de propriété. Rendre ce bucket public pour contourner un incident est explicitement interdit.</w:t>
      </w:r>
    </w:p>
    <w:p>
      <w:r>
        <w:t xml:space="preserve">Le schéma initial et les migrations additives sont versionnés sous </w:t>
      </w:r>
      <w:r>
        <w:rPr>
          <w:rFonts w:ascii="Consolas" w:hAnsi="Consolas"/>
          <w:color w:val="4A339E"/>
          <w:sz w:val="18"/>
        </w:rPr>
        <w:t>supabase/migrations</w:t>
      </w:r>
      <w:r>
        <w:t xml:space="preserve">. Après toute évolution, </w:t>
      </w:r>
      <w:r>
        <w:rPr>
          <w:rFonts w:ascii="Consolas" w:hAnsi="Consolas"/>
          <w:color w:val="4A339E"/>
          <w:sz w:val="18"/>
        </w:rPr>
        <w:t>database.types.ts</w:t>
      </w:r>
      <w:r>
        <w:t xml:space="preserve"> doit être régénéré puis comparé ; ce fichier est un contrat compilable entre SQL et TypeScript, pas une source à éditer manuellement. Le présent chantier ne change ni schéma ni contrat API. Une migration future doit préciser nullabilité, politiques RLS, backfill, compatibilité ascendante et stratégie de restauration.</w:t>
      </w:r>
    </w:p>
    <w:p>
      <w:bookmarkStart w:id="19" w:name="h_19_Catalogue__panier_et_interna"/>
      <w:pPr>
        <w:pStyle w:val="Heading1"/>
      </w:pPr>
      <w:r>
        <w:t>Catalogue, panier et internationalisation</w:t>
      </w:r>
      <w:bookmarkEnd w:id="19"/>
    </w:p>
    <w:p>
      <w:r>
        <w:t xml:space="preserve">Les entités de catalogue conservent leurs attributs stables séparément des tables </w:t>
      </w:r>
      <w:r>
        <w:rPr>
          <w:rFonts w:ascii="Consolas" w:hAnsi="Consolas"/>
          <w:color w:val="4A339E"/>
          <w:sz w:val="18"/>
        </w:rPr>
        <w:t>*_traduction</w:t>
      </w:r>
      <w:r>
        <w:t xml:space="preserve">. Une locale demandée sélectionne d'abord sa traduction, puis applique le repli métier documenté. La recherche publique et CynAI partagent le même service de catalogue afin d'éviter des résultats, prix ou disponibilités divergents. Fuse.js apporte la tolérance textuelle ; la route </w:t>
      </w:r>
      <w:r>
        <w:rPr>
          <w:rFonts w:ascii="Consolas" w:hAnsi="Consolas"/>
          <w:color w:val="4A339E"/>
          <w:sz w:val="18"/>
        </w:rPr>
        <w:t>/api/search</w:t>
      </w:r>
      <w:r>
        <w:t xml:space="preserve"> borne la réponse à six suggestions et les outils Gemini à trois produits.</w:t>
      </w:r>
    </w:p>
    <w:p>
      <w:r>
        <w:t xml:space="preserve">Le panier est matérialisé par le cookie </w:t>
      </w:r>
      <w:r>
        <w:rPr>
          <w:rFonts w:ascii="Consolas" w:hAnsi="Consolas"/>
          <w:color w:val="4A339E"/>
          <w:sz w:val="18"/>
        </w:rPr>
        <w:t>cyna_cart</w:t>
      </w:r>
      <w:r>
        <w:t>, valable trente jours. Il contient des identifiants et quantités d'interface, pas l'autorité tarifaire. Au checkout, le serveur relit produit, tarif, mode de facturation, disponibilité, limites de sièges et promotions. Le nombre d'utilisateurs est normalisé dans la plage métier 1 à 50. Une valeur cliente supprimée, obsolète ou négative ne peut donc pas devenir une ligne de paiement valide.</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957"/>
        <w:gridCol w:w="3352"/>
        <w:gridCol w:w="2235"/>
        <w:gridCol w:w="2634"/>
      </w:tblGrid>
      <w:tr>
        <w:trPr>
          <w:tblHeader w:val="true"/>
        </w:trPr>
        <w:tc>
          <w:tcPr>
            <w:tcW w:type="dxa" w:w="957"/>
            <w:tcMar>
              <w:top w:w="80" w:type="dxa"/>
              <w:start w:w="110" w:type="dxa"/>
              <w:bottom w:w="80" w:type="dxa"/>
              <w:end w:w="110" w:type="dxa"/>
            </w:tcMar>
            <w:vAlign w:val="center"/>
            <w:shd w:fill="E8EEF5"/>
          </w:tcPr>
          <w:p>
            <w:pPr>
              <w:spacing w:after="0" w:line="240" w:lineRule="auto"/>
            </w:pPr>
            <w:r>
              <w:rPr>
                <w:b/>
                <w:color w:val="302082"/>
                <w:sz w:val="17"/>
              </w:rPr>
              <w:t>Sous-domaine</w:t>
            </w:r>
          </w:p>
        </w:tc>
        <w:tc>
          <w:tcPr>
            <w:tcW w:type="dxa" w:w="3352"/>
            <w:tcMar>
              <w:top w:w="80" w:type="dxa"/>
              <w:start w:w="110" w:type="dxa"/>
              <w:bottom w:w="80" w:type="dxa"/>
              <w:end w:w="110" w:type="dxa"/>
            </w:tcMar>
            <w:vAlign w:val="center"/>
            <w:shd w:fill="E8EEF5"/>
          </w:tcPr>
          <w:p>
            <w:pPr>
              <w:spacing w:after="0" w:line="240" w:lineRule="auto"/>
            </w:pPr>
            <w:r>
              <w:rPr>
                <w:b/>
                <w:color w:val="302082"/>
                <w:sz w:val="17"/>
              </w:rPr>
              <w:t>Donnée stable</w:t>
            </w:r>
          </w:p>
        </w:tc>
        <w:tc>
          <w:tcPr>
            <w:tcW w:type="dxa" w:w="2235"/>
            <w:tcMar>
              <w:top w:w="80" w:type="dxa"/>
              <w:start w:w="110" w:type="dxa"/>
              <w:bottom w:w="80" w:type="dxa"/>
              <w:end w:w="110" w:type="dxa"/>
            </w:tcMar>
            <w:vAlign w:val="center"/>
            <w:shd w:fill="E8EEF5"/>
          </w:tcPr>
          <w:p>
            <w:pPr>
              <w:spacing w:after="0" w:line="240" w:lineRule="auto"/>
            </w:pPr>
            <w:r>
              <w:rPr>
                <w:b/>
                <w:color w:val="302082"/>
                <w:sz w:val="17"/>
              </w:rPr>
              <w:t>Donnée localisée ou volatile</w:t>
            </w:r>
          </w:p>
        </w:tc>
        <w:tc>
          <w:tcPr>
            <w:tcW w:type="dxa" w:w="2634"/>
            <w:tcMar>
              <w:top w:w="80" w:type="dxa"/>
              <w:start w:w="110" w:type="dxa"/>
              <w:bottom w:w="80" w:type="dxa"/>
              <w:end w:w="110" w:type="dxa"/>
            </w:tcMar>
            <w:vAlign w:val="center"/>
            <w:shd w:fill="E8EEF5"/>
          </w:tcPr>
          <w:p>
            <w:pPr>
              <w:spacing w:after="0" w:line="240" w:lineRule="auto"/>
            </w:pPr>
            <w:r>
              <w:rPr>
                <w:b/>
                <w:color w:val="302082"/>
                <w:sz w:val="17"/>
              </w:rPr>
              <w:t>Règle d'autorité</w:t>
            </w:r>
          </w:p>
        </w:tc>
      </w:tr>
      <w:tr>
        <w:tc>
          <w:tcPr>
            <w:tcW w:type="dxa" w:w="957"/>
            <w:tcMar>
              <w:top w:w="80" w:type="dxa"/>
              <w:start w:w="110" w:type="dxa"/>
              <w:bottom w:w="80" w:type="dxa"/>
              <w:end w:w="110" w:type="dxa"/>
            </w:tcMar>
            <w:vAlign w:val="center"/>
          </w:tcPr>
          <w:p>
            <w:pPr>
              <w:spacing w:after="0" w:line="240" w:lineRule="auto"/>
            </w:pPr>
            <w:r>
              <w:rPr>
                <w:sz w:val="17"/>
              </w:rPr>
              <w:t>Produit</w:t>
            </w:r>
          </w:p>
        </w:tc>
        <w:tc>
          <w:tcPr>
            <w:tcW w:type="dxa" w:w="3352"/>
            <w:tcMar>
              <w:top w:w="80" w:type="dxa"/>
              <w:start w:w="110" w:type="dxa"/>
              <w:bottom w:w="80" w:type="dxa"/>
              <w:end w:w="110" w:type="dxa"/>
            </w:tcMar>
            <w:vAlign w:val="center"/>
          </w:tcPr>
          <w:p>
            <w:pPr>
              <w:spacing w:after="0" w:line="240" w:lineRule="auto"/>
            </w:pPr>
            <w:r>
              <w:rPr>
                <w:sz w:val="17"/>
              </w:rPr>
              <w:t>identifiant, catégorie, disponibilité</w:t>
            </w:r>
          </w:p>
        </w:tc>
        <w:tc>
          <w:tcPr>
            <w:tcW w:type="dxa" w:w="2235"/>
            <w:tcMar>
              <w:top w:w="80" w:type="dxa"/>
              <w:start w:w="110" w:type="dxa"/>
              <w:bottom w:w="80" w:type="dxa"/>
              <w:end w:w="110" w:type="dxa"/>
            </w:tcMar>
            <w:vAlign w:val="center"/>
          </w:tcPr>
          <w:p>
            <w:pPr>
              <w:spacing w:after="0" w:line="240" w:lineRule="auto"/>
            </w:pPr>
            <w:r>
              <w:rPr>
                <w:sz w:val="17"/>
              </w:rPr>
              <w:t>nom, description, visuels</w:t>
            </w:r>
          </w:p>
        </w:tc>
        <w:tc>
          <w:tcPr>
            <w:tcW w:type="dxa" w:w="2634"/>
            <w:tcMar>
              <w:top w:w="80" w:type="dxa"/>
              <w:start w:w="110" w:type="dxa"/>
              <w:bottom w:w="80" w:type="dxa"/>
              <w:end w:w="110" w:type="dxa"/>
            </w:tcMar>
            <w:vAlign w:val="center"/>
          </w:tcPr>
          <w:p>
            <w:pPr>
              <w:spacing w:after="0" w:line="240" w:lineRule="auto"/>
            </w:pPr>
            <w:r>
              <w:rPr>
                <w:sz w:val="17"/>
              </w:rPr>
              <w:t>base côté serveur</w:t>
            </w:r>
          </w:p>
        </w:tc>
      </w:tr>
      <w:tr>
        <w:tc>
          <w:tcPr>
            <w:tcW w:type="dxa" w:w="957"/>
            <w:tcMar>
              <w:top w:w="80" w:type="dxa"/>
              <w:start w:w="110" w:type="dxa"/>
              <w:bottom w:w="80" w:type="dxa"/>
              <w:end w:w="110" w:type="dxa"/>
            </w:tcMar>
            <w:vAlign w:val="center"/>
            <w:shd w:fill="F8F7FC"/>
          </w:tcPr>
          <w:p>
            <w:pPr>
              <w:spacing w:after="0" w:line="240" w:lineRule="auto"/>
            </w:pPr>
            <w:r>
              <w:rPr>
                <w:sz w:val="17"/>
              </w:rPr>
              <w:t>Tarif</w:t>
            </w:r>
          </w:p>
        </w:tc>
        <w:tc>
          <w:tcPr>
            <w:tcW w:type="dxa" w:w="3352"/>
            <w:tcMar>
              <w:top w:w="80" w:type="dxa"/>
              <w:start w:w="110" w:type="dxa"/>
              <w:bottom w:w="80" w:type="dxa"/>
              <w:end w:w="110" w:type="dxa"/>
            </w:tcMar>
            <w:vAlign w:val="center"/>
            <w:shd w:fill="F8F7FC"/>
          </w:tcPr>
          <w:p>
            <w:pPr>
              <w:spacing w:after="0" w:line="240" w:lineRule="auto"/>
            </w:pPr>
            <w:r>
              <w:rPr>
                <w:sz w:val="17"/>
              </w:rPr>
              <w:t>identifiant, type de facturation, référence Stripe</w:t>
            </w:r>
          </w:p>
        </w:tc>
        <w:tc>
          <w:tcPr>
            <w:tcW w:type="dxa" w:w="2235"/>
            <w:tcMar>
              <w:top w:w="80" w:type="dxa"/>
              <w:start w:w="110" w:type="dxa"/>
              <w:bottom w:w="80" w:type="dxa"/>
              <w:end w:w="110" w:type="dxa"/>
            </w:tcMar>
            <w:vAlign w:val="center"/>
            <w:shd w:fill="F8F7FC"/>
          </w:tcPr>
          <w:p>
            <w:pPr>
              <w:spacing w:after="0" w:line="240" w:lineRule="auto"/>
            </w:pPr>
            <w:r>
              <w:rPr>
                <w:sz w:val="17"/>
              </w:rPr>
              <w:t>libellé localisé</w:t>
            </w:r>
          </w:p>
        </w:tc>
        <w:tc>
          <w:tcPr>
            <w:tcW w:type="dxa" w:w="2634"/>
            <w:tcMar>
              <w:top w:w="80" w:type="dxa"/>
              <w:start w:w="110" w:type="dxa"/>
              <w:bottom w:w="80" w:type="dxa"/>
              <w:end w:w="110" w:type="dxa"/>
            </w:tcMar>
            <w:vAlign w:val="center"/>
            <w:shd w:fill="F8F7FC"/>
          </w:tcPr>
          <w:p>
            <w:pPr>
              <w:spacing w:after="0" w:line="240" w:lineRule="auto"/>
            </w:pPr>
            <w:r>
              <w:rPr>
                <w:sz w:val="17"/>
              </w:rPr>
              <w:t>prix relu avant Checkout</w:t>
            </w:r>
          </w:p>
        </w:tc>
      </w:tr>
      <w:tr>
        <w:tc>
          <w:tcPr>
            <w:tcW w:type="dxa" w:w="957"/>
            <w:tcMar>
              <w:top w:w="80" w:type="dxa"/>
              <w:start w:w="110" w:type="dxa"/>
              <w:bottom w:w="80" w:type="dxa"/>
              <w:end w:w="110" w:type="dxa"/>
            </w:tcMar>
            <w:vAlign w:val="center"/>
          </w:tcPr>
          <w:p>
            <w:pPr>
              <w:spacing w:after="0" w:line="240" w:lineRule="auto"/>
            </w:pPr>
            <w:r>
              <w:rPr>
                <w:sz w:val="17"/>
              </w:rPr>
              <w:t>Promotion</w:t>
            </w:r>
          </w:p>
        </w:tc>
        <w:tc>
          <w:tcPr>
            <w:tcW w:type="dxa" w:w="3352"/>
            <w:tcMar>
              <w:top w:w="80" w:type="dxa"/>
              <w:start w:w="110" w:type="dxa"/>
              <w:bottom w:w="80" w:type="dxa"/>
              <w:end w:w="110" w:type="dxa"/>
            </w:tcMar>
            <w:vAlign w:val="center"/>
          </w:tcPr>
          <w:p>
            <w:pPr>
              <w:spacing w:after="0" w:line="240" w:lineRule="auto"/>
            </w:pPr>
            <w:r>
              <w:rPr>
                <w:sz w:val="17"/>
              </w:rPr>
              <w:t>type, dates, cible, activité</w:t>
            </w:r>
          </w:p>
        </w:tc>
        <w:tc>
          <w:tcPr>
            <w:tcW w:type="dxa" w:w="2235"/>
            <w:tcMar>
              <w:top w:w="80" w:type="dxa"/>
              <w:start w:w="110" w:type="dxa"/>
              <w:bottom w:w="80" w:type="dxa"/>
              <w:end w:w="110" w:type="dxa"/>
            </w:tcMar>
            <w:vAlign w:val="center"/>
          </w:tcPr>
          <w:p>
            <w:pPr>
              <w:spacing w:after="0" w:line="240" w:lineRule="auto"/>
            </w:pPr>
            <w:r>
              <w:rPr>
                <w:sz w:val="17"/>
              </w:rPr>
              <w:t>message d'affichage</w:t>
            </w:r>
          </w:p>
        </w:tc>
        <w:tc>
          <w:tcPr>
            <w:tcW w:type="dxa" w:w="2634"/>
            <w:tcMar>
              <w:top w:w="80" w:type="dxa"/>
              <w:start w:w="110" w:type="dxa"/>
              <w:bottom w:w="80" w:type="dxa"/>
              <w:end w:w="110" w:type="dxa"/>
            </w:tcMar>
            <w:vAlign w:val="center"/>
          </w:tcPr>
          <w:p>
            <w:pPr>
              <w:spacing w:after="0" w:line="240" w:lineRule="auto"/>
            </w:pPr>
            <w:r>
              <w:rPr>
                <w:sz w:val="17"/>
              </w:rPr>
              <w:t>éligibilité recalculée au serveur</w:t>
            </w:r>
          </w:p>
        </w:tc>
      </w:tr>
      <w:tr>
        <w:tc>
          <w:tcPr>
            <w:tcW w:type="dxa" w:w="957"/>
            <w:tcMar>
              <w:top w:w="80" w:type="dxa"/>
              <w:start w:w="110" w:type="dxa"/>
              <w:bottom w:w="80" w:type="dxa"/>
              <w:end w:w="110" w:type="dxa"/>
            </w:tcMar>
            <w:vAlign w:val="center"/>
            <w:shd w:fill="F8F7FC"/>
          </w:tcPr>
          <w:p>
            <w:pPr>
              <w:spacing w:after="0" w:line="240" w:lineRule="auto"/>
            </w:pPr>
            <w:r>
              <w:rPr>
                <w:sz w:val="17"/>
              </w:rPr>
              <w:t>Panier</w:t>
            </w:r>
          </w:p>
        </w:tc>
        <w:tc>
          <w:tcPr>
            <w:tcW w:type="dxa" w:w="3352"/>
            <w:tcMar>
              <w:top w:w="80" w:type="dxa"/>
              <w:start w:w="110" w:type="dxa"/>
              <w:bottom w:w="80" w:type="dxa"/>
              <w:end w:w="110" w:type="dxa"/>
            </w:tcMar>
            <w:vAlign w:val="center"/>
            <w:shd w:fill="F8F7FC"/>
          </w:tcPr>
          <w:p>
            <w:pPr>
              <w:spacing w:after="0" w:line="240" w:lineRule="auto"/>
            </w:pPr>
            <w:r>
              <w:rPr>
                <w:sz w:val="17"/>
              </w:rPr>
              <w:t>identifiants et nombre d'utilisateurs</w:t>
            </w:r>
          </w:p>
        </w:tc>
        <w:tc>
          <w:tcPr>
            <w:tcW w:type="dxa" w:w="2235"/>
            <w:tcMar>
              <w:top w:w="80" w:type="dxa"/>
              <w:start w:w="110" w:type="dxa"/>
              <w:bottom w:w="80" w:type="dxa"/>
              <w:end w:w="110" w:type="dxa"/>
            </w:tcMar>
            <w:vAlign w:val="center"/>
            <w:shd w:fill="F8F7FC"/>
          </w:tcPr>
          <w:p>
            <w:pPr>
              <w:spacing w:after="0" w:line="240" w:lineRule="auto"/>
            </w:pPr>
            <w:r>
              <w:rPr>
                <w:sz w:val="17"/>
              </w:rPr>
              <w:t>cookie d'appareil</w:t>
            </w:r>
          </w:p>
        </w:tc>
        <w:tc>
          <w:tcPr>
            <w:tcW w:type="dxa" w:w="2634"/>
            <w:tcMar>
              <w:top w:w="80" w:type="dxa"/>
              <w:start w:w="110" w:type="dxa"/>
              <w:bottom w:w="80" w:type="dxa"/>
              <w:end w:w="110" w:type="dxa"/>
            </w:tcMar>
            <w:vAlign w:val="center"/>
            <w:shd w:fill="F8F7FC"/>
          </w:tcPr>
          <w:p>
            <w:pPr>
              <w:spacing w:after="0" w:line="240" w:lineRule="auto"/>
            </w:pPr>
            <w:r>
              <w:rPr>
                <w:sz w:val="17"/>
              </w:rPr>
              <w:t>jamais source du prix</w:t>
            </w:r>
          </w:p>
        </w:tc>
      </w:tr>
      <w:tr>
        <w:tc>
          <w:tcPr>
            <w:tcW w:type="dxa" w:w="957"/>
            <w:tcMar>
              <w:top w:w="80" w:type="dxa"/>
              <w:start w:w="110" w:type="dxa"/>
              <w:bottom w:w="80" w:type="dxa"/>
              <w:end w:w="110" w:type="dxa"/>
            </w:tcMar>
            <w:vAlign w:val="center"/>
          </w:tcPr>
          <w:p>
            <w:pPr>
              <w:spacing w:after="0" w:line="240" w:lineRule="auto"/>
            </w:pPr>
            <w:r>
              <w:rPr>
                <w:sz w:val="17"/>
              </w:rPr>
              <w:t>CMS accueil</w:t>
            </w:r>
          </w:p>
        </w:tc>
        <w:tc>
          <w:tcPr>
            <w:tcW w:type="dxa" w:w="3352"/>
            <w:tcMar>
              <w:top w:w="80" w:type="dxa"/>
              <w:start w:w="110" w:type="dxa"/>
              <w:bottom w:w="80" w:type="dxa"/>
              <w:end w:w="110" w:type="dxa"/>
            </w:tcMar>
            <w:vAlign w:val="center"/>
          </w:tcPr>
          <w:p>
            <w:pPr>
              <w:spacing w:after="0" w:line="240" w:lineRule="auto"/>
            </w:pPr>
            <w:r>
              <w:rPr>
                <w:sz w:val="17"/>
              </w:rPr>
              <w:t>emplacement, ordre, activation</w:t>
            </w:r>
          </w:p>
        </w:tc>
        <w:tc>
          <w:tcPr>
            <w:tcW w:type="dxa" w:w="2235"/>
            <w:tcMar>
              <w:top w:w="80" w:type="dxa"/>
              <w:start w:w="110" w:type="dxa"/>
              <w:bottom w:w="80" w:type="dxa"/>
              <w:end w:w="110" w:type="dxa"/>
            </w:tcMar>
            <w:vAlign w:val="center"/>
          </w:tcPr>
          <w:p>
            <w:pPr>
              <w:spacing w:after="0" w:line="240" w:lineRule="auto"/>
            </w:pPr>
            <w:r>
              <w:rPr>
                <w:sz w:val="17"/>
              </w:rPr>
              <w:t>textes et alternatives FR/EN</w:t>
            </w:r>
          </w:p>
        </w:tc>
        <w:tc>
          <w:tcPr>
            <w:tcW w:type="dxa" w:w="2634"/>
            <w:tcMar>
              <w:top w:w="80" w:type="dxa"/>
              <w:start w:w="110" w:type="dxa"/>
              <w:bottom w:w="80" w:type="dxa"/>
              <w:end w:w="110" w:type="dxa"/>
            </w:tcMar>
            <w:vAlign w:val="center"/>
          </w:tcPr>
          <w:p>
            <w:pPr>
              <w:spacing w:after="0" w:line="240" w:lineRule="auto"/>
            </w:pPr>
            <w:r>
              <w:rPr>
                <w:sz w:val="17"/>
              </w:rPr>
              <w:t>mutations BackOffice contrôlées</w:t>
            </w:r>
          </w:p>
        </w:tc>
      </w:tr>
    </w:tbl>
    <w:p>
      <w:pPr>
        <w:spacing w:after="0"/>
      </w:pPr>
    </w:p>
    <w:p>
      <w:r>
        <w:t>Le BackOffice gère produits, catégories, caractéristiques, promotions, carrousel et textes généraux avec leurs traductions. Les médias sont dissociés des libellés afin de pouvoir réordonner ou désactiver un contenu sans casser son identifiant. L'absence de synchronisation du panier entre appareils et l'absence de fusion invité/compte restent des choix de portée, non des garanties d'architecture.</w:t>
      </w:r>
    </w:p>
    <w:p>
      <w:bookmarkStart w:id="20" w:name="h_20_Architecture_du_commerce_Str"/>
      <w:pPr>
        <w:pStyle w:val="Heading1"/>
      </w:pPr>
      <w:r>
        <w:t>Architecture du commerce Stripe</w:t>
      </w:r>
      <w:bookmarkEnd w:id="20"/>
    </w:p>
    <w:p>
      <w:bookmarkStart w:id="21" w:name="h_21_Cr_ation_et_finalisation_de_"/>
      <w:pPr>
        <w:pStyle w:val="Heading2"/>
      </w:pPr>
      <w:r>
        <w:t>Création et finalisation de commande</w:t>
      </w:r>
      <w:bookmarkEnd w:id="21"/>
    </w:p>
    <w:p>
      <w:r>
        <w:t xml:space="preserve">La Server Action de checkout relit les produits et tarifs, applique les promotions autorisées, crée la commande et les lignes, puis construit Stripe Checkout. Les métadonnées contiennent </w:t>
      </w:r>
      <w:r>
        <w:rPr>
          <w:rFonts w:ascii="Consolas" w:hAnsi="Consolas"/>
          <w:color w:val="4A339E"/>
          <w:sz w:val="18"/>
        </w:rPr>
        <w:t>id_commande</w:t>
      </w:r>
      <w:r>
        <w:t xml:space="preserve"> et </w:t>
      </w:r>
      <w:r>
        <w:rPr>
          <w:rFonts w:ascii="Consolas" w:hAnsi="Consolas"/>
          <w:color w:val="4A339E"/>
          <w:sz w:val="18"/>
        </w:rPr>
        <w:t>id_compte</w:t>
      </w:r>
      <w:r>
        <w:t xml:space="preserve"> ou la marque invité. La page de succès n'est qu'un retour utilisateur : le webhook </w:t>
      </w:r>
      <w:r>
        <w:rPr>
          <w:rFonts w:ascii="Consolas" w:hAnsi="Consolas"/>
          <w:color w:val="4A339E"/>
          <w:sz w:val="18"/>
        </w:rPr>
        <w:t>checkout.session.completed</w:t>
      </w:r>
      <w:r>
        <w:t xml:space="preserve"> met à jour le snapshot d'adresse et le moyen de paiement, puis appelle </w:t>
      </w:r>
      <w:r>
        <w:rPr>
          <w:rFonts w:ascii="Consolas" w:hAnsi="Consolas"/>
          <w:color w:val="4A339E"/>
          <w:sz w:val="18"/>
        </w:rPr>
        <w:t>finalize_paid_order</w:t>
      </w:r>
      <w:r>
        <w:t>.</w:t>
      </w:r>
    </w:p>
    <w:p>
      <w:pPr>
        <w:keepNext/>
        <w:jc w:val="center"/>
      </w:pPr>
      <w:r>
        <w:drawing>
          <wp:inline xmlns:a="http://schemas.openxmlformats.org/drawingml/2006/main" xmlns:pic="http://schemas.openxmlformats.org/drawingml/2006/picture">
            <wp:extent cx="5652000" cy="5199840"/>
            <wp:docPr id="5" name="Picture 5" descr="Checkout, webhook et écritures idempotentes" title="Checkout, webhook et écritures idempotentes"/>
            <wp:cNvGraphicFramePr>
              <a:graphicFrameLocks noChangeAspect="1"/>
            </wp:cNvGraphicFramePr>
            <a:graphic>
              <a:graphicData uri="http://schemas.openxmlformats.org/drawingml/2006/picture">
                <pic:pic>
                  <pic:nvPicPr>
                    <pic:cNvPr id="0" name="05-seq-checkout.png"/>
                    <pic:cNvPicPr/>
                  </pic:nvPicPr>
                  <pic:blipFill>
                    <a:blip r:embed="rId13"/>
                    <a:stretch>
                      <a:fillRect/>
                    </a:stretch>
                  </pic:blipFill>
                  <pic:spPr>
                    <a:xfrm>
                      <a:off x="0" y="0"/>
                      <a:ext cx="5652000" cy="5199840"/>
                    </a:xfrm>
                    <a:prstGeom prst="rect"/>
                  </pic:spPr>
                </pic:pic>
              </a:graphicData>
            </a:graphic>
          </wp:inline>
        </w:drawing>
      </w:r>
    </w:p>
    <w:p>
      <w:pPr>
        <w:pStyle w:val="CYNACaption"/>
      </w:pPr>
      <w:r>
        <w:t>Checkout, webhook et écritures idempotentes</w:t>
      </w:r>
    </w:p>
    <w:p>
      <w:bookmarkStart w:id="22" w:name="h_22_Abonnements___ch_anciers_et_"/>
      <w:pPr>
        <w:pStyle w:val="Heading2"/>
      </w:pPr>
      <w:r>
        <w:t>Abonnements, échéanciers et factures</w:t>
      </w:r>
      <w:bookmarkEnd w:id="22"/>
    </w:p>
    <w:p>
      <w:r>
        <w:rPr>
          <w:rFonts w:ascii="Consolas" w:hAnsi="Consolas"/>
          <w:color w:val="4A339E"/>
          <w:sz w:val="18"/>
        </w:rPr>
        <w:t>customer.subscription.updated/deleted</w:t>
      </w:r>
      <w:r>
        <w:t xml:space="preserve"> synchronise </w:t>
      </w:r>
      <w:r>
        <w:rPr>
          <w:rFonts w:ascii="Consolas" w:hAnsi="Consolas"/>
          <w:color w:val="4A339E"/>
          <w:sz w:val="18"/>
        </w:rPr>
        <w:t>abonnement</w:t>
      </w:r>
      <w:r>
        <w:t xml:space="preserve">. Les événements </w:t>
      </w:r>
      <w:r>
        <w:rPr>
          <w:rFonts w:ascii="Consolas" w:hAnsi="Consolas"/>
          <w:color w:val="4A339E"/>
          <w:sz w:val="18"/>
        </w:rPr>
        <w:t>subscription_schedule.*</w:t>
      </w:r>
      <w:r>
        <w:t xml:space="preserve"> résolvent l'abonnement Stripe puis réutilisent la même synchronisation. Les événements </w:t>
      </w:r>
      <w:r>
        <w:rPr>
          <w:rFonts w:ascii="Consolas" w:hAnsi="Consolas"/>
          <w:color w:val="4A339E"/>
          <w:sz w:val="18"/>
        </w:rPr>
        <w:t>invoice.finalized</w:t>
      </w:r>
      <w:r>
        <w:t xml:space="preserve">, </w:t>
      </w:r>
      <w:r>
        <w:rPr>
          <w:rFonts w:ascii="Consolas" w:hAnsi="Consolas"/>
          <w:color w:val="4A339E"/>
          <w:sz w:val="18"/>
        </w:rPr>
        <w:t>invoice.paid</w:t>
      </w:r>
      <w:r>
        <w:t xml:space="preserve">, </w:t>
      </w:r>
      <w:r>
        <w:rPr>
          <w:rFonts w:ascii="Consolas" w:hAnsi="Consolas"/>
          <w:color w:val="4A339E"/>
          <w:sz w:val="18"/>
        </w:rPr>
        <w:t>invoice.payment_failed</w:t>
      </w:r>
      <w:r>
        <w:t xml:space="preserve"> et </w:t>
      </w:r>
      <w:r>
        <w:rPr>
          <w:rFonts w:ascii="Consolas" w:hAnsi="Consolas"/>
          <w:color w:val="4A339E"/>
          <w:sz w:val="18"/>
        </w:rPr>
        <w:t>invoice.voided</w:t>
      </w:r>
      <w:r>
        <w:t xml:space="preserve"> effectuent un upsert par </w:t>
      </w:r>
      <w:r>
        <w:rPr>
          <w:rFonts w:ascii="Consolas" w:hAnsi="Consolas"/>
          <w:color w:val="4A339E"/>
          <w:sz w:val="18"/>
        </w:rPr>
        <w:t>stripe_invoice_id</w:t>
      </w:r>
      <w:r>
        <w:t xml:space="preserve">. Le PDF Stripe est téléchargé une fois dans </w:t>
      </w:r>
      <w:r>
        <w:rPr>
          <w:rFonts w:ascii="Consolas" w:hAnsi="Consolas"/>
          <w:color w:val="4A339E"/>
          <w:sz w:val="18"/>
        </w:rPr>
        <w:t>invoice-pdf</w:t>
      </w:r>
      <w:r>
        <w:t>; le chemin et l'URL hébergée sont enregistrés. Un code 500 demande à Stripe de rejouer l'événement. Les écritures utilisent des identifiants externes uniques ou des RPC réentrantes pour supporter ce replay.</w:t>
      </w:r>
    </w:p>
    <w:p>
      <w:bookmarkStart w:id="23" w:name="h_23_D_cisions_et_compromis_finan"/>
      <w:pPr>
        <w:pStyle w:val="Heading2"/>
      </w:pPr>
      <w:r>
        <w:t>Décisions et compromis financiers</w:t>
      </w:r>
      <w:bookmarkEnd w:id="23"/>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040"/>
        <w:gridCol w:w="3570"/>
        <w:gridCol w:w="3570"/>
      </w:tblGrid>
      <w:tr>
        <w:trPr>
          <w:tblHeader w:val="true"/>
        </w:trPr>
        <w:tc>
          <w:tcPr>
            <w:tcW w:type="dxa" w:w="2040"/>
            <w:tcMar>
              <w:top w:w="80" w:type="dxa"/>
              <w:start w:w="110" w:type="dxa"/>
              <w:bottom w:w="80" w:type="dxa"/>
              <w:end w:w="110" w:type="dxa"/>
            </w:tcMar>
            <w:vAlign w:val="center"/>
            <w:shd w:fill="E8EEF5"/>
          </w:tcPr>
          <w:p>
            <w:pPr>
              <w:spacing w:after="0" w:line="240" w:lineRule="auto"/>
            </w:pPr>
            <w:r>
              <w:rPr>
                <w:b/>
                <w:color w:val="302082"/>
                <w:sz w:val="17"/>
              </w:rPr>
              <w:t>Décision</w:t>
            </w:r>
          </w:p>
        </w:tc>
        <w:tc>
          <w:tcPr>
            <w:tcW w:type="dxa" w:w="3570"/>
            <w:tcMar>
              <w:top w:w="80" w:type="dxa"/>
              <w:start w:w="110" w:type="dxa"/>
              <w:bottom w:w="80" w:type="dxa"/>
              <w:end w:w="110" w:type="dxa"/>
            </w:tcMar>
            <w:vAlign w:val="center"/>
            <w:shd w:fill="E8EEF5"/>
          </w:tcPr>
          <w:p>
            <w:pPr>
              <w:spacing w:after="0" w:line="240" w:lineRule="auto"/>
            </w:pPr>
            <w:r>
              <w:rPr>
                <w:b/>
                <w:color w:val="302082"/>
                <w:sz w:val="17"/>
              </w:rPr>
              <w:t>Justification</w:t>
            </w:r>
          </w:p>
        </w:tc>
        <w:tc>
          <w:tcPr>
            <w:tcW w:type="dxa" w:w="3570"/>
            <w:tcMar>
              <w:top w:w="80" w:type="dxa"/>
              <w:start w:w="110" w:type="dxa"/>
              <w:bottom w:w="80" w:type="dxa"/>
              <w:end w:w="110" w:type="dxa"/>
            </w:tcMar>
            <w:vAlign w:val="center"/>
            <w:shd w:fill="E8EEF5"/>
          </w:tcPr>
          <w:p>
            <w:pPr>
              <w:spacing w:after="0" w:line="240" w:lineRule="auto"/>
            </w:pPr>
            <w:r>
              <w:rPr>
                <w:b/>
                <w:color w:val="302082"/>
                <w:sz w:val="17"/>
              </w:rPr>
              <w:t>Conséquence</w:t>
            </w:r>
          </w:p>
        </w:tc>
      </w:tr>
      <w:tr>
        <w:tc>
          <w:tcPr>
            <w:tcW w:type="dxa" w:w="2040"/>
            <w:tcMar>
              <w:top w:w="80" w:type="dxa"/>
              <w:start w:w="110" w:type="dxa"/>
              <w:bottom w:w="80" w:type="dxa"/>
              <w:end w:w="110" w:type="dxa"/>
            </w:tcMar>
            <w:vAlign w:val="center"/>
          </w:tcPr>
          <w:p>
            <w:pPr>
              <w:spacing w:after="0" w:line="240" w:lineRule="auto"/>
            </w:pPr>
            <w:r>
              <w:rPr>
                <w:sz w:val="17"/>
              </w:rPr>
              <w:t>Stripe source de vérité</w:t>
            </w:r>
          </w:p>
        </w:tc>
        <w:tc>
          <w:tcPr>
            <w:tcW w:type="dxa" w:w="3570"/>
            <w:tcMar>
              <w:top w:w="80" w:type="dxa"/>
              <w:start w:w="110" w:type="dxa"/>
              <w:bottom w:w="80" w:type="dxa"/>
              <w:end w:w="110" w:type="dxa"/>
            </w:tcMar>
            <w:vAlign w:val="center"/>
          </w:tcPr>
          <w:p>
            <w:pPr>
              <w:spacing w:after="0" w:line="240" w:lineRule="auto"/>
            </w:pPr>
            <w:r>
              <w:rPr>
                <w:sz w:val="17"/>
              </w:rPr>
              <w:t>Évite de conclure sur un simple retour navigateur</w:t>
            </w:r>
          </w:p>
        </w:tc>
        <w:tc>
          <w:tcPr>
            <w:tcW w:type="dxa" w:w="3570"/>
            <w:tcMar>
              <w:top w:w="80" w:type="dxa"/>
              <w:start w:w="110" w:type="dxa"/>
              <w:bottom w:w="80" w:type="dxa"/>
              <w:end w:w="110" w:type="dxa"/>
            </w:tcMar>
            <w:vAlign w:val="center"/>
          </w:tcPr>
          <w:p>
            <w:pPr>
              <w:spacing w:after="0" w:line="240" w:lineRule="auto"/>
            </w:pPr>
            <w:r>
              <w:rPr>
                <w:sz w:val="17"/>
              </w:rPr>
              <w:t>Nécessite webhook disponible et supervision</w:t>
            </w:r>
          </w:p>
        </w:tc>
      </w:tr>
      <w:tr>
        <w:tc>
          <w:tcPr>
            <w:tcW w:type="dxa" w:w="2040"/>
            <w:tcMar>
              <w:top w:w="80" w:type="dxa"/>
              <w:start w:w="110" w:type="dxa"/>
              <w:bottom w:w="80" w:type="dxa"/>
              <w:end w:w="110" w:type="dxa"/>
            </w:tcMar>
            <w:vAlign w:val="center"/>
            <w:shd w:fill="F8F7FC"/>
          </w:tcPr>
          <w:p>
            <w:pPr>
              <w:spacing w:after="0" w:line="240" w:lineRule="auto"/>
            </w:pPr>
            <w:r>
              <w:rPr>
                <w:sz w:val="17"/>
              </w:rPr>
              <w:t>Commande avant session</w:t>
            </w:r>
          </w:p>
        </w:tc>
        <w:tc>
          <w:tcPr>
            <w:tcW w:type="dxa" w:w="3570"/>
            <w:tcMar>
              <w:top w:w="80" w:type="dxa"/>
              <w:start w:w="110" w:type="dxa"/>
              <w:bottom w:w="80" w:type="dxa"/>
              <w:end w:w="110" w:type="dxa"/>
            </w:tcMar>
            <w:vAlign w:val="center"/>
            <w:shd w:fill="F8F7FC"/>
          </w:tcPr>
          <w:p>
            <w:pPr>
              <w:spacing w:after="0" w:line="240" w:lineRule="auto"/>
            </w:pPr>
            <w:r>
              <w:rPr>
                <w:sz w:val="17"/>
              </w:rPr>
              <w:t>Corrélation stable et reprise possible</w:t>
            </w:r>
          </w:p>
        </w:tc>
        <w:tc>
          <w:tcPr>
            <w:tcW w:type="dxa" w:w="3570"/>
            <w:tcMar>
              <w:top w:w="80" w:type="dxa"/>
              <w:start w:w="110" w:type="dxa"/>
              <w:bottom w:w="80" w:type="dxa"/>
              <w:end w:w="110" w:type="dxa"/>
            </w:tcMar>
            <w:vAlign w:val="center"/>
            <w:shd w:fill="F8F7FC"/>
          </w:tcPr>
          <w:p>
            <w:pPr>
              <w:spacing w:after="0" w:line="240" w:lineRule="auto"/>
            </w:pPr>
            <w:r>
              <w:rPr>
                <w:sz w:val="17"/>
              </w:rPr>
              <w:t>Les commandes abandonnées doivent être suivies</w:t>
            </w:r>
          </w:p>
        </w:tc>
      </w:tr>
      <w:tr>
        <w:tc>
          <w:tcPr>
            <w:tcW w:type="dxa" w:w="2040"/>
            <w:tcMar>
              <w:top w:w="80" w:type="dxa"/>
              <w:start w:w="110" w:type="dxa"/>
              <w:bottom w:w="80" w:type="dxa"/>
              <w:end w:w="110" w:type="dxa"/>
            </w:tcMar>
            <w:vAlign w:val="center"/>
          </w:tcPr>
          <w:p>
            <w:pPr>
              <w:spacing w:after="0" w:line="240" w:lineRule="auto"/>
            </w:pPr>
            <w:r>
              <w:rPr>
                <w:sz w:val="17"/>
              </w:rPr>
              <w:t>Montants serveur</w:t>
            </w:r>
          </w:p>
        </w:tc>
        <w:tc>
          <w:tcPr>
            <w:tcW w:type="dxa" w:w="3570"/>
            <w:tcMar>
              <w:top w:w="80" w:type="dxa"/>
              <w:start w:w="110" w:type="dxa"/>
              <w:bottom w:w="80" w:type="dxa"/>
              <w:end w:w="110" w:type="dxa"/>
            </w:tcMar>
            <w:vAlign w:val="center"/>
          </w:tcPr>
          <w:p>
            <w:pPr>
              <w:spacing w:after="0" w:line="240" w:lineRule="auto"/>
            </w:pPr>
            <w:r>
              <w:rPr>
                <w:sz w:val="17"/>
              </w:rPr>
              <w:t>Empêche la manipulation client</w:t>
            </w:r>
          </w:p>
        </w:tc>
        <w:tc>
          <w:tcPr>
            <w:tcW w:type="dxa" w:w="3570"/>
            <w:tcMar>
              <w:top w:w="80" w:type="dxa"/>
              <w:start w:w="110" w:type="dxa"/>
              <w:bottom w:w="80" w:type="dxa"/>
              <w:end w:w="110" w:type="dxa"/>
            </w:tcMar>
            <w:vAlign w:val="center"/>
          </w:tcPr>
          <w:p>
            <w:pPr>
              <w:spacing w:after="0" w:line="240" w:lineRule="auto"/>
            </w:pPr>
            <w:r>
              <w:rPr>
                <w:sz w:val="17"/>
              </w:rPr>
              <w:t>Relecture catalogue obligatoire au checkout</w:t>
            </w:r>
          </w:p>
        </w:tc>
      </w:tr>
      <w:tr>
        <w:tc>
          <w:tcPr>
            <w:tcW w:type="dxa" w:w="2040"/>
            <w:tcMar>
              <w:top w:w="80" w:type="dxa"/>
              <w:start w:w="110" w:type="dxa"/>
              <w:bottom w:w="80" w:type="dxa"/>
              <w:end w:w="110" w:type="dxa"/>
            </w:tcMar>
            <w:vAlign w:val="center"/>
            <w:shd w:fill="F8F7FC"/>
          </w:tcPr>
          <w:p>
            <w:pPr>
              <w:spacing w:after="0" w:line="240" w:lineRule="auto"/>
            </w:pPr>
            <w:r>
              <w:rPr>
                <w:sz w:val="17"/>
              </w:rPr>
              <w:t>Facture en bucket privé</w:t>
            </w:r>
          </w:p>
        </w:tc>
        <w:tc>
          <w:tcPr>
            <w:tcW w:type="dxa" w:w="3570"/>
            <w:tcMar>
              <w:top w:w="80" w:type="dxa"/>
              <w:start w:w="110" w:type="dxa"/>
              <w:bottom w:w="80" w:type="dxa"/>
              <w:end w:w="110" w:type="dxa"/>
            </w:tcMar>
            <w:vAlign w:val="center"/>
            <w:shd w:fill="F8F7FC"/>
          </w:tcPr>
          <w:p>
            <w:pPr>
              <w:spacing w:after="0" w:line="240" w:lineRule="auto"/>
            </w:pPr>
            <w:r>
              <w:rPr>
                <w:sz w:val="17"/>
              </w:rPr>
              <w:t>Résilience et espace client</w:t>
            </w:r>
          </w:p>
        </w:tc>
        <w:tc>
          <w:tcPr>
            <w:tcW w:type="dxa" w:w="3570"/>
            <w:tcMar>
              <w:top w:w="80" w:type="dxa"/>
              <w:start w:w="110" w:type="dxa"/>
              <w:bottom w:w="80" w:type="dxa"/>
              <w:end w:w="110" w:type="dxa"/>
            </w:tcMar>
            <w:vAlign w:val="center"/>
            <w:shd w:fill="F8F7FC"/>
          </w:tcPr>
          <w:p>
            <w:pPr>
              <w:spacing w:after="0" w:line="240" w:lineRule="auto"/>
            </w:pPr>
            <w:r>
              <w:rPr>
                <w:sz w:val="17"/>
              </w:rPr>
              <w:t>Politique Storage et URL signée à maintenir</w:t>
            </w:r>
          </w:p>
        </w:tc>
      </w:tr>
      <w:tr>
        <w:tc>
          <w:tcPr>
            <w:tcW w:type="dxa" w:w="2040"/>
            <w:tcMar>
              <w:top w:w="80" w:type="dxa"/>
              <w:start w:w="110" w:type="dxa"/>
              <w:bottom w:w="80" w:type="dxa"/>
              <w:end w:w="110" w:type="dxa"/>
            </w:tcMar>
            <w:vAlign w:val="center"/>
          </w:tcPr>
          <w:p>
            <w:pPr>
              <w:spacing w:after="0" w:line="240" w:lineRule="auto"/>
            </w:pPr>
            <w:r>
              <w:rPr>
                <w:sz w:val="17"/>
              </w:rPr>
              <w:t>Portail Stripe configuré</w:t>
            </w:r>
          </w:p>
        </w:tc>
        <w:tc>
          <w:tcPr>
            <w:tcW w:type="dxa" w:w="3570"/>
            <w:tcMar>
              <w:top w:w="80" w:type="dxa"/>
              <w:start w:w="110" w:type="dxa"/>
              <w:bottom w:w="80" w:type="dxa"/>
              <w:end w:w="110" w:type="dxa"/>
            </w:tcMar>
            <w:vAlign w:val="center"/>
          </w:tcPr>
          <w:p>
            <w:pPr>
              <w:spacing w:after="0" w:line="240" w:lineRule="auto"/>
            </w:pPr>
            <w:r>
              <w:rPr>
                <w:sz w:val="17"/>
              </w:rPr>
              <w:t>Délègue les mutations d'abonnement sûres</w:t>
            </w:r>
          </w:p>
        </w:tc>
        <w:tc>
          <w:tcPr>
            <w:tcW w:type="dxa" w:w="3570"/>
            <w:tcMar>
              <w:top w:w="80" w:type="dxa"/>
              <w:start w:w="110" w:type="dxa"/>
              <w:bottom w:w="80" w:type="dxa"/>
              <w:end w:w="110" w:type="dxa"/>
            </w:tcMar>
            <w:vAlign w:val="center"/>
          </w:tcPr>
          <w:p>
            <w:pPr>
              <w:spacing w:after="0" w:line="240" w:lineRule="auto"/>
            </w:pPr>
            <w:r>
              <w:rPr>
                <w:sz w:val="17"/>
              </w:rPr>
              <w:t>Configuration externe à versionner par procédure</w:t>
            </w:r>
          </w:p>
        </w:tc>
      </w:tr>
    </w:tbl>
    <w:p>
      <w:pPr>
        <w:spacing w:after="0"/>
      </w:pPr>
    </w:p>
    <w:p>
      <w:bookmarkStart w:id="24" w:name="h_24_BackOffice__reporting_et_op_"/>
      <w:pPr>
        <w:pStyle w:val="Heading1"/>
      </w:pPr>
      <w:r>
        <w:t>BackOffice, reporting et opérations sensibles</w:t>
      </w:r>
      <w:bookmarkEnd w:id="24"/>
    </w:p>
    <w:p>
      <w:r>
        <w:t xml:space="preserve">Le BackOffice est un ensemble de routes localisées sous </w:t>
      </w:r>
      <w:r>
        <w:rPr>
          <w:rFonts w:ascii="Consolas" w:hAnsi="Consolas"/>
          <w:color w:val="4A339E"/>
          <w:sz w:val="18"/>
        </w:rPr>
        <w:t>/[locale]/admin</w:t>
      </w:r>
      <w:r>
        <w:t xml:space="preserve">. Le proxy bloque la navigation sans session, sans profil </w:t>
      </w:r>
      <w:r>
        <w:rPr>
          <w:rFonts w:ascii="Consolas" w:hAnsi="Consolas"/>
          <w:color w:val="4A339E"/>
          <w:sz w:val="18"/>
        </w:rPr>
        <w:t>admin</w:t>
      </w:r>
      <w:r>
        <w:t xml:space="preserve"> actif ou sans AAL2. Les actions et routes sensibles ne s'appuient pas sur ce seul contrôle périphérique : le rapport commerce, la réinitialisation MFA et les accès aux conversations répètent la garde adaptée avant de créer un client privilégié ou de retourner des données.</w:t>
      </w:r>
    </w:p>
    <w:p>
      <w:r>
        <w:t>Les écrans administrent le catalogue, les promotions, les commandes, les abonnements, les utilisateurs, le support, l'historique CynAI, le carrousel et les textes d'accueil. Les opérations de masse conservent les mêmes validations que les opérations unitaires. Les suppressions sont limitées lorsqu'une relation historique rend la donnée nécessaire à une commande, un audit ou une facture.</w:t>
      </w:r>
    </w:p>
    <w:p>
      <w:bookmarkStart w:id="25" w:name="h_25_G_n_ration_du_rapport_commer"/>
      <w:pPr>
        <w:pStyle w:val="Heading2"/>
      </w:pPr>
      <w:r>
        <w:t>Génération du rapport commerce</w:t>
      </w:r>
      <w:bookmarkEnd w:id="25"/>
    </w:p>
    <w:p>
      <w:r>
        <w:rPr>
          <w:rFonts w:ascii="Consolas" w:hAnsi="Consolas"/>
          <w:color w:val="4A339E"/>
          <w:sz w:val="18"/>
        </w:rPr>
        <w:t>GET /api/admin/sales/report</w:t>
      </w:r>
      <w:r>
        <w:t xml:space="preserve"> commence par lire l'utilisateur de session, son profil actif et l'assurance AAL2. Les paramètres </w:t>
      </w:r>
      <w:r>
        <w:rPr>
          <w:rFonts w:ascii="Consolas" w:hAnsi="Consolas"/>
          <w:color w:val="4A339E"/>
          <w:sz w:val="18"/>
        </w:rPr>
        <w:t>preset</w:t>
      </w:r>
      <w:r>
        <w:t xml:space="preserve">, </w:t>
      </w:r>
      <w:r>
        <w:rPr>
          <w:rFonts w:ascii="Consolas" w:hAnsi="Consolas"/>
          <w:color w:val="4A339E"/>
          <w:sz w:val="18"/>
        </w:rPr>
        <w:t>from</w:t>
      </w:r>
      <w:r>
        <w:t xml:space="preserve">, </w:t>
      </w:r>
      <w:r>
        <w:rPr>
          <w:rFonts w:ascii="Consolas" w:hAnsi="Consolas"/>
          <w:color w:val="4A339E"/>
          <w:sz w:val="18"/>
        </w:rPr>
        <w:t>to</w:t>
      </w:r>
      <w:r>
        <w:t xml:space="preserve">, </w:t>
      </w:r>
      <w:r>
        <w:rPr>
          <w:rFonts w:ascii="Consolas" w:hAnsi="Consolas"/>
          <w:color w:val="4A339E"/>
          <w:sz w:val="18"/>
        </w:rPr>
        <w:t>horizon</w:t>
      </w:r>
      <w:r>
        <w:t xml:space="preserve"> et </w:t>
      </w:r>
      <w:r>
        <w:rPr>
          <w:rFonts w:ascii="Consolas" w:hAnsi="Consolas"/>
          <w:color w:val="4A339E"/>
          <w:sz w:val="18"/>
        </w:rPr>
        <w:t>locale</w:t>
      </w:r>
      <w:r>
        <w:t xml:space="preserve"> sont normalisés avant toute agrégation. Le service collecte commandes, lignes, produits, catégories et santé des abonnements, puis applique les fonctions pures d'agrégation et de localisation. </w:t>
      </w:r>
      <w:r>
        <w:rPr>
          <w:rFonts w:ascii="Consolas" w:hAnsi="Consolas"/>
          <w:color w:val="4A339E"/>
          <w:sz w:val="18"/>
        </w:rPr>
        <w:t>@react-pdf/renderer</w:t>
      </w:r>
      <w:r>
        <w:t xml:space="preserve"> transforme ensuite </w:t>
      </w:r>
      <w:r>
        <w:rPr>
          <w:rFonts w:ascii="Consolas" w:hAnsi="Consolas"/>
          <w:color w:val="4A339E"/>
          <w:sz w:val="18"/>
        </w:rPr>
        <w:t>CommerceReportPdf</w:t>
      </w:r>
      <w:r>
        <w:t xml:space="preserve"> en buffer.</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530"/>
        <w:gridCol w:w="3920"/>
        <w:gridCol w:w="3729"/>
      </w:tblGrid>
      <w:tr>
        <w:trPr>
          <w:tblHeader w:val="true"/>
        </w:trPr>
        <w:tc>
          <w:tcPr>
            <w:tcW w:type="dxa" w:w="1530"/>
            <w:tcMar>
              <w:top w:w="80" w:type="dxa"/>
              <w:start w:w="110" w:type="dxa"/>
              <w:bottom w:w="80" w:type="dxa"/>
              <w:end w:w="110" w:type="dxa"/>
            </w:tcMar>
            <w:vAlign w:val="center"/>
            <w:shd w:fill="E8EEF5"/>
          </w:tcPr>
          <w:p>
            <w:pPr>
              <w:spacing w:after="0" w:line="240" w:lineRule="auto"/>
            </w:pPr>
            <w:r>
              <w:rPr>
                <w:b/>
                <w:color w:val="302082"/>
                <w:sz w:val="17"/>
              </w:rPr>
              <w:t>Phase</w:t>
            </w:r>
          </w:p>
        </w:tc>
        <w:tc>
          <w:tcPr>
            <w:tcW w:type="dxa" w:w="3920"/>
            <w:tcMar>
              <w:top w:w="80" w:type="dxa"/>
              <w:start w:w="110" w:type="dxa"/>
              <w:bottom w:w="80" w:type="dxa"/>
              <w:end w:w="110" w:type="dxa"/>
            </w:tcMar>
            <w:vAlign w:val="center"/>
            <w:shd w:fill="E8EEF5"/>
          </w:tcPr>
          <w:p>
            <w:pPr>
              <w:spacing w:after="0" w:line="240" w:lineRule="auto"/>
            </w:pPr>
            <w:r>
              <w:rPr>
                <w:b/>
                <w:color w:val="302082"/>
                <w:sz w:val="17"/>
              </w:rPr>
              <w:t>Contrôle</w:t>
            </w:r>
          </w:p>
        </w:tc>
        <w:tc>
          <w:tcPr>
            <w:tcW w:type="dxa" w:w="3729"/>
            <w:tcMar>
              <w:top w:w="80" w:type="dxa"/>
              <w:start w:w="110" w:type="dxa"/>
              <w:bottom w:w="80" w:type="dxa"/>
              <w:end w:w="110" w:type="dxa"/>
            </w:tcMar>
            <w:vAlign w:val="center"/>
            <w:shd w:fill="E8EEF5"/>
          </w:tcPr>
          <w:p>
            <w:pPr>
              <w:spacing w:after="0" w:line="240" w:lineRule="auto"/>
            </w:pPr>
            <w:r>
              <w:rPr>
                <w:b/>
                <w:color w:val="302082"/>
                <w:sz w:val="17"/>
              </w:rPr>
              <w:t>Résultat</w:t>
            </w:r>
          </w:p>
        </w:tc>
      </w:tr>
      <w:tr>
        <w:tc>
          <w:tcPr>
            <w:tcW w:type="dxa" w:w="1530"/>
            <w:tcMar>
              <w:top w:w="80" w:type="dxa"/>
              <w:start w:w="110" w:type="dxa"/>
              <w:bottom w:w="80" w:type="dxa"/>
              <w:end w:w="110" w:type="dxa"/>
            </w:tcMar>
            <w:vAlign w:val="center"/>
          </w:tcPr>
          <w:p>
            <w:pPr>
              <w:spacing w:after="0" w:line="240" w:lineRule="auto"/>
            </w:pPr>
            <w:r>
              <w:rPr>
                <w:sz w:val="17"/>
              </w:rPr>
              <w:t>Authentification</w:t>
            </w:r>
          </w:p>
        </w:tc>
        <w:tc>
          <w:tcPr>
            <w:tcW w:type="dxa" w:w="3920"/>
            <w:tcMar>
              <w:top w:w="80" w:type="dxa"/>
              <w:start w:w="110" w:type="dxa"/>
              <w:bottom w:w="80" w:type="dxa"/>
              <w:end w:w="110" w:type="dxa"/>
            </w:tcMar>
            <w:vAlign w:val="center"/>
          </w:tcPr>
          <w:p>
            <w:pPr>
              <w:spacing w:after="0" w:line="240" w:lineRule="auto"/>
            </w:pPr>
            <w:r>
              <w:rPr>
                <w:sz w:val="17"/>
              </w:rPr>
              <w:t>utilisateur Supabase présent</w:t>
            </w:r>
          </w:p>
        </w:tc>
        <w:tc>
          <w:tcPr>
            <w:tcW w:type="dxa" w:w="3729"/>
            <w:tcMar>
              <w:top w:w="80" w:type="dxa"/>
              <w:start w:w="110" w:type="dxa"/>
              <w:bottom w:w="80" w:type="dxa"/>
              <w:end w:w="110" w:type="dxa"/>
            </w:tcMar>
            <w:vAlign w:val="center"/>
          </w:tcPr>
          <w:p>
            <w:pPr>
              <w:spacing w:after="0" w:line="240" w:lineRule="auto"/>
            </w:pPr>
            <w:r>
              <w:rPr>
                <w:sz w:val="17"/>
              </w:rPr>
              <w:t xml:space="preserve">sinon </w:t>
            </w:r>
            <w:r>
              <w:rPr>
                <w:rFonts w:ascii="Consolas" w:hAnsi="Consolas"/>
                <w:color w:val="4A339E"/>
                <w:sz w:val="17"/>
              </w:rPr>
              <w:t>401 UNAUTHENTICATED</w:t>
            </w:r>
          </w:p>
        </w:tc>
      </w:tr>
      <w:tr>
        <w:tc>
          <w:tcPr>
            <w:tcW w:type="dxa" w:w="1530"/>
            <w:tcMar>
              <w:top w:w="80" w:type="dxa"/>
              <w:start w:w="110" w:type="dxa"/>
              <w:bottom w:w="80" w:type="dxa"/>
              <w:end w:w="110" w:type="dxa"/>
            </w:tcMar>
            <w:vAlign w:val="center"/>
            <w:shd w:fill="F8F7FC"/>
          </w:tcPr>
          <w:p>
            <w:pPr>
              <w:spacing w:after="0" w:line="240" w:lineRule="auto"/>
            </w:pPr>
            <w:r>
              <w:rPr>
                <w:sz w:val="17"/>
              </w:rPr>
              <w:t>Autorisation</w:t>
            </w:r>
          </w:p>
        </w:tc>
        <w:tc>
          <w:tcPr>
            <w:tcW w:type="dxa" w:w="3920"/>
            <w:tcMar>
              <w:top w:w="80" w:type="dxa"/>
              <w:start w:w="110" w:type="dxa"/>
              <w:bottom w:w="80" w:type="dxa"/>
              <w:end w:w="110" w:type="dxa"/>
            </w:tcMar>
            <w:vAlign w:val="center"/>
            <w:shd w:fill="F8F7FC"/>
          </w:tcPr>
          <w:p>
            <w:pPr>
              <w:spacing w:after="0" w:line="240" w:lineRule="auto"/>
            </w:pPr>
            <w:r>
              <w:rPr>
                <w:sz w:val="17"/>
              </w:rPr>
              <w:t>profil admin actif</w:t>
            </w:r>
          </w:p>
        </w:tc>
        <w:tc>
          <w:tcPr>
            <w:tcW w:type="dxa" w:w="3729"/>
            <w:tcMar>
              <w:top w:w="80" w:type="dxa"/>
              <w:start w:w="110" w:type="dxa"/>
              <w:bottom w:w="80" w:type="dxa"/>
              <w:end w:w="110" w:type="dxa"/>
            </w:tcMar>
            <w:vAlign w:val="center"/>
            <w:shd w:fill="F8F7FC"/>
          </w:tcPr>
          <w:p>
            <w:pPr>
              <w:spacing w:after="0" w:line="240" w:lineRule="auto"/>
            </w:pPr>
            <w:r>
              <w:rPr>
                <w:sz w:val="17"/>
              </w:rPr>
              <w:t xml:space="preserve">sinon </w:t>
            </w:r>
            <w:r>
              <w:rPr>
                <w:rFonts w:ascii="Consolas" w:hAnsi="Consolas"/>
                <w:color w:val="4A339E"/>
                <w:sz w:val="17"/>
              </w:rPr>
              <w:t>403 FORBIDDEN</w:t>
            </w:r>
          </w:p>
        </w:tc>
      </w:tr>
      <w:tr>
        <w:tc>
          <w:tcPr>
            <w:tcW w:type="dxa" w:w="1530"/>
            <w:tcMar>
              <w:top w:w="80" w:type="dxa"/>
              <w:start w:w="110" w:type="dxa"/>
              <w:bottom w:w="80" w:type="dxa"/>
              <w:end w:w="110" w:type="dxa"/>
            </w:tcMar>
            <w:vAlign w:val="center"/>
          </w:tcPr>
          <w:p>
            <w:pPr>
              <w:spacing w:after="0" w:line="240" w:lineRule="auto"/>
            </w:pPr>
            <w:r>
              <w:rPr>
                <w:sz w:val="17"/>
              </w:rPr>
              <w:t>Assurance</w:t>
            </w:r>
          </w:p>
        </w:tc>
        <w:tc>
          <w:tcPr>
            <w:tcW w:type="dxa" w:w="3920"/>
            <w:tcMar>
              <w:top w:w="80" w:type="dxa"/>
              <w:start w:w="110" w:type="dxa"/>
              <w:bottom w:w="80" w:type="dxa"/>
              <w:end w:w="110" w:type="dxa"/>
            </w:tcMar>
            <w:vAlign w:val="center"/>
          </w:tcPr>
          <w:p>
            <w:pPr>
              <w:spacing w:after="0" w:line="240" w:lineRule="auto"/>
            </w:pPr>
            <w:r>
              <w:rPr>
                <w:rFonts w:ascii="Consolas" w:hAnsi="Consolas"/>
                <w:color w:val="4A339E"/>
                <w:sz w:val="17"/>
              </w:rPr>
              <w:t>currentLevel = aal2</w:t>
            </w:r>
          </w:p>
        </w:tc>
        <w:tc>
          <w:tcPr>
            <w:tcW w:type="dxa" w:w="3729"/>
            <w:tcMar>
              <w:top w:w="80" w:type="dxa"/>
              <w:start w:w="110" w:type="dxa"/>
              <w:bottom w:w="80" w:type="dxa"/>
              <w:end w:w="110" w:type="dxa"/>
            </w:tcMar>
            <w:vAlign w:val="center"/>
          </w:tcPr>
          <w:p>
            <w:pPr>
              <w:spacing w:after="0" w:line="240" w:lineRule="auto"/>
            </w:pPr>
            <w:r>
              <w:rPr>
                <w:sz w:val="17"/>
              </w:rPr>
              <w:t xml:space="preserve">sinon </w:t>
            </w:r>
            <w:r>
              <w:rPr>
                <w:rFonts w:ascii="Consolas" w:hAnsi="Consolas"/>
                <w:color w:val="4A339E"/>
                <w:sz w:val="17"/>
              </w:rPr>
              <w:t>403 AAL2_REQUIRED</w:t>
            </w:r>
          </w:p>
        </w:tc>
      </w:tr>
      <w:tr>
        <w:tc>
          <w:tcPr>
            <w:tcW w:type="dxa" w:w="1530"/>
            <w:tcMar>
              <w:top w:w="80" w:type="dxa"/>
              <w:start w:w="110" w:type="dxa"/>
              <w:bottom w:w="80" w:type="dxa"/>
              <w:end w:w="110" w:type="dxa"/>
            </w:tcMar>
            <w:vAlign w:val="center"/>
            <w:shd w:fill="F8F7FC"/>
          </w:tcPr>
          <w:p>
            <w:pPr>
              <w:spacing w:after="0" w:line="240" w:lineRule="auto"/>
            </w:pPr>
            <w:r>
              <w:rPr>
                <w:sz w:val="17"/>
              </w:rPr>
              <w:t>Période</w:t>
            </w:r>
          </w:p>
        </w:tc>
        <w:tc>
          <w:tcPr>
            <w:tcW w:type="dxa" w:w="3920"/>
            <w:tcMar>
              <w:top w:w="80" w:type="dxa"/>
              <w:start w:w="110" w:type="dxa"/>
              <w:bottom w:w="80" w:type="dxa"/>
              <w:end w:w="110" w:type="dxa"/>
            </w:tcMar>
            <w:vAlign w:val="center"/>
            <w:shd w:fill="F8F7FC"/>
          </w:tcPr>
          <w:p>
            <w:pPr>
              <w:spacing w:after="0" w:line="240" w:lineRule="auto"/>
            </w:pPr>
            <w:r>
              <w:rPr>
                <w:sz w:val="17"/>
              </w:rPr>
              <w:t>preset connu ou dates custom cohérentes</w:t>
            </w:r>
          </w:p>
        </w:tc>
        <w:tc>
          <w:tcPr>
            <w:tcW w:type="dxa" w:w="3729"/>
            <w:tcMar>
              <w:top w:w="80" w:type="dxa"/>
              <w:start w:w="110" w:type="dxa"/>
              <w:bottom w:w="80" w:type="dxa"/>
              <w:end w:w="110" w:type="dxa"/>
            </w:tcMar>
            <w:vAlign w:val="center"/>
            <w:shd w:fill="F8F7FC"/>
          </w:tcPr>
          <w:p>
            <w:pPr>
              <w:spacing w:after="0" w:line="240" w:lineRule="auto"/>
            </w:pPr>
            <w:r>
              <w:rPr>
                <w:sz w:val="17"/>
              </w:rPr>
              <w:t xml:space="preserve">sinon </w:t>
            </w:r>
            <w:r>
              <w:rPr>
                <w:rFonts w:ascii="Consolas" w:hAnsi="Consolas"/>
                <w:color w:val="4A339E"/>
                <w:sz w:val="17"/>
              </w:rPr>
              <w:t>400 INVALID_RANGE</w:t>
            </w:r>
          </w:p>
        </w:tc>
      </w:tr>
      <w:tr>
        <w:tc>
          <w:tcPr>
            <w:tcW w:type="dxa" w:w="1530"/>
            <w:tcMar>
              <w:top w:w="80" w:type="dxa"/>
              <w:start w:w="110" w:type="dxa"/>
              <w:bottom w:w="80" w:type="dxa"/>
              <w:end w:w="110" w:type="dxa"/>
            </w:tcMar>
            <w:vAlign w:val="center"/>
          </w:tcPr>
          <w:p>
            <w:pPr>
              <w:spacing w:after="0" w:line="240" w:lineRule="auto"/>
            </w:pPr>
            <w:r>
              <w:rPr>
                <w:sz w:val="17"/>
              </w:rPr>
              <w:t>Agrégation</w:t>
            </w:r>
          </w:p>
        </w:tc>
        <w:tc>
          <w:tcPr>
            <w:tcW w:type="dxa" w:w="3920"/>
            <w:tcMar>
              <w:top w:w="80" w:type="dxa"/>
              <w:start w:w="110" w:type="dxa"/>
              <w:bottom w:w="80" w:type="dxa"/>
              <w:end w:w="110" w:type="dxa"/>
            </w:tcMar>
            <w:vAlign w:val="center"/>
          </w:tcPr>
          <w:p>
            <w:pPr>
              <w:spacing w:after="0" w:line="240" w:lineRule="auto"/>
            </w:pPr>
            <w:r>
              <w:rPr>
                <w:sz w:val="17"/>
              </w:rPr>
              <w:t>requêtes Supabase et fonctions de domaine</w:t>
            </w:r>
          </w:p>
        </w:tc>
        <w:tc>
          <w:tcPr>
            <w:tcW w:type="dxa" w:w="3729"/>
            <w:tcMar>
              <w:top w:w="80" w:type="dxa"/>
              <w:start w:w="110" w:type="dxa"/>
              <w:bottom w:w="80" w:type="dxa"/>
              <w:end w:w="110" w:type="dxa"/>
            </w:tcMar>
            <w:vAlign w:val="center"/>
          </w:tcPr>
          <w:p>
            <w:pPr>
              <w:spacing w:after="0" w:line="240" w:lineRule="auto"/>
            </w:pPr>
            <w:r>
              <w:rPr>
                <w:sz w:val="17"/>
              </w:rPr>
              <w:t>données chiffrées et libellés localisés</w:t>
            </w:r>
          </w:p>
        </w:tc>
      </w:tr>
      <w:tr>
        <w:tc>
          <w:tcPr>
            <w:tcW w:type="dxa" w:w="1530"/>
            <w:tcMar>
              <w:top w:w="80" w:type="dxa"/>
              <w:start w:w="110" w:type="dxa"/>
              <w:bottom w:w="80" w:type="dxa"/>
              <w:end w:w="110" w:type="dxa"/>
            </w:tcMar>
            <w:vAlign w:val="center"/>
            <w:shd w:fill="F8F7FC"/>
          </w:tcPr>
          <w:p>
            <w:pPr>
              <w:spacing w:after="0" w:line="240" w:lineRule="auto"/>
            </w:pPr>
            <w:r>
              <w:rPr>
                <w:sz w:val="17"/>
              </w:rPr>
              <w:t>Rendu</w:t>
            </w:r>
          </w:p>
        </w:tc>
        <w:tc>
          <w:tcPr>
            <w:tcW w:type="dxa" w:w="3920"/>
            <w:tcMar>
              <w:top w:w="80" w:type="dxa"/>
              <w:start w:w="110" w:type="dxa"/>
              <w:bottom w:w="80" w:type="dxa"/>
              <w:end w:w="110" w:type="dxa"/>
            </w:tcMar>
            <w:vAlign w:val="center"/>
            <w:shd w:fill="F8F7FC"/>
          </w:tcPr>
          <w:p>
            <w:pPr>
              <w:spacing w:after="0" w:line="240" w:lineRule="auto"/>
            </w:pPr>
            <w:r>
              <w:rPr>
                <w:rFonts w:ascii="Consolas" w:hAnsi="Consolas"/>
                <w:color w:val="4A339E"/>
                <w:sz w:val="17"/>
              </w:rPr>
              <w:t>renderToBuffer</w:t>
            </w:r>
          </w:p>
        </w:tc>
        <w:tc>
          <w:tcPr>
            <w:tcW w:type="dxa" w:w="3729"/>
            <w:tcMar>
              <w:top w:w="80" w:type="dxa"/>
              <w:start w:w="110" w:type="dxa"/>
              <w:bottom w:w="80" w:type="dxa"/>
              <w:end w:w="110" w:type="dxa"/>
            </w:tcMar>
            <w:vAlign w:val="center"/>
            <w:shd w:fill="F8F7FC"/>
          </w:tcPr>
          <w:p>
            <w:pPr>
              <w:spacing w:after="0" w:line="240" w:lineRule="auto"/>
            </w:pPr>
            <w:r>
              <w:rPr>
                <w:sz w:val="17"/>
              </w:rPr>
              <w:t xml:space="preserve">PDF privé </w:t>
            </w:r>
            <w:r>
              <w:rPr>
                <w:rFonts w:ascii="Consolas" w:hAnsi="Consolas"/>
                <w:color w:val="4A339E"/>
                <w:sz w:val="17"/>
              </w:rPr>
              <w:t>no-store</w:t>
            </w:r>
            <w:r>
              <w:rPr>
                <w:sz w:val="17"/>
              </w:rPr>
              <w:t xml:space="preserve"> en pièce jointe</w:t>
            </w:r>
          </w:p>
        </w:tc>
      </w:tr>
    </w:tbl>
    <w:p>
      <w:pPr>
        <w:spacing w:after="0"/>
      </w:pPr>
    </w:p>
    <w:p>
      <w:r>
        <w:t xml:space="preserve">Le PDF est renvoyé avec </w:t>
      </w:r>
      <w:r>
        <w:rPr>
          <w:rFonts w:ascii="Consolas" w:hAnsi="Consolas"/>
          <w:color w:val="4A339E"/>
          <w:sz w:val="18"/>
        </w:rPr>
        <w:t>Content-Type: application/pdf</w:t>
      </w:r>
      <w:r>
        <w:t xml:space="preserve">, </w:t>
      </w:r>
      <w:r>
        <w:rPr>
          <w:rFonts w:ascii="Consolas" w:hAnsi="Consolas"/>
          <w:color w:val="4A339E"/>
          <w:sz w:val="18"/>
        </w:rPr>
        <w:t>Content-Disposition: attachment</w:t>
      </w:r>
      <w:r>
        <w:t xml:space="preserve"> et </w:t>
      </w:r>
      <w:r>
        <w:rPr>
          <w:rFonts w:ascii="Consolas" w:hAnsi="Consolas"/>
          <w:color w:val="4A339E"/>
          <w:sz w:val="18"/>
        </w:rPr>
        <w:t>Cache-Control: private, no-store</w:t>
      </w:r>
      <w:r>
        <w:t xml:space="preserve">. Une erreur de saisie de période n'est pas un incident. Une autre exception est capturée avec </w:t>
      </w:r>
      <w:r>
        <w:rPr>
          <w:rFonts w:ascii="Consolas" w:hAnsi="Consolas"/>
          <w:color w:val="4A339E"/>
          <w:sz w:val="18"/>
        </w:rPr>
        <w:t>area=commerce-report</w:t>
      </w:r>
      <w:r>
        <w:t xml:space="preserve"> et </w:t>
      </w:r>
      <w:r>
        <w:rPr>
          <w:rFonts w:ascii="Consolas" w:hAnsi="Consolas"/>
          <w:color w:val="4A339E"/>
          <w:sz w:val="18"/>
        </w:rPr>
        <w:t>stage=render-pdf</w:t>
      </w:r>
      <w:r>
        <w:t>, sans joindre les données commerciales au diagnostic. Le rapport n'est donc ni un endpoint public ni une preuve comptable indépendante de Stripe.</w:t>
      </w:r>
    </w:p>
    <w:p>
      <w:bookmarkStart w:id="26" w:name="h_26_R_initialisation_MFA_et_audi"/>
      <w:pPr>
        <w:pStyle w:val="Heading2"/>
      </w:pPr>
      <w:r>
        <w:t>Réinitialisation MFA et audit</w:t>
      </w:r>
      <w:bookmarkEnd w:id="26"/>
    </w:p>
    <w:p>
      <w:r>
        <w:t xml:space="preserve">La récupération MFA d'un autre administrateur exige un ticket d'accès, une cible autorisée et l'intervention d'un second administrateur. Les facteurs sont supprimés via l'API d'administration seulement après validation, puis l'action est inscrite dans </w:t>
      </w:r>
      <w:r>
        <w:rPr>
          <w:rFonts w:ascii="Consolas" w:hAnsi="Consolas"/>
          <w:color w:val="4A339E"/>
          <w:sz w:val="18"/>
        </w:rPr>
        <w:t>mfa_reset_audit</w:t>
      </w:r>
      <w:r>
        <w:t xml:space="preserve"> avec acteur, cible, ticket, motif et horodatage. Cette table est une piste d'audit métier ; Sentry ne la remplace pas et ne doit pas recevoir son contenu détaillé.</w:t>
      </w:r>
    </w:p>
    <w:p>
      <w:bookmarkStart w:id="27" w:name="h_27_Architecture_d_taill_e_de_Cy"/>
      <w:pPr>
        <w:pStyle w:val="Heading1"/>
      </w:pPr>
      <w:r>
        <w:t>Architecture détaillée de CynAI</w:t>
      </w:r>
      <w:bookmarkEnd w:id="27"/>
    </w:p>
    <w:p>
      <w:bookmarkStart w:id="28" w:name="h_28_Contrat_et_boucle_de_g_n_rat"/>
      <w:pPr>
        <w:pStyle w:val="Heading2"/>
      </w:pPr>
      <w:r>
        <w:t>Contrat et boucle de génération</w:t>
      </w:r>
      <w:bookmarkEnd w:id="28"/>
    </w:p>
    <w:p>
      <w:r>
        <w:rPr>
          <w:rFonts w:ascii="Consolas" w:hAnsi="Consolas"/>
          <w:color w:val="4A339E"/>
          <w:sz w:val="18"/>
        </w:rPr>
        <w:t>POST /api/chat</w:t>
      </w:r>
      <w:r>
        <w:t xml:space="preserve"> accepte </w:t>
      </w:r>
      <w:r>
        <w:rPr>
          <w:rFonts w:ascii="Consolas" w:hAnsi="Consolas"/>
          <w:color w:val="4A339E"/>
          <w:sz w:val="18"/>
        </w:rPr>
        <w:t>messages</w:t>
      </w:r>
      <w:r>
        <w:t xml:space="preserve">, </w:t>
      </w:r>
      <w:r>
        <w:rPr>
          <w:rFonts w:ascii="Consolas" w:hAnsi="Consolas"/>
          <w:color w:val="4A339E"/>
          <w:sz w:val="18"/>
        </w:rPr>
        <w:t>locale</w:t>
      </w:r>
      <w:r>
        <w:t xml:space="preserve"> et un </w:t>
      </w:r>
      <w:r>
        <w:rPr>
          <w:rFonts w:ascii="Consolas" w:hAnsi="Consolas"/>
          <w:color w:val="4A339E"/>
          <w:sz w:val="18"/>
        </w:rPr>
        <w:t>conversationId</w:t>
      </w:r>
      <w:r>
        <w:t xml:space="preserve"> facultatif. Après validation minimale, la route résout l'utilisateur, crée ou relit le cookie invité, vérifie la propriété de la conversation et persiste le dernier tour utilisateur. Elle ouvre ensuite un </w:t>
      </w:r>
      <w:r>
        <w:rPr>
          <w:rFonts w:ascii="Consolas" w:hAnsi="Consolas"/>
          <w:color w:val="4A339E"/>
          <w:sz w:val="18"/>
        </w:rPr>
        <w:t>ReadableStream</w:t>
      </w:r>
      <w:r>
        <w:t xml:space="preserve"> NDJSON et émet l'identifiant canonique.</w:t>
      </w:r>
    </w:p>
    <w:p>
      <w:r>
        <w:t xml:space="preserve">Gemini </w:t>
      </w:r>
      <w:r>
        <w:rPr>
          <w:rFonts w:ascii="Consolas" w:hAnsi="Consolas"/>
          <w:color w:val="4A339E"/>
          <w:sz w:val="18"/>
        </w:rPr>
        <w:t>gemini-3.1-flash-lite</w:t>
      </w:r>
      <w:r>
        <w:t xml:space="preserve"> reçoit l'instruction système, les tours visibles et quatre déclarations de fonction. Chaque round utilise </w:t>
      </w:r>
      <w:r>
        <w:rPr>
          <w:rFonts w:ascii="Consolas" w:hAnsi="Consolas"/>
          <w:color w:val="4A339E"/>
          <w:sz w:val="18"/>
        </w:rPr>
        <w:t>generateContentStream</w:t>
      </w:r>
      <w:r>
        <w:t xml:space="preserve">. Les </w:t>
      </w:r>
      <w:r>
        <w:rPr>
          <w:rFonts w:ascii="Consolas" w:hAnsi="Consolas"/>
          <w:color w:val="4A339E"/>
          <w:sz w:val="18"/>
        </w:rPr>
        <w:t>Part</w:t>
      </w:r>
      <w:r>
        <w:t xml:space="preserve"> retournées sont conservées telles quelles, y compris les </w:t>
      </w:r>
      <w:r>
        <w:rPr>
          <w:rFonts w:ascii="Consolas" w:hAnsi="Consolas"/>
          <w:color w:val="4A339E"/>
          <w:sz w:val="18"/>
        </w:rPr>
        <w:t>thoughtSignature</w:t>
      </w:r>
      <w:r>
        <w:t xml:space="preserve">; les fragments de texte non </w:t>
      </w:r>
      <w:r>
        <w:rPr>
          <w:rFonts w:ascii="Consolas" w:hAnsi="Consolas"/>
          <w:color w:val="4A339E"/>
          <w:sz w:val="18"/>
        </w:rPr>
        <w:t>thought</w:t>
      </w:r>
      <w:r>
        <w:t xml:space="preserve"> sont diffusés. Si des </w:t>
      </w:r>
      <w:r>
        <w:rPr>
          <w:rFonts w:ascii="Consolas" w:hAnsi="Consolas"/>
          <w:color w:val="4A339E"/>
          <w:sz w:val="18"/>
        </w:rPr>
        <w:t>functionCall</w:t>
      </w:r>
      <w:r>
        <w:t xml:space="preserve"> existent, les outils sont exécutés, leurs cartes sont émises et leurs </w:t>
      </w:r>
      <w:r>
        <w:rPr>
          <w:rFonts w:ascii="Consolas" w:hAnsi="Consolas"/>
          <w:color w:val="4A339E"/>
          <w:sz w:val="18"/>
        </w:rPr>
        <w:t>functionResponse</w:t>
      </w:r>
      <w:r>
        <w:t xml:space="preserve"> réinjectées. La boucle est bornée à quatre rounds. En l'absence d'appel d'outil, la réponse est finale.</w:t>
      </w:r>
    </w:p>
    <w:p>
      <w:pPr>
        <w:keepNext/>
        <w:jc w:val="center"/>
      </w:pPr>
      <w:r>
        <w:drawing>
          <wp:inline xmlns:a="http://schemas.openxmlformats.org/drawingml/2006/main" xmlns:pic="http://schemas.openxmlformats.org/drawingml/2006/picture">
            <wp:extent cx="5652000" cy="5161342"/>
            <wp:docPr id="6" name="Picture 6" descr="Pipeline CynAI, appels d'outils et événements NDJSON" title="Pipeline CynAI, appels d'outils et événements NDJSON"/>
            <wp:cNvGraphicFramePr>
              <a:graphicFrameLocks noChangeAspect="1"/>
            </wp:cNvGraphicFramePr>
            <a:graphic>
              <a:graphicData uri="http://schemas.openxmlformats.org/drawingml/2006/picture">
                <pic:pic>
                  <pic:nvPicPr>
                    <pic:cNvPr id="0" name="07-seq-chatbot.png"/>
                    <pic:cNvPicPr/>
                  </pic:nvPicPr>
                  <pic:blipFill>
                    <a:blip r:embed="rId14"/>
                    <a:stretch>
                      <a:fillRect/>
                    </a:stretch>
                  </pic:blipFill>
                  <pic:spPr>
                    <a:xfrm>
                      <a:off x="0" y="0"/>
                      <a:ext cx="5652000" cy="5161342"/>
                    </a:xfrm>
                    <a:prstGeom prst="rect"/>
                  </pic:spPr>
                </pic:pic>
              </a:graphicData>
            </a:graphic>
          </wp:inline>
        </w:drawing>
      </w:r>
    </w:p>
    <w:p>
      <w:pPr>
        <w:pStyle w:val="CYNACaption"/>
      </w:pPr>
      <w:r>
        <w:t>Pipeline CynAI, appels d'outils et événements NDJSON</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311"/>
        <w:gridCol w:w="3934"/>
        <w:gridCol w:w="3934"/>
      </w:tblGrid>
      <w:tr>
        <w:trPr>
          <w:tblHeader w:val="true"/>
        </w:trPr>
        <w:tc>
          <w:tcPr>
            <w:tcW w:type="dxa" w:w="1311"/>
            <w:tcMar>
              <w:top w:w="80" w:type="dxa"/>
              <w:start w:w="110" w:type="dxa"/>
              <w:bottom w:w="80" w:type="dxa"/>
              <w:end w:w="110" w:type="dxa"/>
            </w:tcMar>
            <w:vAlign w:val="center"/>
            <w:shd w:fill="E8EEF5"/>
          </w:tcPr>
          <w:p>
            <w:pPr>
              <w:spacing w:after="0" w:line="240" w:lineRule="auto"/>
            </w:pPr>
            <w:r>
              <w:rPr>
                <w:b/>
                <w:color w:val="302082"/>
                <w:sz w:val="17"/>
              </w:rPr>
              <w:t>Événement</w:t>
            </w:r>
          </w:p>
        </w:tc>
        <w:tc>
          <w:tcPr>
            <w:tcW w:type="dxa" w:w="3934"/>
            <w:tcMar>
              <w:top w:w="80" w:type="dxa"/>
              <w:start w:w="110" w:type="dxa"/>
              <w:bottom w:w="80" w:type="dxa"/>
              <w:end w:w="110" w:type="dxa"/>
            </w:tcMar>
            <w:vAlign w:val="center"/>
            <w:shd w:fill="E8EEF5"/>
          </w:tcPr>
          <w:p>
            <w:pPr>
              <w:spacing w:after="0" w:line="240" w:lineRule="auto"/>
            </w:pPr>
            <w:r>
              <w:rPr>
                <w:b/>
                <w:color w:val="302082"/>
                <w:sz w:val="17"/>
              </w:rPr>
              <w:t>Charge utile</w:t>
            </w:r>
          </w:p>
        </w:tc>
        <w:tc>
          <w:tcPr>
            <w:tcW w:type="dxa" w:w="3934"/>
            <w:tcMar>
              <w:top w:w="80" w:type="dxa"/>
              <w:start w:w="110" w:type="dxa"/>
              <w:bottom w:w="80" w:type="dxa"/>
              <w:end w:w="110" w:type="dxa"/>
            </w:tcMar>
            <w:vAlign w:val="center"/>
            <w:shd w:fill="E8EEF5"/>
          </w:tcPr>
          <w:p>
            <w:pPr>
              <w:spacing w:after="0" w:line="240" w:lineRule="auto"/>
            </w:pPr>
            <w:r>
              <w:rPr>
                <w:b/>
                <w:color w:val="302082"/>
                <w:sz w:val="17"/>
              </w:rPr>
              <w:t>Rôle client</w:t>
            </w:r>
          </w:p>
        </w:tc>
      </w:tr>
      <w:tr>
        <w:tc>
          <w:tcPr>
            <w:tcW w:type="dxa" w:w="1311"/>
            <w:tcMar>
              <w:top w:w="80" w:type="dxa"/>
              <w:start w:w="110" w:type="dxa"/>
              <w:bottom w:w="80" w:type="dxa"/>
              <w:end w:w="110" w:type="dxa"/>
            </w:tcMar>
            <w:vAlign w:val="center"/>
          </w:tcPr>
          <w:p>
            <w:pPr>
              <w:spacing w:after="0" w:line="240" w:lineRule="auto"/>
            </w:pPr>
            <w:r>
              <w:rPr>
                <w:rFonts w:ascii="Consolas" w:hAnsi="Consolas"/>
                <w:color w:val="4A339E"/>
                <w:sz w:val="17"/>
              </w:rPr>
              <w:t>conversation</w:t>
            </w:r>
          </w:p>
        </w:tc>
        <w:tc>
          <w:tcPr>
            <w:tcW w:type="dxa" w:w="3934"/>
            <w:tcMar>
              <w:top w:w="80" w:type="dxa"/>
              <w:start w:w="110" w:type="dxa"/>
              <w:bottom w:w="80" w:type="dxa"/>
              <w:end w:w="110" w:type="dxa"/>
            </w:tcMar>
            <w:vAlign w:val="center"/>
          </w:tcPr>
          <w:p>
            <w:pPr>
              <w:spacing w:after="0" w:line="240" w:lineRule="auto"/>
            </w:pPr>
            <w:r>
              <w:rPr>
                <w:rFonts w:ascii="Consolas" w:hAnsi="Consolas"/>
                <w:color w:val="4A339E"/>
                <w:sz w:val="17"/>
              </w:rPr>
              <w:t>id</w:t>
            </w:r>
            <w:r>
              <w:rPr>
                <w:sz w:val="17"/>
              </w:rPr>
              <w:t xml:space="preserve"> UUID</w:t>
            </w:r>
          </w:p>
        </w:tc>
        <w:tc>
          <w:tcPr>
            <w:tcW w:type="dxa" w:w="3934"/>
            <w:tcMar>
              <w:top w:w="80" w:type="dxa"/>
              <w:start w:w="110" w:type="dxa"/>
              <w:bottom w:w="80" w:type="dxa"/>
              <w:end w:w="110" w:type="dxa"/>
            </w:tcMar>
            <w:vAlign w:val="center"/>
          </w:tcPr>
          <w:p>
            <w:pPr>
              <w:spacing w:after="0" w:line="240" w:lineRule="auto"/>
            </w:pPr>
            <w:r>
              <w:rPr>
                <w:sz w:val="17"/>
              </w:rPr>
              <w:t>Conserver l'identifiant pour le prochain tour</w:t>
            </w:r>
          </w:p>
        </w:tc>
      </w:tr>
      <w:tr>
        <w:tc>
          <w:tcPr>
            <w:tcW w:type="dxa" w:w="1311"/>
            <w:tcMar>
              <w:top w:w="80" w:type="dxa"/>
              <w:start w:w="110" w:type="dxa"/>
              <w:bottom w:w="80" w:type="dxa"/>
              <w:end w:w="110" w:type="dxa"/>
            </w:tcMar>
            <w:vAlign w:val="center"/>
            <w:shd w:fill="F8F7FC"/>
          </w:tcPr>
          <w:p>
            <w:pPr>
              <w:spacing w:after="0" w:line="240" w:lineRule="auto"/>
            </w:pPr>
            <w:r>
              <w:rPr>
                <w:rFonts w:ascii="Consolas" w:hAnsi="Consolas"/>
                <w:color w:val="4A339E"/>
                <w:sz w:val="17"/>
              </w:rPr>
              <w:t>text</w:t>
            </w:r>
          </w:p>
        </w:tc>
        <w:tc>
          <w:tcPr>
            <w:tcW w:type="dxa" w:w="3934"/>
            <w:tcMar>
              <w:top w:w="80" w:type="dxa"/>
              <w:start w:w="110" w:type="dxa"/>
              <w:bottom w:w="80" w:type="dxa"/>
              <w:end w:w="110" w:type="dxa"/>
            </w:tcMar>
            <w:vAlign w:val="center"/>
            <w:shd w:fill="F8F7FC"/>
          </w:tcPr>
          <w:p>
            <w:pPr>
              <w:spacing w:after="0" w:line="240" w:lineRule="auto"/>
            </w:pPr>
            <w:r>
              <w:rPr>
                <w:sz w:val="17"/>
              </w:rPr>
              <w:t xml:space="preserve">fragment </w:t>
            </w:r>
            <w:r>
              <w:rPr>
                <w:rFonts w:ascii="Consolas" w:hAnsi="Consolas"/>
                <w:color w:val="4A339E"/>
                <w:sz w:val="17"/>
              </w:rPr>
              <w:t>value</w:t>
            </w:r>
          </w:p>
        </w:tc>
        <w:tc>
          <w:tcPr>
            <w:tcW w:type="dxa" w:w="3934"/>
            <w:tcMar>
              <w:top w:w="80" w:type="dxa"/>
              <w:start w:w="110" w:type="dxa"/>
              <w:bottom w:w="80" w:type="dxa"/>
              <w:end w:w="110" w:type="dxa"/>
            </w:tcMar>
            <w:vAlign w:val="center"/>
            <w:shd w:fill="F8F7FC"/>
          </w:tcPr>
          <w:p>
            <w:pPr>
              <w:spacing w:after="0" w:line="240" w:lineRule="auto"/>
            </w:pPr>
            <w:r>
              <w:rPr>
                <w:sz w:val="17"/>
              </w:rPr>
              <w:t>Ajouter le texte progressivement</w:t>
            </w:r>
          </w:p>
        </w:tc>
      </w:tr>
      <w:tr>
        <w:tc>
          <w:tcPr>
            <w:tcW w:type="dxa" w:w="1311"/>
            <w:tcMar>
              <w:top w:w="80" w:type="dxa"/>
              <w:start w:w="110" w:type="dxa"/>
              <w:bottom w:w="80" w:type="dxa"/>
              <w:end w:w="110" w:type="dxa"/>
            </w:tcMar>
            <w:vAlign w:val="center"/>
          </w:tcPr>
          <w:p>
            <w:pPr>
              <w:spacing w:after="0" w:line="240" w:lineRule="auto"/>
            </w:pPr>
            <w:r>
              <w:rPr>
                <w:rFonts w:ascii="Consolas" w:hAnsi="Consolas"/>
                <w:color w:val="4A339E"/>
                <w:sz w:val="17"/>
              </w:rPr>
              <w:t>card</w:t>
            </w:r>
          </w:p>
        </w:tc>
        <w:tc>
          <w:tcPr>
            <w:tcW w:type="dxa" w:w="3934"/>
            <w:tcMar>
              <w:top w:w="80" w:type="dxa"/>
              <w:start w:w="110" w:type="dxa"/>
              <w:bottom w:w="80" w:type="dxa"/>
              <w:end w:w="110" w:type="dxa"/>
            </w:tcMar>
            <w:vAlign w:val="center"/>
          </w:tcPr>
          <w:p>
            <w:pPr>
              <w:spacing w:after="0" w:line="240" w:lineRule="auto"/>
            </w:pPr>
            <w:r>
              <w:rPr>
                <w:sz w:val="17"/>
              </w:rPr>
              <w:t xml:space="preserve">union </w:t>
            </w:r>
            <w:r>
              <w:rPr>
                <w:rFonts w:ascii="Consolas" w:hAnsi="Consolas"/>
                <w:color w:val="4A339E"/>
                <w:sz w:val="17"/>
              </w:rPr>
              <w:t>product</w:t>
            </w:r>
            <w:r>
              <w:rPr>
                <w:sz w:val="17"/>
              </w:rPr>
              <w:t xml:space="preserve">, </w:t>
            </w:r>
            <w:r>
              <w:rPr>
                <w:rFonts w:ascii="Consolas" w:hAnsi="Consolas"/>
                <w:color w:val="4A339E"/>
                <w:sz w:val="17"/>
              </w:rPr>
              <w:t>category</w:t>
            </w:r>
            <w:r>
              <w:rPr>
                <w:sz w:val="17"/>
              </w:rPr>
              <w:t xml:space="preserve">, </w:t>
            </w:r>
            <w:r>
              <w:rPr>
                <w:rFonts w:ascii="Consolas" w:hAnsi="Consolas"/>
                <w:color w:val="4A339E"/>
                <w:sz w:val="17"/>
              </w:rPr>
              <w:t>support</w:t>
            </w:r>
            <w:r>
              <w:rPr>
                <w:sz w:val="17"/>
              </w:rPr>
              <w:t xml:space="preserve">, </w:t>
            </w:r>
            <w:r>
              <w:rPr>
                <w:rFonts w:ascii="Consolas" w:hAnsi="Consolas"/>
                <w:color w:val="4A339E"/>
                <w:sz w:val="17"/>
              </w:rPr>
              <w:t>login</w:t>
            </w:r>
            <w:r>
              <w:rPr>
                <w:sz w:val="17"/>
              </w:rPr>
              <w:t xml:space="preserve"> ou </w:t>
            </w:r>
            <w:r>
              <w:rPr>
                <w:rFonts w:ascii="Consolas" w:hAnsi="Consolas"/>
                <w:color w:val="4A339E"/>
                <w:sz w:val="17"/>
              </w:rPr>
              <w:t>ticketForm</w:t>
            </w:r>
          </w:p>
        </w:tc>
        <w:tc>
          <w:tcPr>
            <w:tcW w:type="dxa" w:w="3934"/>
            <w:tcMar>
              <w:top w:w="80" w:type="dxa"/>
              <w:start w:w="110" w:type="dxa"/>
              <w:bottom w:w="80" w:type="dxa"/>
              <w:end w:w="110" w:type="dxa"/>
            </w:tcMar>
            <w:vAlign w:val="center"/>
          </w:tcPr>
          <w:p>
            <w:pPr>
              <w:spacing w:after="0" w:line="240" w:lineRule="auto"/>
            </w:pPr>
            <w:r>
              <w:rPr>
                <w:sz w:val="17"/>
              </w:rPr>
              <w:t>Rendre une carte interactive typée</w:t>
            </w:r>
          </w:p>
        </w:tc>
      </w:tr>
      <w:tr>
        <w:tc>
          <w:tcPr>
            <w:tcW w:type="dxa" w:w="1311"/>
            <w:tcMar>
              <w:top w:w="80" w:type="dxa"/>
              <w:start w:w="110" w:type="dxa"/>
              <w:bottom w:w="80" w:type="dxa"/>
              <w:end w:w="110" w:type="dxa"/>
            </w:tcMar>
            <w:vAlign w:val="center"/>
            <w:shd w:fill="F8F7FC"/>
          </w:tcPr>
          <w:p>
            <w:pPr>
              <w:spacing w:after="0" w:line="240" w:lineRule="auto"/>
            </w:pPr>
            <w:r>
              <w:rPr>
                <w:rFonts w:ascii="Consolas" w:hAnsi="Consolas"/>
                <w:color w:val="4A339E"/>
                <w:sz w:val="17"/>
              </w:rPr>
              <w:t>done</w:t>
            </w:r>
          </w:p>
        </w:tc>
        <w:tc>
          <w:tcPr>
            <w:tcW w:type="dxa" w:w="3934"/>
            <w:tcMar>
              <w:top w:w="80" w:type="dxa"/>
              <w:start w:w="110" w:type="dxa"/>
              <w:bottom w:w="80" w:type="dxa"/>
              <w:end w:w="110" w:type="dxa"/>
            </w:tcMar>
            <w:vAlign w:val="center"/>
            <w:shd w:fill="F8F7FC"/>
          </w:tcPr>
          <w:p>
            <w:pPr>
              <w:spacing w:after="0" w:line="240" w:lineRule="auto"/>
            </w:pPr>
            <w:r>
              <w:rPr>
                <w:sz w:val="17"/>
              </w:rPr>
              <w:t>aucune</w:t>
            </w:r>
          </w:p>
        </w:tc>
        <w:tc>
          <w:tcPr>
            <w:tcW w:type="dxa" w:w="3934"/>
            <w:tcMar>
              <w:top w:w="80" w:type="dxa"/>
              <w:start w:w="110" w:type="dxa"/>
              <w:bottom w:w="80" w:type="dxa"/>
              <w:end w:w="110" w:type="dxa"/>
            </w:tcMar>
            <w:vAlign w:val="center"/>
            <w:shd w:fill="F8F7FC"/>
          </w:tcPr>
          <w:p>
            <w:pPr>
              <w:spacing w:after="0" w:line="240" w:lineRule="auto"/>
            </w:pPr>
            <w:r>
              <w:rPr>
                <w:sz w:val="17"/>
              </w:rPr>
              <w:t>Clore proprement le tour</w:t>
            </w:r>
          </w:p>
        </w:tc>
      </w:tr>
      <w:tr>
        <w:tc>
          <w:tcPr>
            <w:tcW w:type="dxa" w:w="1311"/>
            <w:tcMar>
              <w:top w:w="80" w:type="dxa"/>
              <w:start w:w="110" w:type="dxa"/>
              <w:bottom w:w="80" w:type="dxa"/>
              <w:end w:w="110" w:type="dxa"/>
            </w:tcMar>
            <w:vAlign w:val="center"/>
          </w:tcPr>
          <w:p>
            <w:pPr>
              <w:spacing w:after="0" w:line="240" w:lineRule="auto"/>
            </w:pPr>
            <w:r>
              <w:rPr>
                <w:rFonts w:ascii="Consolas" w:hAnsi="Consolas"/>
                <w:color w:val="4A339E"/>
                <w:sz w:val="17"/>
              </w:rPr>
              <w:t>error</w:t>
            </w:r>
          </w:p>
        </w:tc>
        <w:tc>
          <w:tcPr>
            <w:tcW w:type="dxa" w:w="3934"/>
            <w:tcMar>
              <w:top w:w="80" w:type="dxa"/>
              <w:start w:w="110" w:type="dxa"/>
              <w:bottom w:w="80" w:type="dxa"/>
              <w:end w:w="110" w:type="dxa"/>
            </w:tcMar>
            <w:vAlign w:val="center"/>
          </w:tcPr>
          <w:p>
            <w:pPr>
              <w:spacing w:after="0" w:line="240" w:lineRule="auto"/>
            </w:pPr>
            <w:r>
              <w:rPr>
                <w:sz w:val="17"/>
              </w:rPr>
              <w:t>message générique</w:t>
            </w:r>
          </w:p>
        </w:tc>
        <w:tc>
          <w:tcPr>
            <w:tcW w:type="dxa" w:w="3934"/>
            <w:tcMar>
              <w:top w:w="80" w:type="dxa"/>
              <w:start w:w="110" w:type="dxa"/>
              <w:bottom w:w="80" w:type="dxa"/>
              <w:end w:w="110" w:type="dxa"/>
            </w:tcMar>
            <w:vAlign w:val="center"/>
          </w:tcPr>
          <w:p>
            <w:pPr>
              <w:spacing w:after="0" w:line="240" w:lineRule="auto"/>
            </w:pPr>
            <w:r>
              <w:rPr>
                <w:sz w:val="17"/>
              </w:rPr>
              <w:t>Signaler l'échec sans exposer l'exception</w:t>
            </w:r>
          </w:p>
        </w:tc>
      </w:tr>
    </w:tbl>
    <w:p>
      <w:pPr>
        <w:spacing w:after="0"/>
      </w:pPr>
    </w:p>
    <w:p>
      <w:bookmarkStart w:id="29" w:name="h_29_Outils_et_minimisation"/>
      <w:pPr>
        <w:pStyle w:val="Heading2"/>
      </w:pPr>
      <w:r>
        <w:t>Outils et minimisation</w:t>
      </w:r>
      <w:bookmarkEnd w:id="29"/>
    </w:p>
    <w:p>
      <w:r>
        <w:rPr>
          <w:rFonts w:ascii="Consolas" w:hAnsi="Consolas"/>
          <w:color w:val="4A339E"/>
          <w:sz w:val="18"/>
        </w:rPr>
        <w:t>search_products</w:t>
      </w:r>
      <w:r>
        <w:t xml:space="preserve"> réutilise la recherche publique et transmet trois produits maximum. </w:t>
      </w:r>
      <w:r>
        <w:rPr>
          <w:rFonts w:ascii="Consolas" w:hAnsi="Consolas"/>
          <w:color w:val="4A339E"/>
          <w:sz w:val="18"/>
        </w:rPr>
        <w:t>list_categories</w:t>
      </w:r>
      <w:r>
        <w:t xml:space="preserve"> transmet trois catégories maximum et le total. </w:t>
      </w:r>
      <w:r>
        <w:rPr>
          <w:rFonts w:ascii="Consolas" w:hAnsi="Consolas"/>
          <w:color w:val="4A339E"/>
          <w:sz w:val="18"/>
        </w:rPr>
        <w:t>show_support_page</w:t>
      </w:r>
      <w:r>
        <w:t xml:space="preserve"> renvoie une carte de navigation. </w:t>
      </w:r>
      <w:r>
        <w:rPr>
          <w:rFonts w:ascii="Consolas" w:hAnsi="Consolas"/>
          <w:color w:val="4A339E"/>
          <w:sz w:val="18"/>
        </w:rPr>
        <w:t>open_support_form</w:t>
      </w:r>
      <w:r>
        <w:t xml:space="preserve"> récupère uniquement les commandes du compte connecté et préremplit son e-mail. Gemini reçoit une projection compacte, tandis que le navigateur reçoit une carte structurée ; aucun outil ne lui remet un enregistrement de profil complet, une clé ou une requête générique.</w:t>
      </w:r>
    </w:p>
    <w:p>
      <w:bookmarkStart w:id="30" w:name="h_30_Propri_t___r_tention_et_audi"/>
      <w:pPr>
        <w:pStyle w:val="Heading2"/>
      </w:pPr>
      <w:r>
        <w:t>Propriété, rétention et audit</w:t>
      </w:r>
      <w:bookmarkEnd w:id="30"/>
    </w:p>
    <w:p>
      <w:r>
        <w:t xml:space="preserve">Le cookie </w:t>
      </w:r>
      <w:r>
        <w:rPr>
          <w:rFonts w:ascii="Consolas" w:hAnsi="Consolas"/>
          <w:color w:val="4A339E"/>
          <w:sz w:val="18"/>
        </w:rPr>
        <w:t>cyna_chat_guest</w:t>
      </w:r>
      <w:r>
        <w:t xml:space="preserve"> est HTTP-only, SameSite Lax, Secure en production et expire avec la rétention de 90 jours. La base ne reçoit que </w:t>
      </w:r>
      <w:r>
        <w:rPr>
          <w:rFonts w:ascii="Consolas" w:hAnsi="Consolas"/>
          <w:color w:val="4A339E"/>
          <w:sz w:val="18"/>
        </w:rPr>
        <w:t>SHA-256(cookie)</w:t>
      </w:r>
      <w:r>
        <w:t xml:space="preserve">. Une conversation a soit </w:t>
      </w:r>
      <w:r>
        <w:rPr>
          <w:rFonts w:ascii="Consolas" w:hAnsi="Consolas"/>
          <w:color w:val="4A339E"/>
          <w:sz w:val="18"/>
        </w:rPr>
        <w:t>id_compte</w:t>
      </w:r>
      <w:r>
        <w:t xml:space="preserve">, soit </w:t>
      </w:r>
      <w:r>
        <w:rPr>
          <w:rFonts w:ascii="Consolas" w:hAnsi="Consolas"/>
          <w:color w:val="4A339E"/>
          <w:sz w:val="18"/>
        </w:rPr>
        <w:t>guest_session_hash</w:t>
      </w:r>
      <w:r>
        <w:t>. La reprise vérifie cette propriété avant insertion. Les messages conservent rôle, contenu, statut et métadonnées sûres. La purge est implémentée par RPC mais son ordonnancement reste une responsabilité d'exploitation.</w:t>
      </w:r>
    </w:p>
    <w:p>
      <w:r>
        <w:t xml:space="preserve">Les erreurs de persistance et de génération sont capturées dans Sentry avec des tags </w:t>
      </w:r>
      <w:r>
        <w:rPr>
          <w:rFonts w:ascii="Consolas" w:hAnsi="Consolas"/>
          <w:color w:val="4A339E"/>
          <w:sz w:val="18"/>
        </w:rPr>
        <w:t>area</w:t>
      </w:r>
      <w:r>
        <w:t xml:space="preserve"> et </w:t>
      </w:r>
      <w:r>
        <w:rPr>
          <w:rFonts w:ascii="Consolas" w:hAnsi="Consolas"/>
          <w:color w:val="4A339E"/>
          <w:sz w:val="18"/>
        </w:rPr>
        <w:t>stage</w:t>
      </w:r>
      <w:r>
        <w:t xml:space="preserve">, après suppression des utilisateurs, corps, cookies, autorisations et en-têtes privés. Le client n'envoie pas le contenu du cookie. Les limites suivies sont le rate limiting absent, les tailles peu bornées, la perte du </w:t>
      </w:r>
      <w:r>
        <w:rPr>
          <w:rFonts w:ascii="Consolas" w:hAnsi="Consolas"/>
          <w:color w:val="4A339E"/>
          <w:sz w:val="18"/>
        </w:rPr>
        <w:t>conversationId</w:t>
      </w:r>
      <w:r>
        <w:t xml:space="preserve"> au rechargement et la couverture API incomplète.</w:t>
      </w:r>
    </w:p>
    <w:p>
      <w:bookmarkStart w:id="31" w:name="h_31_Qualit__logicielle_et_modes_"/>
      <w:pPr>
        <w:pStyle w:val="Heading1"/>
      </w:pPr>
      <w:r>
        <w:t>Qualité logicielle et modes de défaillance</w:t>
      </w:r>
      <w:bookmarkEnd w:id="31"/>
    </w:p>
    <w:p>
      <w:r>
        <w:t>La suite Vitest couvre principalement les règles de domaine et les adaptateurs isolables : panier, promotions, états de commande et d'abonnement, plages de rapport, agrégations, outils CynAI, propriété/persistance du chat, filtrage Sentry et comportements Stripe. Elle contient 112 tests dans l'état documenté. La CI exige que ce nombre ne régresse pas implicitement, mais le volume de tests n'est pas assimilé à un taux de couverture exhaustif.</w:t>
      </w:r>
    </w:p>
    <w:p>
      <w:r>
        <w:t xml:space="preserve">Le script </w:t>
      </w:r>
      <w:r>
        <w:rPr>
          <w:rFonts w:ascii="Consolas" w:hAnsi="Consolas"/>
          <w:color w:val="4A339E"/>
          <w:sz w:val="18"/>
        </w:rPr>
        <w:t>smoke:routes</w:t>
      </w:r>
      <w:r>
        <w:t xml:space="preserve"> vérifie que les routes client essentielles répondent sur une instance déployée. Les tests de preview complètent cette sonde par une validation humaine de la recherche, de l'authentification, du chatbot, du checkout Stripe test et du rapport admin. Les scénarios end-to-end multi-fournisseurs ne sont pas encore automatisés ; les routes chat et webhook restent moins couvertes que la logique métier qu'elles orchestrent.</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000"/>
        <w:gridCol w:w="2353"/>
        <w:gridCol w:w="2353"/>
        <w:gridCol w:w="2471"/>
      </w:tblGrid>
      <w:tr>
        <w:trPr>
          <w:tblHeader w:val="true"/>
        </w:trPr>
        <w:tc>
          <w:tcPr>
            <w:tcW w:type="dxa" w:w="2000"/>
            <w:tcMar>
              <w:top w:w="80" w:type="dxa"/>
              <w:start w:w="110" w:type="dxa"/>
              <w:bottom w:w="80" w:type="dxa"/>
              <w:end w:w="110" w:type="dxa"/>
            </w:tcMar>
            <w:vAlign w:val="center"/>
            <w:shd w:fill="E8EEF5"/>
          </w:tcPr>
          <w:p>
            <w:pPr>
              <w:spacing w:after="0" w:line="240" w:lineRule="auto"/>
            </w:pPr>
            <w:r>
              <w:rPr>
                <w:b/>
                <w:color w:val="302082"/>
                <w:sz w:val="17"/>
              </w:rPr>
              <w:t>Défaillance</w:t>
            </w:r>
          </w:p>
        </w:tc>
        <w:tc>
          <w:tcPr>
            <w:tcW w:type="dxa" w:w="2353"/>
            <w:tcMar>
              <w:top w:w="80" w:type="dxa"/>
              <w:start w:w="110" w:type="dxa"/>
              <w:bottom w:w="80" w:type="dxa"/>
              <w:end w:w="110" w:type="dxa"/>
            </w:tcMar>
            <w:vAlign w:val="center"/>
            <w:shd w:fill="E8EEF5"/>
          </w:tcPr>
          <w:p>
            <w:pPr>
              <w:spacing w:after="0" w:line="240" w:lineRule="auto"/>
            </w:pPr>
            <w:r>
              <w:rPr>
                <w:b/>
                <w:color w:val="302082"/>
                <w:sz w:val="17"/>
              </w:rPr>
              <w:t>Comportement attendu</w:t>
            </w:r>
          </w:p>
        </w:tc>
        <w:tc>
          <w:tcPr>
            <w:tcW w:type="dxa" w:w="2353"/>
            <w:tcMar>
              <w:top w:w="80" w:type="dxa"/>
              <w:start w:w="110" w:type="dxa"/>
              <w:bottom w:w="80" w:type="dxa"/>
              <w:end w:w="110" w:type="dxa"/>
            </w:tcMar>
            <w:vAlign w:val="center"/>
            <w:shd w:fill="E8EEF5"/>
          </w:tcPr>
          <w:p>
            <w:pPr>
              <w:spacing w:after="0" w:line="240" w:lineRule="auto"/>
            </w:pPr>
            <w:r>
              <w:rPr>
                <w:b/>
                <w:color w:val="302082"/>
                <w:sz w:val="17"/>
              </w:rPr>
              <w:t>Signal</w:t>
            </w:r>
          </w:p>
        </w:tc>
        <w:tc>
          <w:tcPr>
            <w:tcW w:type="dxa" w:w="2471"/>
            <w:tcMar>
              <w:top w:w="80" w:type="dxa"/>
              <w:start w:w="110" w:type="dxa"/>
              <w:bottom w:w="80" w:type="dxa"/>
              <w:end w:w="110" w:type="dxa"/>
            </w:tcMar>
            <w:vAlign w:val="center"/>
            <w:shd w:fill="E8EEF5"/>
          </w:tcPr>
          <w:p>
            <w:pPr>
              <w:spacing w:after="0" w:line="240" w:lineRule="auto"/>
            </w:pPr>
            <w:r>
              <w:rPr>
                <w:b/>
                <w:color w:val="302082"/>
                <w:sz w:val="17"/>
              </w:rPr>
              <w:t>Reprise</w:t>
            </w:r>
          </w:p>
        </w:tc>
      </w:tr>
      <w:tr>
        <w:tc>
          <w:tcPr>
            <w:tcW w:type="dxa" w:w="2000"/>
            <w:tcMar>
              <w:top w:w="80" w:type="dxa"/>
              <w:start w:w="110" w:type="dxa"/>
              <w:bottom w:w="80" w:type="dxa"/>
              <w:end w:w="110" w:type="dxa"/>
            </w:tcMar>
            <w:vAlign w:val="center"/>
          </w:tcPr>
          <w:p>
            <w:pPr>
              <w:spacing w:after="0" w:line="240" w:lineRule="auto"/>
            </w:pPr>
            <w:r>
              <w:rPr>
                <w:sz w:val="17"/>
              </w:rPr>
              <w:t>Supabase inaccessible avant chat</w:t>
            </w:r>
          </w:p>
        </w:tc>
        <w:tc>
          <w:tcPr>
            <w:tcW w:type="dxa" w:w="2353"/>
            <w:tcMar>
              <w:top w:w="80" w:type="dxa"/>
              <w:start w:w="110" w:type="dxa"/>
              <w:bottom w:w="80" w:type="dxa"/>
              <w:end w:w="110" w:type="dxa"/>
            </w:tcMar>
            <w:vAlign w:val="center"/>
          </w:tcPr>
          <w:p>
            <w:pPr>
              <w:spacing w:after="0" w:line="240" w:lineRule="auto"/>
            </w:pPr>
            <w:r>
              <w:rPr>
                <w:sz w:val="17"/>
              </w:rPr>
              <w:t>réponse 503 avant ouverture du stream</w:t>
            </w:r>
          </w:p>
        </w:tc>
        <w:tc>
          <w:tcPr>
            <w:tcW w:type="dxa" w:w="2353"/>
            <w:tcMar>
              <w:top w:w="80" w:type="dxa"/>
              <w:start w:w="110" w:type="dxa"/>
              <w:bottom w:w="80" w:type="dxa"/>
              <w:end w:w="110" w:type="dxa"/>
            </w:tcMar>
            <w:vAlign w:val="center"/>
          </w:tcPr>
          <w:p>
            <w:pPr>
              <w:spacing w:after="0" w:line="240" w:lineRule="auto"/>
            </w:pPr>
            <w:r>
              <w:rPr>
                <w:sz w:val="17"/>
              </w:rPr>
              <w:t xml:space="preserve">Sentry </w:t>
            </w:r>
            <w:r>
              <w:rPr>
                <w:rFonts w:ascii="Consolas" w:hAnsi="Consolas"/>
                <w:color w:val="4A339E"/>
                <w:sz w:val="17"/>
              </w:rPr>
              <w:t>area=chat</w:t>
            </w:r>
            <w:r>
              <w:rPr>
                <w:sz w:val="17"/>
              </w:rPr>
              <w:t xml:space="preserve"> et état fournisseur</w:t>
            </w:r>
          </w:p>
        </w:tc>
        <w:tc>
          <w:tcPr>
            <w:tcW w:type="dxa" w:w="2471"/>
            <w:tcMar>
              <w:top w:w="80" w:type="dxa"/>
              <w:start w:w="110" w:type="dxa"/>
              <w:bottom w:w="80" w:type="dxa"/>
              <w:end w:w="110" w:type="dxa"/>
            </w:tcMar>
            <w:vAlign w:val="center"/>
          </w:tcPr>
          <w:p>
            <w:pPr>
              <w:spacing w:after="0" w:line="240" w:lineRule="auto"/>
            </w:pPr>
            <w:r>
              <w:rPr>
                <w:sz w:val="17"/>
              </w:rPr>
              <w:t>rétablir persistance puis retester propriété</w:t>
            </w:r>
          </w:p>
        </w:tc>
      </w:tr>
      <w:tr>
        <w:tc>
          <w:tcPr>
            <w:tcW w:type="dxa" w:w="2000"/>
            <w:tcMar>
              <w:top w:w="80" w:type="dxa"/>
              <w:start w:w="110" w:type="dxa"/>
              <w:bottom w:w="80" w:type="dxa"/>
              <w:end w:w="110" w:type="dxa"/>
            </w:tcMar>
            <w:vAlign w:val="center"/>
            <w:shd w:fill="F8F7FC"/>
          </w:tcPr>
          <w:p>
            <w:pPr>
              <w:spacing w:after="0" w:line="240" w:lineRule="auto"/>
            </w:pPr>
            <w:r>
              <w:rPr>
                <w:sz w:val="17"/>
              </w:rPr>
              <w:t>Gemini en erreur après ouverture</w:t>
            </w:r>
          </w:p>
        </w:tc>
        <w:tc>
          <w:tcPr>
            <w:tcW w:type="dxa" w:w="2353"/>
            <w:tcMar>
              <w:top w:w="80" w:type="dxa"/>
              <w:start w:w="110" w:type="dxa"/>
              <w:bottom w:w="80" w:type="dxa"/>
              <w:end w:w="110" w:type="dxa"/>
            </w:tcMar>
            <w:vAlign w:val="center"/>
            <w:shd w:fill="F8F7FC"/>
          </w:tcPr>
          <w:p>
            <w:pPr>
              <w:spacing w:after="0" w:line="240" w:lineRule="auto"/>
            </w:pPr>
            <w:r>
              <w:rPr>
                <w:sz w:val="17"/>
              </w:rPr>
              <w:t xml:space="preserve">événement NDJSON </w:t>
            </w:r>
            <w:r>
              <w:rPr>
                <w:rFonts w:ascii="Consolas" w:hAnsi="Consolas"/>
                <w:color w:val="4A339E"/>
                <w:sz w:val="17"/>
              </w:rPr>
              <w:t>error</w:t>
            </w:r>
            <w:r>
              <w:rPr>
                <w:sz w:val="17"/>
              </w:rPr>
              <w:t>, pas de stack</w:t>
            </w:r>
          </w:p>
        </w:tc>
        <w:tc>
          <w:tcPr>
            <w:tcW w:type="dxa" w:w="2353"/>
            <w:tcMar>
              <w:top w:w="80" w:type="dxa"/>
              <w:start w:w="110" w:type="dxa"/>
              <w:bottom w:w="80" w:type="dxa"/>
              <w:end w:w="110" w:type="dxa"/>
            </w:tcMar>
            <w:vAlign w:val="center"/>
            <w:shd w:fill="F8F7FC"/>
          </w:tcPr>
          <w:p>
            <w:pPr>
              <w:spacing w:after="0" w:line="240" w:lineRule="auto"/>
            </w:pPr>
            <w:r>
              <w:rPr>
                <w:sz w:val="17"/>
              </w:rPr>
              <w:t>capture filtrée, quota fournisseur</w:t>
            </w:r>
          </w:p>
        </w:tc>
        <w:tc>
          <w:tcPr>
            <w:tcW w:type="dxa" w:w="2471"/>
            <w:tcMar>
              <w:top w:w="80" w:type="dxa"/>
              <w:start w:w="110" w:type="dxa"/>
              <w:bottom w:w="80" w:type="dxa"/>
              <w:end w:w="110" w:type="dxa"/>
            </w:tcMar>
            <w:vAlign w:val="center"/>
            <w:shd w:fill="F8F7FC"/>
          </w:tcPr>
          <w:p>
            <w:pPr>
              <w:spacing w:after="0" w:line="240" w:lineRule="auto"/>
            </w:pPr>
            <w:r>
              <w:rPr>
                <w:sz w:val="17"/>
              </w:rPr>
              <w:t>nouveau tour contrôlé après correction</w:t>
            </w:r>
          </w:p>
        </w:tc>
      </w:tr>
      <w:tr>
        <w:tc>
          <w:tcPr>
            <w:tcW w:type="dxa" w:w="2000"/>
            <w:tcMar>
              <w:top w:w="80" w:type="dxa"/>
              <w:start w:w="110" w:type="dxa"/>
              <w:bottom w:w="80" w:type="dxa"/>
              <w:end w:w="110" w:type="dxa"/>
            </w:tcMar>
            <w:vAlign w:val="center"/>
          </w:tcPr>
          <w:p>
            <w:pPr>
              <w:spacing w:after="0" w:line="240" w:lineRule="auto"/>
            </w:pPr>
            <w:r>
              <w:rPr>
                <w:sz w:val="17"/>
              </w:rPr>
              <w:t>Signature Stripe invalide</w:t>
            </w:r>
          </w:p>
        </w:tc>
        <w:tc>
          <w:tcPr>
            <w:tcW w:type="dxa" w:w="2353"/>
            <w:tcMar>
              <w:top w:w="80" w:type="dxa"/>
              <w:start w:w="110" w:type="dxa"/>
              <w:bottom w:w="80" w:type="dxa"/>
              <w:end w:w="110" w:type="dxa"/>
            </w:tcMar>
            <w:vAlign w:val="center"/>
          </w:tcPr>
          <w:p>
            <w:pPr>
              <w:spacing w:after="0" w:line="240" w:lineRule="auto"/>
            </w:pPr>
            <w:r>
              <w:rPr>
                <w:sz w:val="17"/>
              </w:rPr>
              <w:t>400, aucune mutation</w:t>
            </w:r>
          </w:p>
        </w:tc>
        <w:tc>
          <w:tcPr>
            <w:tcW w:type="dxa" w:w="2353"/>
            <w:tcMar>
              <w:top w:w="80" w:type="dxa"/>
              <w:start w:w="110" w:type="dxa"/>
              <w:bottom w:w="80" w:type="dxa"/>
              <w:end w:w="110" w:type="dxa"/>
            </w:tcMar>
            <w:vAlign w:val="center"/>
          </w:tcPr>
          <w:p>
            <w:pPr>
              <w:spacing w:after="0" w:line="240" w:lineRule="auto"/>
            </w:pPr>
            <w:r>
              <w:rPr>
                <w:sz w:val="17"/>
              </w:rPr>
              <w:t>métrique/log webhook sans corps sensible</w:t>
            </w:r>
          </w:p>
        </w:tc>
        <w:tc>
          <w:tcPr>
            <w:tcW w:type="dxa" w:w="2471"/>
            <w:tcMar>
              <w:top w:w="80" w:type="dxa"/>
              <w:start w:w="110" w:type="dxa"/>
              <w:bottom w:w="80" w:type="dxa"/>
              <w:end w:w="110" w:type="dxa"/>
            </w:tcMar>
            <w:vAlign w:val="center"/>
          </w:tcPr>
          <w:p>
            <w:pPr>
              <w:spacing w:after="0" w:line="240" w:lineRule="auto"/>
            </w:pPr>
            <w:r>
              <w:rPr>
                <w:sz w:val="17"/>
              </w:rPr>
              <w:t>corriger secret ou endpoint, ne pas rejouer comme valide</w:t>
            </w:r>
          </w:p>
        </w:tc>
      </w:tr>
      <w:tr>
        <w:tc>
          <w:tcPr>
            <w:tcW w:type="dxa" w:w="2000"/>
            <w:tcMar>
              <w:top w:w="80" w:type="dxa"/>
              <w:start w:w="110" w:type="dxa"/>
              <w:bottom w:w="80" w:type="dxa"/>
              <w:end w:w="110" w:type="dxa"/>
            </w:tcMar>
            <w:vAlign w:val="center"/>
            <w:shd w:fill="F8F7FC"/>
          </w:tcPr>
          <w:p>
            <w:pPr>
              <w:spacing w:after="0" w:line="240" w:lineRule="auto"/>
            </w:pPr>
            <w:r>
              <w:rPr>
                <w:sz w:val="17"/>
              </w:rPr>
              <w:t>Traitement Stripe valide en erreur</w:t>
            </w:r>
          </w:p>
        </w:tc>
        <w:tc>
          <w:tcPr>
            <w:tcW w:type="dxa" w:w="2353"/>
            <w:tcMar>
              <w:top w:w="80" w:type="dxa"/>
              <w:start w:w="110" w:type="dxa"/>
              <w:bottom w:w="80" w:type="dxa"/>
              <w:end w:w="110" w:type="dxa"/>
            </w:tcMar>
            <w:vAlign w:val="center"/>
            <w:shd w:fill="F8F7FC"/>
          </w:tcPr>
          <w:p>
            <w:pPr>
              <w:spacing w:after="0" w:line="240" w:lineRule="auto"/>
            </w:pPr>
            <w:r>
              <w:rPr>
                <w:sz w:val="17"/>
              </w:rPr>
              <w:t>500 pour obtenir un retry</w:t>
            </w:r>
          </w:p>
        </w:tc>
        <w:tc>
          <w:tcPr>
            <w:tcW w:type="dxa" w:w="2353"/>
            <w:tcMar>
              <w:top w:w="80" w:type="dxa"/>
              <w:start w:w="110" w:type="dxa"/>
              <w:bottom w:w="80" w:type="dxa"/>
              <w:end w:w="110" w:type="dxa"/>
            </w:tcMar>
            <w:vAlign w:val="center"/>
            <w:shd w:fill="F8F7FC"/>
          </w:tcPr>
          <w:p>
            <w:pPr>
              <w:spacing w:after="0" w:line="240" w:lineRule="auto"/>
            </w:pPr>
            <w:r>
              <w:rPr>
                <w:sz w:val="17"/>
              </w:rPr>
              <w:t>Dashboard Stripe et Sentry filtré</w:t>
            </w:r>
          </w:p>
        </w:tc>
        <w:tc>
          <w:tcPr>
            <w:tcW w:type="dxa" w:w="2471"/>
            <w:tcMar>
              <w:top w:w="80" w:type="dxa"/>
              <w:start w:w="110" w:type="dxa"/>
              <w:bottom w:w="80" w:type="dxa"/>
              <w:end w:w="110" w:type="dxa"/>
            </w:tcMar>
            <w:vAlign w:val="center"/>
            <w:shd w:fill="F8F7FC"/>
          </w:tcPr>
          <w:p>
            <w:pPr>
              <w:spacing w:after="0" w:line="240" w:lineRule="auto"/>
            </w:pPr>
            <w:r>
              <w:rPr>
                <w:sz w:val="17"/>
              </w:rPr>
              <w:t>corriger puis laisser/rejouer l'événement</w:t>
            </w:r>
          </w:p>
        </w:tc>
      </w:tr>
      <w:tr>
        <w:tc>
          <w:tcPr>
            <w:tcW w:type="dxa" w:w="2000"/>
            <w:tcMar>
              <w:top w:w="80" w:type="dxa"/>
              <w:start w:w="110" w:type="dxa"/>
              <w:bottom w:w="80" w:type="dxa"/>
              <w:end w:w="110" w:type="dxa"/>
            </w:tcMar>
            <w:vAlign w:val="center"/>
          </w:tcPr>
          <w:p>
            <w:pPr>
              <w:spacing w:after="0" w:line="240" w:lineRule="auto"/>
            </w:pPr>
            <w:r>
              <w:rPr>
                <w:sz w:val="17"/>
              </w:rPr>
              <w:t>Rapport impossible</w:t>
            </w:r>
          </w:p>
        </w:tc>
        <w:tc>
          <w:tcPr>
            <w:tcW w:type="dxa" w:w="2353"/>
            <w:tcMar>
              <w:top w:w="80" w:type="dxa"/>
              <w:start w:w="110" w:type="dxa"/>
              <w:bottom w:w="80" w:type="dxa"/>
              <w:end w:w="110" w:type="dxa"/>
            </w:tcMar>
            <w:vAlign w:val="center"/>
          </w:tcPr>
          <w:p>
            <w:pPr>
              <w:spacing w:after="0" w:line="240" w:lineRule="auto"/>
            </w:pPr>
            <w:r>
              <w:rPr>
                <w:sz w:val="17"/>
              </w:rPr>
              <w:t>JSON 500, aucun PDF partiel mis en cache</w:t>
            </w:r>
          </w:p>
        </w:tc>
        <w:tc>
          <w:tcPr>
            <w:tcW w:type="dxa" w:w="2353"/>
            <w:tcMar>
              <w:top w:w="80" w:type="dxa"/>
              <w:start w:w="110" w:type="dxa"/>
              <w:bottom w:w="80" w:type="dxa"/>
              <w:end w:w="110" w:type="dxa"/>
            </w:tcMar>
            <w:vAlign w:val="center"/>
          </w:tcPr>
          <w:p>
            <w:pPr>
              <w:spacing w:after="0" w:line="240" w:lineRule="auto"/>
            </w:pPr>
            <w:r>
              <w:rPr>
                <w:rFonts w:ascii="Consolas" w:hAnsi="Consolas"/>
                <w:color w:val="4A339E"/>
                <w:sz w:val="17"/>
              </w:rPr>
              <w:t>area=commerce-report</w:t>
            </w:r>
          </w:p>
        </w:tc>
        <w:tc>
          <w:tcPr>
            <w:tcW w:type="dxa" w:w="2471"/>
            <w:tcMar>
              <w:top w:w="80" w:type="dxa"/>
              <w:start w:w="110" w:type="dxa"/>
              <w:bottom w:w="80" w:type="dxa"/>
              <w:end w:w="110" w:type="dxa"/>
            </w:tcMar>
            <w:vAlign w:val="center"/>
          </w:tcPr>
          <w:p>
            <w:pPr>
              <w:spacing w:after="0" w:line="240" w:lineRule="auto"/>
            </w:pPr>
            <w:r>
              <w:rPr>
                <w:sz w:val="17"/>
              </w:rPr>
              <w:t>corriger agrégation/rendu puis régénérer</w:t>
            </w:r>
          </w:p>
        </w:tc>
      </w:tr>
      <w:tr>
        <w:tc>
          <w:tcPr>
            <w:tcW w:type="dxa" w:w="2000"/>
            <w:tcMar>
              <w:top w:w="80" w:type="dxa"/>
              <w:start w:w="110" w:type="dxa"/>
              <w:bottom w:w="80" w:type="dxa"/>
              <w:end w:w="110" w:type="dxa"/>
            </w:tcMar>
            <w:vAlign w:val="center"/>
            <w:shd w:fill="F8F7FC"/>
          </w:tcPr>
          <w:p>
            <w:pPr>
              <w:spacing w:after="0" w:line="240" w:lineRule="auto"/>
            </w:pPr>
            <w:r>
              <w:rPr>
                <w:sz w:val="17"/>
              </w:rPr>
              <w:t>Build ou source maps en échec</w:t>
            </w:r>
          </w:p>
        </w:tc>
        <w:tc>
          <w:tcPr>
            <w:tcW w:type="dxa" w:w="2353"/>
            <w:tcMar>
              <w:top w:w="80" w:type="dxa"/>
              <w:start w:w="110" w:type="dxa"/>
              <w:bottom w:w="80" w:type="dxa"/>
              <w:end w:w="110" w:type="dxa"/>
            </w:tcMar>
            <w:vAlign w:val="center"/>
            <w:shd w:fill="F8F7FC"/>
          </w:tcPr>
          <w:p>
            <w:pPr>
              <w:spacing w:after="0" w:line="240" w:lineRule="auto"/>
            </w:pPr>
            <w:r>
              <w:rPr>
                <w:sz w:val="17"/>
              </w:rPr>
              <w:t>CI/Netlify rouge, pas de release</w:t>
            </w:r>
          </w:p>
        </w:tc>
        <w:tc>
          <w:tcPr>
            <w:tcW w:type="dxa" w:w="2353"/>
            <w:tcMar>
              <w:top w:w="80" w:type="dxa"/>
              <w:start w:w="110" w:type="dxa"/>
              <w:bottom w:w="80" w:type="dxa"/>
              <w:end w:w="110" w:type="dxa"/>
            </w:tcMar>
            <w:vAlign w:val="center"/>
            <w:shd w:fill="F8F7FC"/>
          </w:tcPr>
          <w:p>
            <w:pPr>
              <w:spacing w:after="0" w:line="240" w:lineRule="auto"/>
            </w:pPr>
            <w:r>
              <w:rPr>
                <w:sz w:val="17"/>
              </w:rPr>
              <w:t>checks GitHub et logs Netlify</w:t>
            </w:r>
          </w:p>
        </w:tc>
        <w:tc>
          <w:tcPr>
            <w:tcW w:type="dxa" w:w="2471"/>
            <w:tcMar>
              <w:top w:w="80" w:type="dxa"/>
              <w:start w:w="110" w:type="dxa"/>
              <w:bottom w:w="80" w:type="dxa"/>
              <w:end w:w="110" w:type="dxa"/>
            </w:tcMar>
            <w:vAlign w:val="center"/>
            <w:shd w:fill="F8F7FC"/>
          </w:tcPr>
          <w:p>
            <w:pPr>
              <w:spacing w:after="0" w:line="240" w:lineRule="auto"/>
            </w:pPr>
            <w:r>
              <w:rPr>
                <w:sz w:val="17"/>
              </w:rPr>
              <w:t>corriger sur branche, nouvelle preview</w:t>
            </w:r>
          </w:p>
        </w:tc>
      </w:tr>
    </w:tbl>
    <w:p>
      <w:pPr>
        <w:spacing w:after="0"/>
      </w:pPr>
    </w:p>
    <w:p>
      <w:r>
        <w:t>La stratégie de tests suit les frontières de risque : fonctions pures rapides à chaque commit, build complet en CI, puis essais avec fournisseurs sur preview. Une correction de sécurité ou de paiement doit ajouter un test de non-régression au niveau le plus proche de la cause, et un smoke test lorsque l'intégration externe est déterminante.</w:t>
      </w:r>
    </w:p>
    <w:p>
      <w:bookmarkStart w:id="32" w:name="h_32_Int_gration_continue_et_obse"/>
      <w:pPr>
        <w:pStyle w:val="Heading1"/>
      </w:pPr>
      <w:r>
        <w:t>Intégration continue et observabilité</w:t>
      </w:r>
      <w:bookmarkEnd w:id="32"/>
    </w:p>
    <w:p>
      <w:r>
        <w:t xml:space="preserve">La CI GitHub Actions unique s'exécute sur les pushes et PR vers </w:t>
      </w:r>
      <w:r>
        <w:rPr>
          <w:rFonts w:ascii="Consolas" w:hAnsi="Consolas"/>
          <w:color w:val="4A339E"/>
          <w:sz w:val="18"/>
        </w:rPr>
        <w:t>dev</w:t>
      </w:r>
      <w:r>
        <w:t xml:space="preserve"> et </w:t>
      </w:r>
      <w:r>
        <w:rPr>
          <w:rFonts w:ascii="Consolas" w:hAnsi="Consolas"/>
          <w:color w:val="4A339E"/>
          <w:sz w:val="18"/>
        </w:rPr>
        <w:t>prod</w:t>
      </w:r>
      <w:r>
        <w:t xml:space="preserve">. Le job stable </w:t>
      </w:r>
      <w:r>
        <w:rPr>
          <w:rFonts w:ascii="Consolas" w:hAnsi="Consolas"/>
          <w:color w:val="4A339E"/>
          <w:sz w:val="18"/>
        </w:rPr>
        <w:t>CI / quality</w:t>
      </w:r>
      <w:r>
        <w:t xml:space="preserve"> utilise Node 24, </w:t>
      </w:r>
      <w:r>
        <w:rPr>
          <w:rFonts w:ascii="Consolas" w:hAnsi="Consolas"/>
          <w:color w:val="4A339E"/>
          <w:sz w:val="18"/>
        </w:rPr>
        <w:t>npm ci</w:t>
      </w:r>
      <w:r>
        <w:t xml:space="preserve"> avec cache, le lint, au moins 112 tests Vitest, </w:t>
      </w:r>
      <w:r>
        <w:rPr>
          <w:rFonts w:ascii="Consolas" w:hAnsi="Consolas"/>
          <w:color w:val="4A339E"/>
          <w:sz w:val="18"/>
        </w:rPr>
        <w:t>npm audit --omit=dev --audit-level=high</w:t>
      </w:r>
      <w:r>
        <w:t xml:space="preserve"> et le build avec variables factices non secrètes. Les permissions se limitent à la lecture du contenu et une nouvelle exécution annule l'ancienne pour la même branche.</w:t>
      </w:r>
    </w:p>
    <w:p>
      <w:r>
        <w:t xml:space="preserve">Dependabot vérifie npm dans </w:t>
      </w:r>
      <w:r>
        <w:rPr>
          <w:rFonts w:ascii="Consolas" w:hAnsi="Consolas"/>
          <w:color w:val="4A339E"/>
          <w:sz w:val="18"/>
        </w:rPr>
        <w:t>/webapp-cyna</w:t>
      </w:r>
      <w:r>
        <w:t xml:space="preserve"> chaque semaine vers </w:t>
      </w:r>
      <w:r>
        <w:rPr>
          <w:rFonts w:ascii="Consolas" w:hAnsi="Consolas"/>
          <w:color w:val="4A339E"/>
          <w:sz w:val="18"/>
        </w:rPr>
        <w:t>dev</w:t>
      </w:r>
      <w:r>
        <w:t>, regroupe les patchs et minors et conserve les majors séparées ; les actions GitHub sont également surveillées. Le graphe de dépendances, les alertes et mises à jour de sécurité restent à activer dans l'interface GitHub.</w:t>
      </w:r>
    </w:p>
    <w:p>
      <w:pPr>
        <w:keepNext/>
        <w:jc w:val="center"/>
      </w:pPr>
      <w:r>
        <w:drawing>
          <wp:inline xmlns:a="http://schemas.openxmlformats.org/drawingml/2006/main" xmlns:pic="http://schemas.openxmlformats.org/drawingml/2006/picture">
            <wp:extent cx="5652000" cy="2779741"/>
            <wp:docPr id="7" name="Picture 7" descr="Chaîne CI, preview, production et Sentry" title="Chaîne CI, preview, production et Sentry"/>
            <wp:cNvGraphicFramePr>
              <a:graphicFrameLocks noChangeAspect="1"/>
            </wp:cNvGraphicFramePr>
            <a:graphic>
              <a:graphicData uri="http://schemas.openxmlformats.org/drawingml/2006/picture">
                <pic:pic>
                  <pic:nvPicPr>
                    <pic:cNvPr id="0" name="08-ci-observabilite.png"/>
                    <pic:cNvPicPr/>
                  </pic:nvPicPr>
                  <pic:blipFill>
                    <a:blip r:embed="rId15"/>
                    <a:stretch>
                      <a:fillRect/>
                    </a:stretch>
                  </pic:blipFill>
                  <pic:spPr>
                    <a:xfrm>
                      <a:off x="0" y="0"/>
                      <a:ext cx="5652000" cy="2779741"/>
                    </a:xfrm>
                    <a:prstGeom prst="rect"/>
                  </pic:spPr>
                </pic:pic>
              </a:graphicData>
            </a:graphic>
          </wp:inline>
        </w:drawing>
      </w:r>
    </w:p>
    <w:p>
      <w:pPr>
        <w:pStyle w:val="CYNACaption"/>
      </w:pPr>
      <w:r>
        <w:t>Chaîne CI, preview, production et Sentry</w:t>
      </w:r>
    </w:p>
    <w:p>
      <w:r>
        <w:t xml:space="preserve">Sentry initialise les runtimes client, server et edge et branche </w:t>
      </w:r>
      <w:r>
        <w:rPr>
          <w:rFonts w:ascii="Consolas" w:hAnsi="Consolas"/>
          <w:color w:val="4A339E"/>
          <w:sz w:val="18"/>
        </w:rPr>
        <w:t>onRequestError</w:t>
      </w:r>
      <w:r>
        <w:t xml:space="preserve"> ainsi que </w:t>
      </w:r>
      <w:r>
        <w:rPr>
          <w:rFonts w:ascii="Consolas" w:hAnsi="Consolas"/>
          <w:color w:val="4A339E"/>
          <w:sz w:val="18"/>
        </w:rPr>
        <w:t>global-error.tsx</w:t>
      </w:r>
      <w:r>
        <w:t xml:space="preserve">. </w:t>
      </w:r>
      <w:r>
        <w:rPr>
          <w:rFonts w:ascii="Consolas" w:hAnsi="Consolas"/>
          <w:color w:val="4A339E"/>
          <w:sz w:val="18"/>
        </w:rPr>
        <w:t>withSentryConfig</w:t>
      </w:r>
      <w:r>
        <w:t xml:space="preserve"> compose la configuration </w:t>
      </w:r>
      <w:r>
        <w:rPr>
          <w:rFonts w:ascii="Consolas" w:hAnsi="Consolas"/>
          <w:color w:val="4A339E"/>
          <w:sz w:val="18"/>
        </w:rPr>
        <w:t>next-intl</w:t>
      </w:r>
      <w:r>
        <w:t xml:space="preserve">. Sans </w:t>
      </w:r>
      <w:r>
        <w:rPr>
          <w:rFonts w:ascii="Consolas" w:hAnsi="Consolas"/>
          <w:color w:val="4A339E"/>
          <w:sz w:val="18"/>
        </w:rPr>
        <w:t>NEXT_PUBLIC_SENTRY_DSN</w:t>
      </w:r>
      <w:r>
        <w:t xml:space="preserve">, l'application reste fonctionnelle et le SDK est désactivé. La configuration cible exclusivement les erreurs : </w:t>
      </w:r>
      <w:r>
        <w:rPr>
          <w:rFonts w:ascii="Consolas" w:hAnsi="Consolas"/>
          <w:color w:val="4A339E"/>
          <w:sz w:val="18"/>
        </w:rPr>
        <w:t>tracesSampleRate = 0</w:t>
      </w:r>
      <w:r>
        <w:t xml:space="preserve">, aucun replay, log ou PII par défaut. </w:t>
      </w:r>
      <w:r>
        <w:rPr>
          <w:rFonts w:ascii="Consolas" w:hAnsi="Consolas"/>
          <w:color w:val="4A339E"/>
          <w:sz w:val="18"/>
        </w:rPr>
        <w:t>SENTRY_AUTH_TOKEN</w:t>
      </w:r>
      <w:r>
        <w:t xml:space="preserve">, </w:t>
      </w:r>
      <w:r>
        <w:rPr>
          <w:rFonts w:ascii="Consolas" w:hAnsi="Consolas"/>
          <w:color w:val="4A339E"/>
          <w:sz w:val="18"/>
        </w:rPr>
        <w:t>SENTRY_ORG</w:t>
      </w:r>
      <w:r>
        <w:t xml:space="preserve"> et </w:t>
      </w:r>
      <w:r>
        <w:rPr>
          <w:rFonts w:ascii="Consolas" w:hAnsi="Consolas"/>
          <w:color w:val="4A339E"/>
          <w:sz w:val="18"/>
        </w:rPr>
        <w:t>SENTRY_PROJECT</w:t>
      </w:r>
      <w:r>
        <w:t xml:space="preserve"> servent au build de production pour les source maps.</w:t>
      </w:r>
    </w:p>
    <w:p>
      <w:pPr>
        <w:sectPr>
          <w:headerReference w:type="default" r:id="rId21"/>
          <w:footerReference w:type="default" r:id="rId22"/>
          <w:pgSz w:w="11906" w:h="16838"/>
          <w:pgMar w:top="1361" w:right="1361" w:bottom="1247" w:left="1361" w:header="709" w:footer="709" w:gutter="0"/>
          <w:cols w:space="720"/>
          <w:docGrid w:linePitch="360"/>
        </w:sectPr>
      </w:pPr>
    </w:p>
    <w:p>
      <w:bookmarkStart w:id="33" w:name="h_33_Mod_le_conceptuel_de_donn_es"/>
      <w:pPr>
        <w:pStyle w:val="Heading1"/>
      </w:pPr>
      <w:r>
        <w:t>Modèle conceptuel de données</w:t>
      </w:r>
      <w:bookmarkEnd w:id="33"/>
    </w:p>
    <w:p>
      <w:r>
        <w:t xml:space="preserve">Le MCD expose les concepts et cardinalités métier, sans recopier mécaniquement chaque clé étrangère. L'identité </w:t>
      </w:r>
      <w:r>
        <w:rPr>
          <w:rFonts w:ascii="Consolas" w:hAnsi="Consolas"/>
          <w:color w:val="4A339E"/>
          <w:sz w:val="18"/>
        </w:rPr>
        <w:t>auth.users</w:t>
      </w:r>
      <w:r>
        <w:t xml:space="preserve"> est externe. Un utilisateur métier peut avoir des adresses, commandes, abonnements, factures, tickets et conversations. Une commande comprend des lignes qui figent les informations nécessaires au commerce. Les traductions et liaisons promotionnelles appartiennent aux vues physiques spécialisées.</w:t>
      </w:r>
    </w:p>
    <w:p>
      <w:pPr>
        <w:keepNext/>
        <w:jc w:val="center"/>
      </w:pPr>
      <w:r>
        <w:drawing>
          <wp:inline xmlns:a="http://schemas.openxmlformats.org/drawingml/2006/main" xmlns:pic="http://schemas.openxmlformats.org/drawingml/2006/picture">
            <wp:extent cx="8820000" cy="3492238"/>
            <wp:docPr id="8" name="Picture 8" descr="MCD métier cardinalisé" title="MCD métier cardinalisé"/>
            <wp:cNvGraphicFramePr>
              <a:graphicFrameLocks noChangeAspect="1"/>
            </wp:cNvGraphicFramePr>
            <a:graphic>
              <a:graphicData uri="http://schemas.openxmlformats.org/drawingml/2006/picture">
                <pic:pic>
                  <pic:nvPicPr>
                    <pic:cNvPr id="0" name="04-mcd-overview.png"/>
                    <pic:cNvPicPr/>
                  </pic:nvPicPr>
                  <pic:blipFill>
                    <a:blip r:embed="rId16"/>
                    <a:stretch>
                      <a:fillRect/>
                    </a:stretch>
                  </pic:blipFill>
                  <pic:spPr>
                    <a:xfrm>
                      <a:off x="0" y="0"/>
                      <a:ext cx="8820000" cy="3492238"/>
                    </a:xfrm>
                    <a:prstGeom prst="rect"/>
                  </pic:spPr>
                </pic:pic>
              </a:graphicData>
            </a:graphic>
          </wp:inline>
        </w:drawing>
      </w:r>
    </w:p>
    <w:p>
      <w:pPr>
        <w:pStyle w:val="CYNACaption"/>
      </w:pPr>
      <w:r>
        <w:t>MCD métier cardinalisé</w:t>
      </w:r>
    </w:p>
    <w:p>
      <w:r>
        <w:br w:type="page"/>
      </w:r>
    </w:p>
    <w:p>
      <w:bookmarkStart w:id="34" w:name="h_34_Vue_catalogue"/>
      <w:pPr>
        <w:pStyle w:val="Heading2"/>
      </w:pPr>
      <w:r>
        <w:t>Vue catalogue</w:t>
      </w:r>
      <w:bookmarkEnd w:id="34"/>
    </w:p>
    <w:p>
      <w:pPr>
        <w:keepNext/>
        <w:jc w:val="center"/>
      </w:pPr>
      <w:r>
        <w:drawing>
          <wp:inline xmlns:a="http://schemas.openxmlformats.org/drawingml/2006/main" xmlns:pic="http://schemas.openxmlformats.org/drawingml/2006/picture">
            <wp:extent cx="8820000" cy="2132704"/>
            <wp:docPr id="9" name="Picture 9" descr="Vue physique catalogue et promotions" title="Vue physique catalogue et promotions"/>
            <wp:cNvGraphicFramePr>
              <a:graphicFrameLocks noChangeAspect="1"/>
            </wp:cNvGraphicFramePr>
            <a:graphic>
              <a:graphicData uri="http://schemas.openxmlformats.org/drawingml/2006/picture">
                <pic:pic>
                  <pic:nvPicPr>
                    <pic:cNvPr id="0" name="04a-mcd-catalogue.png"/>
                    <pic:cNvPicPr/>
                  </pic:nvPicPr>
                  <pic:blipFill>
                    <a:blip r:embed="rId17"/>
                    <a:stretch>
                      <a:fillRect/>
                    </a:stretch>
                  </pic:blipFill>
                  <pic:spPr>
                    <a:xfrm>
                      <a:off x="0" y="0"/>
                      <a:ext cx="8820000" cy="2132704"/>
                    </a:xfrm>
                    <a:prstGeom prst="rect"/>
                  </pic:spPr>
                </pic:pic>
              </a:graphicData>
            </a:graphic>
          </wp:inline>
        </w:drawing>
      </w:r>
    </w:p>
    <w:p>
      <w:pPr>
        <w:pStyle w:val="CYNACaption"/>
      </w:pPr>
      <w:r>
        <w:t>Vue physique catalogue et promotions</w:t>
      </w:r>
    </w:p>
    <w:p>
      <w:r>
        <w:t xml:space="preserve">Les entités stables </w:t>
      </w:r>
      <w:r>
        <w:rPr>
          <w:rFonts w:ascii="Consolas" w:hAnsi="Consolas"/>
          <w:color w:val="4A339E"/>
          <w:sz w:val="18"/>
        </w:rPr>
        <w:t>produit</w:t>
      </w:r>
      <w:r>
        <w:t xml:space="preserve">, </w:t>
      </w:r>
      <w:r>
        <w:rPr>
          <w:rFonts w:ascii="Consolas" w:hAnsi="Consolas"/>
          <w:color w:val="4A339E"/>
          <w:sz w:val="18"/>
        </w:rPr>
        <w:t>categorie</w:t>
      </w:r>
      <w:r>
        <w:t xml:space="preserve">, </w:t>
      </w:r>
      <w:r>
        <w:rPr>
          <w:rFonts w:ascii="Consolas" w:hAnsi="Consolas"/>
          <w:color w:val="4A339E"/>
          <w:sz w:val="18"/>
        </w:rPr>
        <w:t>prix_tarif</w:t>
      </w:r>
      <w:r>
        <w:t xml:space="preserve"> et </w:t>
      </w:r>
      <w:r>
        <w:rPr>
          <w:rFonts w:ascii="Consolas" w:hAnsi="Consolas"/>
          <w:color w:val="4A339E"/>
          <w:sz w:val="18"/>
        </w:rPr>
        <w:t>caracteristique_technique</w:t>
      </w:r>
      <w:r>
        <w:t xml:space="preserve"> portent les identifiants et attributs non traduits. Les tables </w:t>
      </w:r>
      <w:r>
        <w:rPr>
          <w:rFonts w:ascii="Consolas" w:hAnsi="Consolas"/>
          <w:color w:val="4A339E"/>
          <w:sz w:val="18"/>
        </w:rPr>
        <w:t>*_traduction</w:t>
      </w:r>
      <w:r>
        <w:t xml:space="preserve"> portent les libellés par locale. </w:t>
      </w:r>
      <w:r>
        <w:rPr>
          <w:rFonts w:ascii="Consolas" w:hAnsi="Consolas"/>
          <w:color w:val="4A339E"/>
          <w:sz w:val="18"/>
        </w:rPr>
        <w:t>produit_caracteristique_technique</w:t>
      </w:r>
      <w:r>
        <w:t xml:space="preserve"> matérialise le N:N produit-caractéristique ; </w:t>
      </w:r>
      <w:r>
        <w:rPr>
          <w:rFonts w:ascii="Consolas" w:hAnsi="Consolas"/>
          <w:color w:val="4A339E"/>
          <w:sz w:val="18"/>
        </w:rPr>
        <w:t>lien_produit_promo</w:t>
      </w:r>
      <w:r>
        <w:t xml:space="preserve"> et </w:t>
      </w:r>
      <w:r>
        <w:rPr>
          <w:rFonts w:ascii="Consolas" w:hAnsi="Consolas"/>
          <w:color w:val="4A339E"/>
          <w:sz w:val="18"/>
        </w:rPr>
        <w:t>lien_categorie_promo</w:t>
      </w:r>
      <w:r>
        <w:t xml:space="preserve"> matérialisent les cibles promotionnelles.</w:t>
      </w:r>
    </w:p>
    <w:p>
      <w:r>
        <w:br w:type="page"/>
      </w:r>
    </w:p>
    <w:p>
      <w:bookmarkStart w:id="35" w:name="h_35_Vue_commerce"/>
      <w:pPr>
        <w:pStyle w:val="Heading2"/>
      </w:pPr>
      <w:r>
        <w:t>Vue commerce</w:t>
      </w:r>
      <w:bookmarkEnd w:id="35"/>
    </w:p>
    <w:p>
      <w:pPr>
        <w:keepNext/>
        <w:jc w:val="center"/>
      </w:pPr>
      <w:r>
        <w:drawing>
          <wp:inline xmlns:a="http://schemas.openxmlformats.org/drawingml/2006/main" xmlns:pic="http://schemas.openxmlformats.org/drawingml/2006/picture">
            <wp:extent cx="8820000" cy="3171388"/>
            <wp:docPr id="10" name="Picture 10" descr="Vue physique commandes, abonnements et factures" title="Vue physique commandes, abonnements et factures"/>
            <wp:cNvGraphicFramePr>
              <a:graphicFrameLocks noChangeAspect="1"/>
            </wp:cNvGraphicFramePr>
            <a:graphic>
              <a:graphicData uri="http://schemas.openxmlformats.org/drawingml/2006/picture">
                <pic:pic>
                  <pic:nvPicPr>
                    <pic:cNvPr id="0" name="04b-mcd-commerce.png"/>
                    <pic:cNvPicPr/>
                  </pic:nvPicPr>
                  <pic:blipFill>
                    <a:blip r:embed="rId18"/>
                    <a:stretch>
                      <a:fillRect/>
                    </a:stretch>
                  </pic:blipFill>
                  <pic:spPr>
                    <a:xfrm>
                      <a:off x="0" y="0"/>
                      <a:ext cx="8820000" cy="3171388"/>
                    </a:xfrm>
                    <a:prstGeom prst="rect"/>
                  </pic:spPr>
                </pic:pic>
              </a:graphicData>
            </a:graphic>
          </wp:inline>
        </w:drawing>
      </w:r>
    </w:p>
    <w:p>
      <w:pPr>
        <w:pStyle w:val="CYNACaption"/>
      </w:pPr>
      <w:r>
        <w:t>Vue physique commandes, abonnements et factures</w:t>
      </w:r>
    </w:p>
    <w:p>
      <w:r>
        <w:t xml:space="preserve">La nullabilité de </w:t>
      </w:r>
      <w:r>
        <w:rPr>
          <w:rFonts w:ascii="Consolas" w:hAnsi="Consolas"/>
          <w:color w:val="4A339E"/>
          <w:sz w:val="18"/>
        </w:rPr>
        <w:t>commande.id_compte</w:t>
      </w:r>
      <w:r>
        <w:t xml:space="preserve"> et des adresses permet le checkout invité. </w:t>
      </w:r>
      <w:r>
        <w:rPr>
          <w:rFonts w:ascii="Consolas" w:hAnsi="Consolas"/>
          <w:color w:val="4A339E"/>
          <w:sz w:val="18"/>
        </w:rPr>
        <w:t>ligne_commande</w:t>
      </w:r>
      <w:r>
        <w:t xml:space="preserve"> rattache chaque achat à une commande et au produit de référence tout en conservant les valeurs utiles au calcul. </w:t>
      </w:r>
      <w:r>
        <w:rPr>
          <w:rFonts w:ascii="Consolas" w:hAnsi="Consolas"/>
          <w:color w:val="4A339E"/>
          <w:sz w:val="18"/>
        </w:rPr>
        <w:t>abonnement</w:t>
      </w:r>
      <w:r>
        <w:t xml:space="preserve"> et </w:t>
      </w:r>
      <w:r>
        <w:rPr>
          <w:rFonts w:ascii="Consolas" w:hAnsi="Consolas"/>
          <w:color w:val="4A339E"/>
          <w:sz w:val="18"/>
        </w:rPr>
        <w:t>facture</w:t>
      </w:r>
      <w:r>
        <w:t xml:space="preserve"> portent les identifiants Stripe nécessaires à la réconciliation.</w:t>
      </w:r>
    </w:p>
    <w:p>
      <w:r>
        <w:br w:type="page"/>
      </w:r>
    </w:p>
    <w:p>
      <w:bookmarkStart w:id="36" w:name="h_36_Vue_support_et_chatbot"/>
      <w:pPr>
        <w:pStyle w:val="Heading2"/>
      </w:pPr>
      <w:r>
        <w:t>Vue support et chatbot</w:t>
      </w:r>
      <w:bookmarkEnd w:id="36"/>
    </w:p>
    <w:p>
      <w:pPr>
        <w:keepNext/>
        <w:jc w:val="center"/>
      </w:pPr>
      <w:r>
        <w:drawing>
          <wp:inline xmlns:a="http://schemas.openxmlformats.org/drawingml/2006/main" xmlns:pic="http://schemas.openxmlformats.org/drawingml/2006/picture">
            <wp:extent cx="8820000" cy="4981963"/>
            <wp:docPr id="11" name="Picture 11" descr="Vue physique support et conversations CynAI" title="Vue physique support et conversations CynAI"/>
            <wp:cNvGraphicFramePr>
              <a:graphicFrameLocks noChangeAspect="1"/>
            </wp:cNvGraphicFramePr>
            <a:graphic>
              <a:graphicData uri="http://schemas.openxmlformats.org/drawingml/2006/picture">
                <pic:pic>
                  <pic:nvPicPr>
                    <pic:cNvPr id="0" name="04c-mcd-support-chat.png"/>
                    <pic:cNvPicPr/>
                  </pic:nvPicPr>
                  <pic:blipFill>
                    <a:blip r:embed="rId19"/>
                    <a:stretch>
                      <a:fillRect/>
                    </a:stretch>
                  </pic:blipFill>
                  <pic:spPr>
                    <a:xfrm>
                      <a:off x="0" y="0"/>
                      <a:ext cx="8820000" cy="4981963"/>
                    </a:xfrm>
                    <a:prstGeom prst="rect"/>
                  </pic:spPr>
                </pic:pic>
              </a:graphicData>
            </a:graphic>
          </wp:inline>
        </w:drawing>
      </w:r>
    </w:p>
    <w:p>
      <w:pPr>
        <w:pStyle w:val="CYNACaption"/>
      </w:pPr>
      <w:r>
        <w:t>Vue physique support et conversations CynAI</w:t>
      </w:r>
    </w:p>
    <w:p>
      <w:r>
        <w:t>Un ticket peut appartenir à un client ou à un invité et référencer une commande facultative. Les messages forment l'historique. Une conversation chat peut appartenir au compte ou à une session invitée hashée ; ses messages sont supprimés avec la conversation selon les règles de rétention.</w:t>
      </w:r>
    </w:p>
    <w:p>
      <w:bookmarkStart w:id="37" w:name="h_37_Vue_CMS__i18n_et_audit"/>
      <w:pPr>
        <w:pStyle w:val="Heading2"/>
      </w:pPr>
      <w:r>
        <w:t>Vue CMS, i18n et audit</w:t>
      </w:r>
      <w:bookmarkEnd w:id="37"/>
    </w:p>
    <w:p>
      <w:pPr>
        <w:keepNext/>
        <w:jc w:val="center"/>
      </w:pPr>
      <w:r>
        <w:drawing>
          <wp:inline xmlns:a="http://schemas.openxmlformats.org/drawingml/2006/main" xmlns:pic="http://schemas.openxmlformats.org/drawingml/2006/picture">
            <wp:extent cx="8820000" cy="4126094"/>
            <wp:docPr id="12" name="Picture 12" descr="Vue physique CMS, i18n et audit MFA" title="Vue physique CMS, i18n et audit MFA"/>
            <wp:cNvGraphicFramePr>
              <a:graphicFrameLocks noChangeAspect="1"/>
            </wp:cNvGraphicFramePr>
            <a:graphic>
              <a:graphicData uri="http://schemas.openxmlformats.org/drawingml/2006/picture">
                <pic:pic>
                  <pic:nvPicPr>
                    <pic:cNvPr id="0" name="04d-mcd-cms-i18n.png"/>
                    <pic:cNvPicPr/>
                  </pic:nvPicPr>
                  <pic:blipFill>
                    <a:blip r:embed="rId20"/>
                    <a:stretch>
                      <a:fillRect/>
                    </a:stretch>
                  </pic:blipFill>
                  <pic:spPr>
                    <a:xfrm>
                      <a:off x="0" y="0"/>
                      <a:ext cx="8820000" cy="4126094"/>
                    </a:xfrm>
                    <a:prstGeom prst="rect"/>
                  </pic:spPr>
                </pic:pic>
              </a:graphicData>
            </a:graphic>
          </wp:inline>
        </w:drawing>
      </w:r>
    </w:p>
    <w:p>
      <w:pPr>
        <w:pStyle w:val="CYNACaption"/>
      </w:pPr>
      <w:r>
        <w:t>Vue physique CMS, i18n et audit MFA</w:t>
      </w:r>
    </w:p>
    <w:p>
      <w:r>
        <w:br w:type="page"/>
      </w:r>
    </w:p>
    <w:p>
      <w:bookmarkStart w:id="38" w:name="h_38_Dictionnaire_physique_des_28"/>
      <w:pPr>
        <w:pStyle w:val="Heading1"/>
      </w:pPr>
      <w:r>
        <w:t>Dictionnaire physique des 28 tables</w:t>
      </w:r>
      <w:bookmarkEnd w:id="38"/>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3556"/>
        <w:gridCol w:w="2058"/>
        <w:gridCol w:w="3930"/>
        <w:gridCol w:w="3930"/>
        <w:gridCol w:w="1123"/>
      </w:tblGrid>
      <w:tr>
        <w:trPr>
          <w:tblHeader w:val="true"/>
        </w:trPr>
        <w:tc>
          <w:tcPr>
            <w:tcW w:type="dxa" w:w="3556"/>
            <w:tcMar>
              <w:top w:w="80" w:type="dxa"/>
              <w:start w:w="110" w:type="dxa"/>
              <w:bottom w:w="80" w:type="dxa"/>
              <w:end w:w="110" w:type="dxa"/>
            </w:tcMar>
            <w:vAlign w:val="center"/>
            <w:shd w:fill="E8EEF5"/>
          </w:tcPr>
          <w:p>
            <w:pPr>
              <w:spacing w:after="0" w:line="240" w:lineRule="auto"/>
            </w:pPr>
            <w:r>
              <w:rPr>
                <w:b/>
                <w:color w:val="302082"/>
                <w:sz w:val="16"/>
              </w:rPr>
              <w:t>Table</w:t>
            </w:r>
          </w:p>
        </w:tc>
        <w:tc>
          <w:tcPr>
            <w:tcW w:type="dxa" w:w="2058"/>
            <w:tcMar>
              <w:top w:w="80" w:type="dxa"/>
              <w:start w:w="110" w:type="dxa"/>
              <w:bottom w:w="80" w:type="dxa"/>
              <w:end w:w="110" w:type="dxa"/>
            </w:tcMar>
            <w:vAlign w:val="center"/>
            <w:shd w:fill="E8EEF5"/>
          </w:tcPr>
          <w:p>
            <w:pPr>
              <w:spacing w:after="0" w:line="240" w:lineRule="auto"/>
            </w:pPr>
            <w:r>
              <w:rPr>
                <w:b/>
                <w:color w:val="302082"/>
                <w:sz w:val="16"/>
              </w:rPr>
              <w:t>Clé primaire</w:t>
            </w:r>
          </w:p>
        </w:tc>
        <w:tc>
          <w:tcPr>
            <w:tcW w:type="dxa" w:w="3930"/>
            <w:tcMar>
              <w:top w:w="80" w:type="dxa"/>
              <w:start w:w="110" w:type="dxa"/>
              <w:bottom w:w="80" w:type="dxa"/>
              <w:end w:w="110" w:type="dxa"/>
            </w:tcMar>
            <w:vAlign w:val="center"/>
            <w:shd w:fill="E8EEF5"/>
          </w:tcPr>
          <w:p>
            <w:pPr>
              <w:spacing w:after="0" w:line="240" w:lineRule="auto"/>
            </w:pPr>
            <w:r>
              <w:rPr>
                <w:b/>
                <w:color w:val="302082"/>
                <w:sz w:val="16"/>
              </w:rPr>
              <w:t>Finalité</w:t>
            </w:r>
          </w:p>
        </w:tc>
        <w:tc>
          <w:tcPr>
            <w:tcW w:type="dxa" w:w="3930"/>
            <w:tcMar>
              <w:top w:w="80" w:type="dxa"/>
              <w:start w:w="110" w:type="dxa"/>
              <w:bottom w:w="80" w:type="dxa"/>
              <w:end w:w="110" w:type="dxa"/>
            </w:tcMar>
            <w:vAlign w:val="center"/>
            <w:shd w:fill="E8EEF5"/>
          </w:tcPr>
          <w:p>
            <w:pPr>
              <w:spacing w:after="0" w:line="240" w:lineRule="auto"/>
            </w:pPr>
            <w:r>
              <w:rPr>
                <w:b/>
                <w:color w:val="302082"/>
                <w:sz w:val="16"/>
              </w:rPr>
              <w:t>Relations ou contraintes clés</w:t>
            </w:r>
          </w:p>
        </w:tc>
        <w:tc>
          <w:tcPr>
            <w:tcW w:type="dxa" w:w="1123"/>
            <w:tcMar>
              <w:top w:w="80" w:type="dxa"/>
              <w:start w:w="110" w:type="dxa"/>
              <w:bottom w:w="80" w:type="dxa"/>
              <w:end w:w="110" w:type="dxa"/>
            </w:tcMar>
            <w:vAlign w:val="center"/>
            <w:shd w:fill="E8EEF5"/>
          </w:tcPr>
          <w:p>
            <w:pPr>
              <w:spacing w:after="0" w:line="240" w:lineRule="auto"/>
            </w:pPr>
            <w:r>
              <w:rPr>
                <w:b/>
                <w:color w:val="302082"/>
                <w:sz w:val="16"/>
              </w:rPr>
              <w:t>Sensibilité</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utilisateur</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id_compte</w:t>
            </w:r>
            <w:r>
              <w:rPr>
                <w:sz w:val="16"/>
              </w:rPr>
              <w:t xml:space="preserve"> UUID</w:t>
            </w:r>
          </w:p>
        </w:tc>
        <w:tc>
          <w:tcPr>
            <w:tcW w:type="dxa" w:w="3930"/>
            <w:tcMar>
              <w:top w:w="80" w:type="dxa"/>
              <w:start w:w="110" w:type="dxa"/>
              <w:bottom w:w="80" w:type="dxa"/>
              <w:end w:w="110" w:type="dxa"/>
            </w:tcMar>
            <w:vAlign w:val="center"/>
          </w:tcPr>
          <w:p>
            <w:pPr>
              <w:spacing w:after="0" w:line="240" w:lineRule="auto"/>
            </w:pPr>
            <w:r>
              <w:rPr>
                <w:sz w:val="16"/>
              </w:rPr>
              <w:t>Profil métier lié à Auth, rôle, activité, client Stripe</w:t>
            </w:r>
          </w:p>
        </w:tc>
        <w:tc>
          <w:tcPr>
            <w:tcW w:type="dxa" w:w="3930"/>
            <w:tcMar>
              <w:top w:w="80" w:type="dxa"/>
              <w:start w:w="110" w:type="dxa"/>
              <w:bottom w:w="80" w:type="dxa"/>
              <w:end w:w="110" w:type="dxa"/>
            </w:tcMar>
            <w:vAlign w:val="center"/>
          </w:tcPr>
          <w:p>
            <w:pPr>
              <w:spacing w:after="0" w:line="240" w:lineRule="auto"/>
            </w:pPr>
            <w:r>
              <w:rPr>
                <w:sz w:val="16"/>
              </w:rPr>
              <w:t xml:space="preserve">1:1 avec </w:t>
            </w:r>
            <w:r>
              <w:rPr>
                <w:rFonts w:ascii="Consolas" w:hAnsi="Consolas"/>
                <w:color w:val="4A339E"/>
                <w:sz w:val="16"/>
              </w:rPr>
              <w:t>auth.users</w:t>
            </w:r>
            <w:r>
              <w:rPr>
                <w:sz w:val="16"/>
              </w:rPr>
              <w:t>; parent de données client</w:t>
            </w:r>
          </w:p>
        </w:tc>
        <w:tc>
          <w:tcPr>
            <w:tcW w:type="dxa" w:w="1123"/>
            <w:tcMar>
              <w:top w:w="80" w:type="dxa"/>
              <w:start w:w="110" w:type="dxa"/>
              <w:bottom w:w="80" w:type="dxa"/>
              <w:end w:w="110" w:type="dxa"/>
            </w:tcMar>
            <w:vAlign w:val="center"/>
          </w:tcPr>
          <w:p>
            <w:pPr>
              <w:spacing w:after="0" w:line="240" w:lineRule="auto"/>
            </w:pPr>
            <w:r>
              <w:rPr>
                <w:sz w:val="16"/>
              </w:rPr>
              <w:t>Élevée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adresse</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id_adresse</w:t>
            </w:r>
          </w:p>
        </w:tc>
        <w:tc>
          <w:tcPr>
            <w:tcW w:type="dxa" w:w="3930"/>
            <w:tcMar>
              <w:top w:w="80" w:type="dxa"/>
              <w:start w:w="110" w:type="dxa"/>
              <w:bottom w:w="80" w:type="dxa"/>
              <w:end w:w="110" w:type="dxa"/>
            </w:tcMar>
            <w:vAlign w:val="center"/>
            <w:shd w:fill="F8F7FC"/>
          </w:tcPr>
          <w:p>
            <w:pPr>
              <w:spacing w:after="0" w:line="240" w:lineRule="auto"/>
            </w:pPr>
            <w:r>
              <w:rPr>
                <w:sz w:val="16"/>
              </w:rPr>
              <w:t>Adresse client ou invité, défaut et suppression logique</w:t>
            </w:r>
          </w:p>
        </w:tc>
        <w:tc>
          <w:tcPr>
            <w:tcW w:type="dxa" w:w="3930"/>
            <w:tcMar>
              <w:top w:w="80" w:type="dxa"/>
              <w:start w:w="110" w:type="dxa"/>
              <w:bottom w:w="80" w:type="dxa"/>
              <w:end w:w="110" w:type="dxa"/>
            </w:tcMar>
            <w:vAlign w:val="center"/>
            <w:shd w:fill="F8F7FC"/>
          </w:tcPr>
          <w:p>
            <w:pPr>
              <w:spacing w:after="0" w:line="240" w:lineRule="auto"/>
            </w:pPr>
            <w:r>
              <w:rPr>
                <w:rFonts w:ascii="Consolas" w:hAnsi="Consolas"/>
                <w:color w:val="4A339E"/>
                <w:sz w:val="16"/>
              </w:rPr>
              <w:t>id_compte</w:t>
            </w:r>
            <w:r>
              <w:rPr>
                <w:sz w:val="16"/>
              </w:rPr>
              <w:t xml:space="preserve"> nullable ; e-mail invité possible</w:t>
            </w:r>
          </w:p>
        </w:tc>
        <w:tc>
          <w:tcPr>
            <w:tcW w:type="dxa" w:w="1123"/>
            <w:tcMar>
              <w:top w:w="80" w:type="dxa"/>
              <w:start w:w="110" w:type="dxa"/>
              <w:bottom w:w="80" w:type="dxa"/>
              <w:end w:w="110" w:type="dxa"/>
            </w:tcMar>
            <w:vAlign w:val="center"/>
            <w:shd w:fill="F8F7FC"/>
          </w:tcPr>
          <w:p>
            <w:pPr>
              <w:spacing w:after="0" w:line="240" w:lineRule="auto"/>
            </w:pPr>
            <w:r>
              <w:rPr>
                <w:sz w:val="16"/>
              </w:rPr>
              <w:t>Élevée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categorie</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id_categorie</w:t>
            </w:r>
          </w:p>
        </w:tc>
        <w:tc>
          <w:tcPr>
            <w:tcW w:type="dxa" w:w="3930"/>
            <w:tcMar>
              <w:top w:w="80" w:type="dxa"/>
              <w:start w:w="110" w:type="dxa"/>
              <w:bottom w:w="80" w:type="dxa"/>
              <w:end w:w="110" w:type="dxa"/>
            </w:tcMar>
            <w:vAlign w:val="center"/>
          </w:tcPr>
          <w:p>
            <w:pPr>
              <w:spacing w:after="0" w:line="240" w:lineRule="auto"/>
            </w:pPr>
            <w:r>
              <w:rPr>
                <w:sz w:val="16"/>
              </w:rPr>
              <w:t>Taxonomie stable du catalogue</w:t>
            </w:r>
          </w:p>
        </w:tc>
        <w:tc>
          <w:tcPr>
            <w:tcW w:type="dxa" w:w="3930"/>
            <w:tcMar>
              <w:top w:w="80" w:type="dxa"/>
              <w:start w:w="110" w:type="dxa"/>
              <w:bottom w:w="80" w:type="dxa"/>
              <w:end w:w="110" w:type="dxa"/>
            </w:tcMar>
            <w:vAlign w:val="center"/>
          </w:tcPr>
          <w:p>
            <w:pPr>
              <w:spacing w:after="0" w:line="240" w:lineRule="auto"/>
            </w:pPr>
            <w:r>
              <w:rPr>
                <w:sz w:val="16"/>
              </w:rPr>
              <w:t>Parent produits, traductions et promotions</w:t>
            </w:r>
          </w:p>
        </w:tc>
        <w:tc>
          <w:tcPr>
            <w:tcW w:type="dxa" w:w="1123"/>
            <w:tcMar>
              <w:top w:w="80" w:type="dxa"/>
              <w:start w:w="110" w:type="dxa"/>
              <w:bottom w:w="80" w:type="dxa"/>
              <w:end w:w="110" w:type="dxa"/>
            </w:tcMar>
            <w:vAlign w:val="center"/>
          </w:tcPr>
          <w:p>
            <w:pPr>
              <w:spacing w:after="0" w:line="240" w:lineRule="auto"/>
            </w:pPr>
            <w:r>
              <w:rPr>
                <w:sz w:val="16"/>
              </w:rPr>
              <w:t>Publique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categorie_traduction</w:t>
            </w:r>
          </w:p>
        </w:tc>
        <w:tc>
          <w:tcPr>
            <w:tcW w:type="dxa" w:w="2058"/>
            <w:tcMar>
              <w:top w:w="80" w:type="dxa"/>
              <w:start w:w="110" w:type="dxa"/>
              <w:bottom w:w="80" w:type="dxa"/>
              <w:end w:w="110" w:type="dxa"/>
            </w:tcMar>
            <w:vAlign w:val="center"/>
            <w:shd w:fill="F8F7FC"/>
          </w:tcPr>
          <w:p>
            <w:pPr>
              <w:spacing w:after="0" w:line="240" w:lineRule="auto"/>
            </w:pPr>
            <w:r>
              <w:rPr>
                <w:sz w:val="16"/>
              </w:rPr>
              <w:t>clé composée</w:t>
            </w:r>
          </w:p>
        </w:tc>
        <w:tc>
          <w:tcPr>
            <w:tcW w:type="dxa" w:w="3930"/>
            <w:tcMar>
              <w:top w:w="80" w:type="dxa"/>
              <w:start w:w="110" w:type="dxa"/>
              <w:bottom w:w="80" w:type="dxa"/>
              <w:end w:w="110" w:type="dxa"/>
            </w:tcMar>
            <w:vAlign w:val="center"/>
            <w:shd w:fill="F8F7FC"/>
          </w:tcPr>
          <w:p>
            <w:pPr>
              <w:spacing w:after="0" w:line="240" w:lineRule="auto"/>
            </w:pPr>
            <w:r>
              <w:rPr>
                <w:sz w:val="16"/>
              </w:rPr>
              <w:t>Nom et contenu localisés d'une catégorie</w:t>
            </w:r>
          </w:p>
        </w:tc>
        <w:tc>
          <w:tcPr>
            <w:tcW w:type="dxa" w:w="3930"/>
            <w:tcMar>
              <w:top w:w="80" w:type="dxa"/>
              <w:start w:w="110" w:type="dxa"/>
              <w:bottom w:w="80" w:type="dxa"/>
              <w:end w:w="110" w:type="dxa"/>
            </w:tcMar>
            <w:vAlign w:val="center"/>
            <w:shd w:fill="F8F7FC"/>
          </w:tcPr>
          <w:p>
            <w:pPr>
              <w:spacing w:after="0" w:line="240" w:lineRule="auto"/>
            </w:pPr>
            <w:r>
              <w:rPr>
                <w:sz w:val="16"/>
              </w:rPr>
              <w:t>catégorie + locale uniques</w:t>
            </w:r>
          </w:p>
        </w:tc>
        <w:tc>
          <w:tcPr>
            <w:tcW w:type="dxa" w:w="1123"/>
            <w:tcMar>
              <w:top w:w="80" w:type="dxa"/>
              <w:start w:w="110" w:type="dxa"/>
              <w:bottom w:w="80" w:type="dxa"/>
              <w:end w:w="110" w:type="dxa"/>
            </w:tcMar>
            <w:vAlign w:val="center"/>
            <w:shd w:fill="F8F7FC"/>
          </w:tcPr>
          <w:p>
            <w:pPr>
              <w:spacing w:after="0" w:line="240" w:lineRule="auto"/>
            </w:pPr>
            <w:r>
              <w:rPr>
                <w:sz w:val="16"/>
              </w:rPr>
              <w:t>Publique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produit</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id_produit</w:t>
            </w:r>
          </w:p>
        </w:tc>
        <w:tc>
          <w:tcPr>
            <w:tcW w:type="dxa" w:w="3930"/>
            <w:tcMar>
              <w:top w:w="80" w:type="dxa"/>
              <w:start w:w="110" w:type="dxa"/>
              <w:bottom w:w="80" w:type="dxa"/>
              <w:end w:w="110" w:type="dxa"/>
            </w:tcMar>
            <w:vAlign w:val="center"/>
          </w:tcPr>
          <w:p>
            <w:pPr>
              <w:spacing w:after="0" w:line="240" w:lineRule="auto"/>
            </w:pPr>
            <w:r>
              <w:rPr>
                <w:sz w:val="16"/>
              </w:rPr>
              <w:t>Offre SaaS stable, disponibilité et métadonnées</w:t>
            </w:r>
          </w:p>
        </w:tc>
        <w:tc>
          <w:tcPr>
            <w:tcW w:type="dxa" w:w="3930"/>
            <w:tcMar>
              <w:top w:w="80" w:type="dxa"/>
              <w:start w:w="110" w:type="dxa"/>
              <w:bottom w:w="80" w:type="dxa"/>
              <w:end w:w="110" w:type="dxa"/>
            </w:tcMar>
            <w:vAlign w:val="center"/>
          </w:tcPr>
          <w:p>
            <w:pPr>
              <w:spacing w:after="0" w:line="240" w:lineRule="auto"/>
            </w:pPr>
            <w:r>
              <w:rPr>
                <w:sz w:val="16"/>
              </w:rPr>
              <w:t>catégorie, traductions, prix, images, lignes</w:t>
            </w:r>
          </w:p>
        </w:tc>
        <w:tc>
          <w:tcPr>
            <w:tcW w:type="dxa" w:w="1123"/>
            <w:tcMar>
              <w:top w:w="80" w:type="dxa"/>
              <w:start w:w="110" w:type="dxa"/>
              <w:bottom w:w="80" w:type="dxa"/>
              <w:end w:w="110" w:type="dxa"/>
            </w:tcMar>
            <w:vAlign w:val="center"/>
          </w:tcPr>
          <w:p>
            <w:pPr>
              <w:spacing w:after="0" w:line="240" w:lineRule="auto"/>
            </w:pPr>
            <w:r>
              <w:rPr>
                <w:sz w:val="16"/>
              </w:rPr>
              <w:t>Publique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produit_traduction</w:t>
            </w:r>
          </w:p>
        </w:tc>
        <w:tc>
          <w:tcPr>
            <w:tcW w:type="dxa" w:w="2058"/>
            <w:tcMar>
              <w:top w:w="80" w:type="dxa"/>
              <w:start w:w="110" w:type="dxa"/>
              <w:bottom w:w="80" w:type="dxa"/>
              <w:end w:w="110" w:type="dxa"/>
            </w:tcMar>
            <w:vAlign w:val="center"/>
            <w:shd w:fill="F8F7FC"/>
          </w:tcPr>
          <w:p>
            <w:pPr>
              <w:spacing w:after="0" w:line="240" w:lineRule="auto"/>
            </w:pPr>
            <w:r>
              <w:rPr>
                <w:sz w:val="16"/>
              </w:rPr>
              <w:t>clé composée</w:t>
            </w:r>
          </w:p>
        </w:tc>
        <w:tc>
          <w:tcPr>
            <w:tcW w:type="dxa" w:w="3930"/>
            <w:tcMar>
              <w:top w:w="80" w:type="dxa"/>
              <w:start w:w="110" w:type="dxa"/>
              <w:bottom w:w="80" w:type="dxa"/>
              <w:end w:w="110" w:type="dxa"/>
            </w:tcMar>
            <w:vAlign w:val="center"/>
            <w:shd w:fill="F8F7FC"/>
          </w:tcPr>
          <w:p>
            <w:pPr>
              <w:spacing w:after="0" w:line="240" w:lineRule="auto"/>
            </w:pPr>
            <w:r>
              <w:rPr>
                <w:sz w:val="16"/>
              </w:rPr>
              <w:t>Nom et description localisés</w:t>
            </w:r>
          </w:p>
        </w:tc>
        <w:tc>
          <w:tcPr>
            <w:tcW w:type="dxa" w:w="3930"/>
            <w:tcMar>
              <w:top w:w="80" w:type="dxa"/>
              <w:start w:w="110" w:type="dxa"/>
              <w:bottom w:w="80" w:type="dxa"/>
              <w:end w:w="110" w:type="dxa"/>
            </w:tcMar>
            <w:vAlign w:val="center"/>
            <w:shd w:fill="F8F7FC"/>
          </w:tcPr>
          <w:p>
            <w:pPr>
              <w:spacing w:after="0" w:line="240" w:lineRule="auto"/>
            </w:pPr>
            <w:r>
              <w:rPr>
                <w:sz w:val="16"/>
              </w:rPr>
              <w:t>produit + locale uniques</w:t>
            </w:r>
          </w:p>
        </w:tc>
        <w:tc>
          <w:tcPr>
            <w:tcW w:type="dxa" w:w="1123"/>
            <w:tcMar>
              <w:top w:w="80" w:type="dxa"/>
              <w:start w:w="110" w:type="dxa"/>
              <w:bottom w:w="80" w:type="dxa"/>
              <w:end w:w="110" w:type="dxa"/>
            </w:tcMar>
            <w:vAlign w:val="center"/>
            <w:shd w:fill="F8F7FC"/>
          </w:tcPr>
          <w:p>
            <w:pPr>
              <w:spacing w:after="0" w:line="240" w:lineRule="auto"/>
            </w:pPr>
            <w:r>
              <w:rPr>
                <w:sz w:val="16"/>
              </w:rPr>
              <w:t>Publique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prix_tarif</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id_prix_tarif</w:t>
            </w:r>
          </w:p>
        </w:tc>
        <w:tc>
          <w:tcPr>
            <w:tcW w:type="dxa" w:w="3930"/>
            <w:tcMar>
              <w:top w:w="80" w:type="dxa"/>
              <w:start w:w="110" w:type="dxa"/>
              <w:bottom w:w="80" w:type="dxa"/>
              <w:end w:w="110" w:type="dxa"/>
            </w:tcMar>
            <w:vAlign w:val="center"/>
          </w:tcPr>
          <w:p>
            <w:pPr>
              <w:spacing w:after="0" w:line="240" w:lineRule="auto"/>
            </w:pPr>
            <w:r>
              <w:rPr>
                <w:sz w:val="16"/>
              </w:rPr>
              <w:t>Tarif, facturation et référence Stripe</w:t>
            </w:r>
          </w:p>
        </w:tc>
        <w:tc>
          <w:tcPr>
            <w:tcW w:type="dxa" w:w="3930"/>
            <w:tcMar>
              <w:top w:w="80" w:type="dxa"/>
              <w:start w:w="110" w:type="dxa"/>
              <w:bottom w:w="80" w:type="dxa"/>
              <w:end w:w="110" w:type="dxa"/>
            </w:tcMar>
            <w:vAlign w:val="center"/>
          </w:tcPr>
          <w:p>
            <w:pPr>
              <w:spacing w:after="0" w:line="240" w:lineRule="auto"/>
            </w:pPr>
            <w:r>
              <w:rPr>
                <w:sz w:val="16"/>
              </w:rPr>
              <w:t>appartient à un produit</w:t>
            </w:r>
          </w:p>
        </w:tc>
        <w:tc>
          <w:tcPr>
            <w:tcW w:type="dxa" w:w="1123"/>
            <w:tcMar>
              <w:top w:w="80" w:type="dxa"/>
              <w:start w:w="110" w:type="dxa"/>
              <w:bottom w:w="80" w:type="dxa"/>
              <w:end w:w="110" w:type="dxa"/>
            </w:tcMar>
            <w:vAlign w:val="center"/>
          </w:tcPr>
          <w:p>
            <w:pPr>
              <w:spacing w:after="0" w:line="240" w:lineRule="auto"/>
            </w:pPr>
            <w:r>
              <w:rPr>
                <w:sz w:val="16"/>
              </w:rPr>
              <w:t>Interne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prix_tarif_traduction</w:t>
            </w:r>
          </w:p>
        </w:tc>
        <w:tc>
          <w:tcPr>
            <w:tcW w:type="dxa" w:w="2058"/>
            <w:tcMar>
              <w:top w:w="80" w:type="dxa"/>
              <w:start w:w="110" w:type="dxa"/>
              <w:bottom w:w="80" w:type="dxa"/>
              <w:end w:w="110" w:type="dxa"/>
            </w:tcMar>
            <w:vAlign w:val="center"/>
            <w:shd w:fill="F8F7FC"/>
          </w:tcPr>
          <w:p>
            <w:pPr>
              <w:spacing w:after="0" w:line="240" w:lineRule="auto"/>
            </w:pPr>
            <w:r>
              <w:rPr>
                <w:sz w:val="16"/>
              </w:rPr>
              <w:t>clé composée</w:t>
            </w:r>
          </w:p>
        </w:tc>
        <w:tc>
          <w:tcPr>
            <w:tcW w:type="dxa" w:w="3930"/>
            <w:tcMar>
              <w:top w:w="80" w:type="dxa"/>
              <w:start w:w="110" w:type="dxa"/>
              <w:bottom w:w="80" w:type="dxa"/>
              <w:end w:w="110" w:type="dxa"/>
            </w:tcMar>
            <w:vAlign w:val="center"/>
            <w:shd w:fill="F8F7FC"/>
          </w:tcPr>
          <w:p>
            <w:pPr>
              <w:spacing w:after="0" w:line="240" w:lineRule="auto"/>
            </w:pPr>
            <w:r>
              <w:rPr>
                <w:sz w:val="16"/>
              </w:rPr>
              <w:t>Libellé localisé du tarif</w:t>
            </w:r>
          </w:p>
        </w:tc>
        <w:tc>
          <w:tcPr>
            <w:tcW w:type="dxa" w:w="3930"/>
            <w:tcMar>
              <w:top w:w="80" w:type="dxa"/>
              <w:start w:w="110" w:type="dxa"/>
              <w:bottom w:w="80" w:type="dxa"/>
              <w:end w:w="110" w:type="dxa"/>
            </w:tcMar>
            <w:vAlign w:val="center"/>
            <w:shd w:fill="F8F7FC"/>
          </w:tcPr>
          <w:p>
            <w:pPr>
              <w:spacing w:after="0" w:line="240" w:lineRule="auto"/>
            </w:pPr>
            <w:r>
              <w:rPr>
                <w:sz w:val="16"/>
              </w:rPr>
              <w:t>prix + locale</w:t>
            </w:r>
          </w:p>
        </w:tc>
        <w:tc>
          <w:tcPr>
            <w:tcW w:type="dxa" w:w="1123"/>
            <w:tcMar>
              <w:top w:w="80" w:type="dxa"/>
              <w:start w:w="110" w:type="dxa"/>
              <w:bottom w:w="80" w:type="dxa"/>
              <w:end w:w="110" w:type="dxa"/>
            </w:tcMar>
            <w:vAlign w:val="center"/>
            <w:shd w:fill="F8F7FC"/>
          </w:tcPr>
          <w:p>
            <w:pPr>
              <w:spacing w:after="0" w:line="240" w:lineRule="auto"/>
            </w:pPr>
            <w:r>
              <w:rPr>
                <w:sz w:val="16"/>
              </w:rPr>
              <w:t>Publique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caracteristique_technique</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id_caracteristique</w:t>
            </w:r>
          </w:p>
        </w:tc>
        <w:tc>
          <w:tcPr>
            <w:tcW w:type="dxa" w:w="3930"/>
            <w:tcMar>
              <w:top w:w="80" w:type="dxa"/>
              <w:start w:w="110" w:type="dxa"/>
              <w:bottom w:w="80" w:type="dxa"/>
              <w:end w:w="110" w:type="dxa"/>
            </w:tcMar>
            <w:vAlign w:val="center"/>
          </w:tcPr>
          <w:p>
            <w:pPr>
              <w:spacing w:after="0" w:line="240" w:lineRule="auto"/>
            </w:pPr>
            <w:r>
              <w:rPr>
                <w:sz w:val="16"/>
              </w:rPr>
              <w:t>Définition d'une caractéristique</w:t>
            </w:r>
          </w:p>
        </w:tc>
        <w:tc>
          <w:tcPr>
            <w:tcW w:type="dxa" w:w="3930"/>
            <w:tcMar>
              <w:top w:w="80" w:type="dxa"/>
              <w:start w:w="110" w:type="dxa"/>
              <w:bottom w:w="80" w:type="dxa"/>
              <w:end w:w="110" w:type="dxa"/>
            </w:tcMar>
            <w:vAlign w:val="center"/>
          </w:tcPr>
          <w:p>
            <w:pPr>
              <w:spacing w:after="0" w:line="240" w:lineRule="auto"/>
            </w:pPr>
            <w:r>
              <w:rPr>
                <w:sz w:val="16"/>
              </w:rPr>
              <w:t>traductions et liaison N:N</w:t>
            </w:r>
          </w:p>
        </w:tc>
        <w:tc>
          <w:tcPr>
            <w:tcW w:type="dxa" w:w="1123"/>
            <w:tcMar>
              <w:top w:w="80" w:type="dxa"/>
              <w:start w:w="110" w:type="dxa"/>
              <w:bottom w:w="80" w:type="dxa"/>
              <w:end w:w="110" w:type="dxa"/>
            </w:tcMar>
            <w:vAlign w:val="center"/>
          </w:tcPr>
          <w:p>
            <w:pPr>
              <w:spacing w:after="0" w:line="240" w:lineRule="auto"/>
            </w:pPr>
            <w:r>
              <w:rPr>
                <w:sz w:val="16"/>
              </w:rPr>
              <w:t>Publique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caracteristique_technique_traduction</w:t>
            </w:r>
          </w:p>
        </w:tc>
        <w:tc>
          <w:tcPr>
            <w:tcW w:type="dxa" w:w="2058"/>
            <w:tcMar>
              <w:top w:w="80" w:type="dxa"/>
              <w:start w:w="110" w:type="dxa"/>
              <w:bottom w:w="80" w:type="dxa"/>
              <w:end w:w="110" w:type="dxa"/>
            </w:tcMar>
            <w:vAlign w:val="center"/>
            <w:shd w:fill="F8F7FC"/>
          </w:tcPr>
          <w:p>
            <w:pPr>
              <w:spacing w:after="0" w:line="240" w:lineRule="auto"/>
            </w:pPr>
            <w:r>
              <w:rPr>
                <w:sz w:val="16"/>
              </w:rPr>
              <w:t>clé composée</w:t>
            </w:r>
          </w:p>
        </w:tc>
        <w:tc>
          <w:tcPr>
            <w:tcW w:type="dxa" w:w="3930"/>
            <w:tcMar>
              <w:top w:w="80" w:type="dxa"/>
              <w:start w:w="110" w:type="dxa"/>
              <w:bottom w:w="80" w:type="dxa"/>
              <w:end w:w="110" w:type="dxa"/>
            </w:tcMar>
            <w:vAlign w:val="center"/>
            <w:shd w:fill="F8F7FC"/>
          </w:tcPr>
          <w:p>
            <w:pPr>
              <w:spacing w:after="0" w:line="240" w:lineRule="auto"/>
            </w:pPr>
            <w:r>
              <w:rPr>
                <w:sz w:val="16"/>
              </w:rPr>
              <w:t>Libellé localisé de caractéristique</w:t>
            </w:r>
          </w:p>
        </w:tc>
        <w:tc>
          <w:tcPr>
            <w:tcW w:type="dxa" w:w="3930"/>
            <w:tcMar>
              <w:top w:w="80" w:type="dxa"/>
              <w:start w:w="110" w:type="dxa"/>
              <w:bottom w:w="80" w:type="dxa"/>
              <w:end w:w="110" w:type="dxa"/>
            </w:tcMar>
            <w:vAlign w:val="center"/>
            <w:shd w:fill="F8F7FC"/>
          </w:tcPr>
          <w:p>
            <w:pPr>
              <w:spacing w:after="0" w:line="240" w:lineRule="auto"/>
            </w:pPr>
            <w:r>
              <w:rPr>
                <w:sz w:val="16"/>
              </w:rPr>
              <w:t>caractéristique + locale</w:t>
            </w:r>
          </w:p>
        </w:tc>
        <w:tc>
          <w:tcPr>
            <w:tcW w:type="dxa" w:w="1123"/>
            <w:tcMar>
              <w:top w:w="80" w:type="dxa"/>
              <w:start w:w="110" w:type="dxa"/>
              <w:bottom w:w="80" w:type="dxa"/>
              <w:end w:w="110" w:type="dxa"/>
            </w:tcMar>
            <w:vAlign w:val="center"/>
            <w:shd w:fill="F8F7FC"/>
          </w:tcPr>
          <w:p>
            <w:pPr>
              <w:spacing w:after="0" w:line="240" w:lineRule="auto"/>
            </w:pPr>
            <w:r>
              <w:rPr>
                <w:sz w:val="16"/>
              </w:rPr>
              <w:t>Publique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produit_caracteristique_technique</w:t>
            </w:r>
          </w:p>
        </w:tc>
        <w:tc>
          <w:tcPr>
            <w:tcW w:type="dxa" w:w="2058"/>
            <w:tcMar>
              <w:top w:w="80" w:type="dxa"/>
              <w:start w:w="110" w:type="dxa"/>
              <w:bottom w:w="80" w:type="dxa"/>
              <w:end w:w="110" w:type="dxa"/>
            </w:tcMar>
            <w:vAlign w:val="center"/>
          </w:tcPr>
          <w:p>
            <w:pPr>
              <w:spacing w:after="0" w:line="240" w:lineRule="auto"/>
            </w:pPr>
            <w:r>
              <w:rPr>
                <w:sz w:val="16"/>
              </w:rPr>
              <w:t>clé composée</w:t>
            </w:r>
          </w:p>
        </w:tc>
        <w:tc>
          <w:tcPr>
            <w:tcW w:type="dxa" w:w="3930"/>
            <w:tcMar>
              <w:top w:w="80" w:type="dxa"/>
              <w:start w:w="110" w:type="dxa"/>
              <w:bottom w:w="80" w:type="dxa"/>
              <w:end w:w="110" w:type="dxa"/>
            </w:tcMar>
            <w:vAlign w:val="center"/>
          </w:tcPr>
          <w:p>
            <w:pPr>
              <w:spacing w:after="0" w:line="240" w:lineRule="auto"/>
            </w:pPr>
            <w:r>
              <w:rPr>
                <w:sz w:val="16"/>
              </w:rPr>
              <w:t>Valeur d'une caractéristique pour un produit</w:t>
            </w:r>
          </w:p>
        </w:tc>
        <w:tc>
          <w:tcPr>
            <w:tcW w:type="dxa" w:w="3930"/>
            <w:tcMar>
              <w:top w:w="80" w:type="dxa"/>
              <w:start w:w="110" w:type="dxa"/>
              <w:bottom w:w="80" w:type="dxa"/>
              <w:end w:w="110" w:type="dxa"/>
            </w:tcMar>
            <w:vAlign w:val="center"/>
          </w:tcPr>
          <w:p>
            <w:pPr>
              <w:spacing w:after="0" w:line="240" w:lineRule="auto"/>
            </w:pPr>
            <w:r>
              <w:rPr>
                <w:sz w:val="16"/>
              </w:rPr>
              <w:t>N:N produit-caractéristique</w:t>
            </w:r>
          </w:p>
        </w:tc>
        <w:tc>
          <w:tcPr>
            <w:tcW w:type="dxa" w:w="1123"/>
            <w:tcMar>
              <w:top w:w="80" w:type="dxa"/>
              <w:start w:w="110" w:type="dxa"/>
              <w:bottom w:w="80" w:type="dxa"/>
              <w:end w:w="110" w:type="dxa"/>
            </w:tcMar>
            <w:vAlign w:val="center"/>
          </w:tcPr>
          <w:p>
            <w:pPr>
              <w:spacing w:after="0" w:line="240" w:lineRule="auto"/>
            </w:pPr>
            <w:r>
              <w:rPr>
                <w:sz w:val="16"/>
              </w:rPr>
              <w:t>Publique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image_produit</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id_image_produit</w:t>
            </w:r>
          </w:p>
        </w:tc>
        <w:tc>
          <w:tcPr>
            <w:tcW w:type="dxa" w:w="3930"/>
            <w:tcMar>
              <w:top w:w="80" w:type="dxa"/>
              <w:start w:w="110" w:type="dxa"/>
              <w:bottom w:w="80" w:type="dxa"/>
              <w:end w:w="110" w:type="dxa"/>
            </w:tcMar>
            <w:vAlign w:val="center"/>
            <w:shd w:fill="F8F7FC"/>
          </w:tcPr>
          <w:p>
            <w:pPr>
              <w:spacing w:after="0" w:line="240" w:lineRule="auto"/>
            </w:pPr>
            <w:r>
              <w:rPr>
                <w:sz w:val="16"/>
              </w:rPr>
              <w:t>Visuel et ordre d'affichage produit</w:t>
            </w:r>
          </w:p>
        </w:tc>
        <w:tc>
          <w:tcPr>
            <w:tcW w:type="dxa" w:w="3930"/>
            <w:tcMar>
              <w:top w:w="80" w:type="dxa"/>
              <w:start w:w="110" w:type="dxa"/>
              <w:bottom w:w="80" w:type="dxa"/>
              <w:end w:w="110" w:type="dxa"/>
            </w:tcMar>
            <w:vAlign w:val="center"/>
            <w:shd w:fill="F8F7FC"/>
          </w:tcPr>
          <w:p>
            <w:pPr>
              <w:spacing w:after="0" w:line="240" w:lineRule="auto"/>
            </w:pPr>
            <w:r>
              <w:rPr>
                <w:sz w:val="16"/>
              </w:rPr>
              <w:t>appartient à un produit</w:t>
            </w:r>
          </w:p>
        </w:tc>
        <w:tc>
          <w:tcPr>
            <w:tcW w:type="dxa" w:w="1123"/>
            <w:tcMar>
              <w:top w:w="80" w:type="dxa"/>
              <w:start w:w="110" w:type="dxa"/>
              <w:bottom w:w="80" w:type="dxa"/>
              <w:end w:w="110" w:type="dxa"/>
            </w:tcMar>
            <w:vAlign w:val="center"/>
            <w:shd w:fill="F8F7FC"/>
          </w:tcPr>
          <w:p>
            <w:pPr>
              <w:spacing w:after="0" w:line="240" w:lineRule="auto"/>
            </w:pPr>
            <w:r>
              <w:rPr>
                <w:sz w:val="16"/>
              </w:rPr>
              <w:t>Publique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promotion</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id_promotion</w:t>
            </w:r>
          </w:p>
        </w:tc>
        <w:tc>
          <w:tcPr>
            <w:tcW w:type="dxa" w:w="3930"/>
            <w:tcMar>
              <w:top w:w="80" w:type="dxa"/>
              <w:start w:w="110" w:type="dxa"/>
              <w:bottom w:w="80" w:type="dxa"/>
              <w:end w:w="110" w:type="dxa"/>
            </w:tcMar>
            <w:vAlign w:val="center"/>
          </w:tcPr>
          <w:p>
            <w:pPr>
              <w:spacing w:after="0" w:line="240" w:lineRule="auto"/>
            </w:pPr>
            <w:r>
              <w:rPr>
                <w:sz w:val="16"/>
              </w:rPr>
              <w:t>Remise, dates, type, activité</w:t>
            </w:r>
          </w:p>
        </w:tc>
        <w:tc>
          <w:tcPr>
            <w:tcW w:type="dxa" w:w="3930"/>
            <w:tcMar>
              <w:top w:w="80" w:type="dxa"/>
              <w:start w:w="110" w:type="dxa"/>
              <w:bottom w:w="80" w:type="dxa"/>
              <w:end w:w="110" w:type="dxa"/>
            </w:tcMar>
            <w:vAlign w:val="center"/>
          </w:tcPr>
          <w:p>
            <w:pPr>
              <w:spacing w:after="0" w:line="240" w:lineRule="auto"/>
            </w:pPr>
            <w:r>
              <w:rPr>
                <w:sz w:val="16"/>
              </w:rPr>
              <w:t>cibles produit/catégorie ; codes possibles</w:t>
            </w:r>
          </w:p>
        </w:tc>
        <w:tc>
          <w:tcPr>
            <w:tcW w:type="dxa" w:w="1123"/>
            <w:tcMar>
              <w:top w:w="80" w:type="dxa"/>
              <w:start w:w="110" w:type="dxa"/>
              <w:bottom w:w="80" w:type="dxa"/>
              <w:end w:w="110" w:type="dxa"/>
            </w:tcMar>
            <w:vAlign w:val="center"/>
          </w:tcPr>
          <w:p>
            <w:pPr>
              <w:spacing w:after="0" w:line="240" w:lineRule="auto"/>
            </w:pPr>
            <w:r>
              <w:rPr>
                <w:sz w:val="16"/>
              </w:rPr>
              <w:t>Interne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code_promo</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id_code_promo</w:t>
            </w:r>
          </w:p>
        </w:tc>
        <w:tc>
          <w:tcPr>
            <w:tcW w:type="dxa" w:w="3930"/>
            <w:tcMar>
              <w:top w:w="80" w:type="dxa"/>
              <w:start w:w="110" w:type="dxa"/>
              <w:bottom w:w="80" w:type="dxa"/>
              <w:end w:w="110" w:type="dxa"/>
            </w:tcMar>
            <w:vAlign w:val="center"/>
            <w:shd w:fill="F8F7FC"/>
          </w:tcPr>
          <w:p>
            <w:pPr>
              <w:spacing w:after="0" w:line="240" w:lineRule="auto"/>
            </w:pPr>
            <w:r>
              <w:rPr>
                <w:sz w:val="16"/>
              </w:rPr>
              <w:t>Code saisi et contraintes d'utilisation</w:t>
            </w:r>
          </w:p>
        </w:tc>
        <w:tc>
          <w:tcPr>
            <w:tcW w:type="dxa" w:w="3930"/>
            <w:tcMar>
              <w:top w:w="80" w:type="dxa"/>
              <w:start w:w="110" w:type="dxa"/>
              <w:bottom w:w="80" w:type="dxa"/>
              <w:end w:w="110" w:type="dxa"/>
            </w:tcMar>
            <w:vAlign w:val="center"/>
            <w:shd w:fill="F8F7FC"/>
          </w:tcPr>
          <w:p>
            <w:pPr>
              <w:spacing w:after="0" w:line="240" w:lineRule="auto"/>
            </w:pPr>
            <w:r>
              <w:rPr>
                <w:sz w:val="16"/>
              </w:rPr>
              <w:t>lié à une promotion</w:t>
            </w:r>
          </w:p>
        </w:tc>
        <w:tc>
          <w:tcPr>
            <w:tcW w:type="dxa" w:w="1123"/>
            <w:tcMar>
              <w:top w:w="80" w:type="dxa"/>
              <w:start w:w="110" w:type="dxa"/>
              <w:bottom w:w="80" w:type="dxa"/>
              <w:end w:w="110" w:type="dxa"/>
            </w:tcMar>
            <w:vAlign w:val="center"/>
            <w:shd w:fill="F8F7FC"/>
          </w:tcPr>
          <w:p>
            <w:pPr>
              <w:spacing w:after="0" w:line="240" w:lineRule="auto"/>
            </w:pPr>
            <w:r>
              <w:rPr>
                <w:sz w:val="16"/>
              </w:rPr>
              <w:t>Interne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lien_produit_promo</w:t>
            </w:r>
          </w:p>
        </w:tc>
        <w:tc>
          <w:tcPr>
            <w:tcW w:type="dxa" w:w="2058"/>
            <w:tcMar>
              <w:top w:w="80" w:type="dxa"/>
              <w:start w:w="110" w:type="dxa"/>
              <w:bottom w:w="80" w:type="dxa"/>
              <w:end w:w="110" w:type="dxa"/>
            </w:tcMar>
            <w:vAlign w:val="center"/>
          </w:tcPr>
          <w:p>
            <w:pPr>
              <w:spacing w:after="0" w:line="240" w:lineRule="auto"/>
            </w:pPr>
            <w:r>
              <w:rPr>
                <w:sz w:val="16"/>
              </w:rPr>
              <w:t>clé composée</w:t>
            </w:r>
          </w:p>
        </w:tc>
        <w:tc>
          <w:tcPr>
            <w:tcW w:type="dxa" w:w="3930"/>
            <w:tcMar>
              <w:top w:w="80" w:type="dxa"/>
              <w:start w:w="110" w:type="dxa"/>
              <w:bottom w:w="80" w:type="dxa"/>
              <w:end w:w="110" w:type="dxa"/>
            </w:tcMar>
            <w:vAlign w:val="center"/>
          </w:tcPr>
          <w:p>
            <w:pPr>
              <w:spacing w:after="0" w:line="240" w:lineRule="auto"/>
            </w:pPr>
            <w:r>
              <w:rPr>
                <w:sz w:val="16"/>
              </w:rPr>
              <w:t>Ciblage promotion-produit</w:t>
            </w:r>
          </w:p>
        </w:tc>
        <w:tc>
          <w:tcPr>
            <w:tcW w:type="dxa" w:w="3930"/>
            <w:tcMar>
              <w:top w:w="80" w:type="dxa"/>
              <w:start w:w="110" w:type="dxa"/>
              <w:bottom w:w="80" w:type="dxa"/>
              <w:end w:w="110" w:type="dxa"/>
            </w:tcMar>
            <w:vAlign w:val="center"/>
          </w:tcPr>
          <w:p>
            <w:pPr>
              <w:spacing w:after="0" w:line="240" w:lineRule="auto"/>
            </w:pPr>
            <w:r>
              <w:rPr>
                <w:sz w:val="16"/>
              </w:rPr>
              <w:t>table de liaison N:N</w:t>
            </w:r>
          </w:p>
        </w:tc>
        <w:tc>
          <w:tcPr>
            <w:tcW w:type="dxa" w:w="1123"/>
            <w:tcMar>
              <w:top w:w="80" w:type="dxa"/>
              <w:start w:w="110" w:type="dxa"/>
              <w:bottom w:w="80" w:type="dxa"/>
              <w:end w:w="110" w:type="dxa"/>
            </w:tcMar>
            <w:vAlign w:val="center"/>
          </w:tcPr>
          <w:p>
            <w:pPr>
              <w:spacing w:after="0" w:line="240" w:lineRule="auto"/>
            </w:pPr>
            <w:r>
              <w:rPr>
                <w:sz w:val="16"/>
              </w:rPr>
              <w:t>Interne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lien_categorie_promo</w:t>
            </w:r>
          </w:p>
        </w:tc>
        <w:tc>
          <w:tcPr>
            <w:tcW w:type="dxa" w:w="2058"/>
            <w:tcMar>
              <w:top w:w="80" w:type="dxa"/>
              <w:start w:w="110" w:type="dxa"/>
              <w:bottom w:w="80" w:type="dxa"/>
              <w:end w:w="110" w:type="dxa"/>
            </w:tcMar>
            <w:vAlign w:val="center"/>
            <w:shd w:fill="F8F7FC"/>
          </w:tcPr>
          <w:p>
            <w:pPr>
              <w:spacing w:after="0" w:line="240" w:lineRule="auto"/>
            </w:pPr>
            <w:r>
              <w:rPr>
                <w:sz w:val="16"/>
              </w:rPr>
              <w:t>clé composée</w:t>
            </w:r>
          </w:p>
        </w:tc>
        <w:tc>
          <w:tcPr>
            <w:tcW w:type="dxa" w:w="3930"/>
            <w:tcMar>
              <w:top w:w="80" w:type="dxa"/>
              <w:start w:w="110" w:type="dxa"/>
              <w:bottom w:w="80" w:type="dxa"/>
              <w:end w:w="110" w:type="dxa"/>
            </w:tcMar>
            <w:vAlign w:val="center"/>
            <w:shd w:fill="F8F7FC"/>
          </w:tcPr>
          <w:p>
            <w:pPr>
              <w:spacing w:after="0" w:line="240" w:lineRule="auto"/>
            </w:pPr>
            <w:r>
              <w:rPr>
                <w:sz w:val="16"/>
              </w:rPr>
              <w:t>Ciblage promotion-catégorie</w:t>
            </w:r>
          </w:p>
        </w:tc>
        <w:tc>
          <w:tcPr>
            <w:tcW w:type="dxa" w:w="3930"/>
            <w:tcMar>
              <w:top w:w="80" w:type="dxa"/>
              <w:start w:w="110" w:type="dxa"/>
              <w:bottom w:w="80" w:type="dxa"/>
              <w:end w:w="110" w:type="dxa"/>
            </w:tcMar>
            <w:vAlign w:val="center"/>
            <w:shd w:fill="F8F7FC"/>
          </w:tcPr>
          <w:p>
            <w:pPr>
              <w:spacing w:after="0" w:line="240" w:lineRule="auto"/>
            </w:pPr>
            <w:r>
              <w:rPr>
                <w:sz w:val="16"/>
              </w:rPr>
              <w:t>table de liaison N:N</w:t>
            </w:r>
          </w:p>
        </w:tc>
        <w:tc>
          <w:tcPr>
            <w:tcW w:type="dxa" w:w="1123"/>
            <w:tcMar>
              <w:top w:w="80" w:type="dxa"/>
              <w:start w:w="110" w:type="dxa"/>
              <w:bottom w:w="80" w:type="dxa"/>
              <w:end w:w="110" w:type="dxa"/>
            </w:tcMar>
            <w:vAlign w:val="center"/>
            <w:shd w:fill="F8F7FC"/>
          </w:tcPr>
          <w:p>
            <w:pPr>
              <w:spacing w:after="0" w:line="240" w:lineRule="auto"/>
            </w:pPr>
            <w:r>
              <w:rPr>
                <w:sz w:val="16"/>
              </w:rPr>
              <w:t>Interne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commande</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id_commande</w:t>
            </w:r>
          </w:p>
        </w:tc>
        <w:tc>
          <w:tcPr>
            <w:tcW w:type="dxa" w:w="3930"/>
            <w:tcMar>
              <w:top w:w="80" w:type="dxa"/>
              <w:start w:w="110" w:type="dxa"/>
              <w:bottom w:w="80" w:type="dxa"/>
              <w:end w:w="110" w:type="dxa"/>
            </w:tcMar>
            <w:vAlign w:val="center"/>
          </w:tcPr>
          <w:p>
            <w:pPr>
              <w:spacing w:after="0" w:line="240" w:lineRule="auto"/>
            </w:pPr>
            <w:r>
              <w:rPr>
                <w:sz w:val="16"/>
              </w:rPr>
              <w:t>En-tête d'achat, total et snapshots Stripe</w:t>
            </w:r>
          </w:p>
        </w:tc>
        <w:tc>
          <w:tcPr>
            <w:tcW w:type="dxa" w:w="3930"/>
            <w:tcMar>
              <w:top w:w="80" w:type="dxa"/>
              <w:start w:w="110" w:type="dxa"/>
              <w:bottom w:w="80" w:type="dxa"/>
              <w:end w:w="110" w:type="dxa"/>
            </w:tcMar>
            <w:vAlign w:val="center"/>
          </w:tcPr>
          <w:p>
            <w:pPr>
              <w:spacing w:after="0" w:line="240" w:lineRule="auto"/>
            </w:pPr>
            <w:r>
              <w:rPr>
                <w:sz w:val="16"/>
              </w:rPr>
              <w:t>compte nullable, lignes, abonnements, factures</w:t>
            </w:r>
          </w:p>
        </w:tc>
        <w:tc>
          <w:tcPr>
            <w:tcW w:type="dxa" w:w="1123"/>
            <w:tcMar>
              <w:top w:w="80" w:type="dxa"/>
              <w:start w:w="110" w:type="dxa"/>
              <w:bottom w:w="80" w:type="dxa"/>
              <w:end w:w="110" w:type="dxa"/>
            </w:tcMar>
            <w:vAlign w:val="center"/>
          </w:tcPr>
          <w:p>
            <w:pPr>
              <w:spacing w:after="0" w:line="240" w:lineRule="auto"/>
            </w:pPr>
            <w:r>
              <w:rPr>
                <w:sz w:val="16"/>
              </w:rPr>
              <w:t>Élevée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ligne_commande</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id_ligne_commande</w:t>
            </w:r>
          </w:p>
        </w:tc>
        <w:tc>
          <w:tcPr>
            <w:tcW w:type="dxa" w:w="3930"/>
            <w:tcMar>
              <w:top w:w="80" w:type="dxa"/>
              <w:start w:w="110" w:type="dxa"/>
              <w:bottom w:w="80" w:type="dxa"/>
              <w:end w:w="110" w:type="dxa"/>
            </w:tcMar>
            <w:vAlign w:val="center"/>
            <w:shd w:fill="F8F7FC"/>
          </w:tcPr>
          <w:p>
            <w:pPr>
              <w:spacing w:after="0" w:line="240" w:lineRule="auto"/>
            </w:pPr>
            <w:r>
              <w:rPr>
                <w:sz w:val="16"/>
              </w:rPr>
              <w:t>Produit, quantité, prix et remise d'une commande</w:t>
            </w:r>
          </w:p>
        </w:tc>
        <w:tc>
          <w:tcPr>
            <w:tcW w:type="dxa" w:w="3930"/>
            <w:tcMar>
              <w:top w:w="80" w:type="dxa"/>
              <w:start w:w="110" w:type="dxa"/>
              <w:bottom w:w="80" w:type="dxa"/>
              <w:end w:w="110" w:type="dxa"/>
            </w:tcMar>
            <w:vAlign w:val="center"/>
            <w:shd w:fill="F8F7FC"/>
          </w:tcPr>
          <w:p>
            <w:pPr>
              <w:spacing w:after="0" w:line="240" w:lineRule="auto"/>
            </w:pPr>
            <w:r>
              <w:rPr>
                <w:sz w:val="16"/>
              </w:rPr>
              <w:t>appartient à commande et produit</w:t>
            </w:r>
          </w:p>
        </w:tc>
        <w:tc>
          <w:tcPr>
            <w:tcW w:type="dxa" w:w="1123"/>
            <w:tcMar>
              <w:top w:w="80" w:type="dxa"/>
              <w:start w:w="110" w:type="dxa"/>
              <w:bottom w:w="80" w:type="dxa"/>
              <w:end w:w="110" w:type="dxa"/>
            </w:tcMar>
            <w:vAlign w:val="center"/>
            <w:shd w:fill="F8F7FC"/>
          </w:tcPr>
          <w:p>
            <w:pPr>
              <w:spacing w:after="0" w:line="240" w:lineRule="auto"/>
            </w:pPr>
            <w:r>
              <w:rPr>
                <w:sz w:val="16"/>
              </w:rPr>
              <w:t>Élevée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abonnement</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id_abonnement</w:t>
            </w:r>
          </w:p>
        </w:tc>
        <w:tc>
          <w:tcPr>
            <w:tcW w:type="dxa" w:w="3930"/>
            <w:tcMar>
              <w:top w:w="80" w:type="dxa"/>
              <w:start w:w="110" w:type="dxa"/>
              <w:bottom w:w="80" w:type="dxa"/>
              <w:end w:w="110" w:type="dxa"/>
            </w:tcMar>
            <w:vAlign w:val="center"/>
          </w:tcPr>
          <w:p>
            <w:pPr>
              <w:spacing w:after="0" w:line="240" w:lineRule="auto"/>
            </w:pPr>
            <w:r>
              <w:rPr>
                <w:sz w:val="16"/>
              </w:rPr>
              <w:t>Projection locale d'un abonnement Stripe</w:t>
            </w:r>
          </w:p>
        </w:tc>
        <w:tc>
          <w:tcPr>
            <w:tcW w:type="dxa" w:w="3930"/>
            <w:tcMar>
              <w:top w:w="80" w:type="dxa"/>
              <w:start w:w="110" w:type="dxa"/>
              <w:bottom w:w="80" w:type="dxa"/>
              <w:end w:w="110" w:type="dxa"/>
            </w:tcMar>
            <w:vAlign w:val="center"/>
          </w:tcPr>
          <w:p>
            <w:pPr>
              <w:spacing w:after="0" w:line="240" w:lineRule="auto"/>
            </w:pPr>
            <w:r>
              <w:rPr>
                <w:sz w:val="16"/>
              </w:rPr>
              <w:t>compte, commande, produit, identifiant Stripe</w:t>
            </w:r>
          </w:p>
        </w:tc>
        <w:tc>
          <w:tcPr>
            <w:tcW w:type="dxa" w:w="1123"/>
            <w:tcMar>
              <w:top w:w="80" w:type="dxa"/>
              <w:start w:w="110" w:type="dxa"/>
              <w:bottom w:w="80" w:type="dxa"/>
              <w:end w:w="110" w:type="dxa"/>
            </w:tcMar>
            <w:vAlign w:val="center"/>
          </w:tcPr>
          <w:p>
            <w:pPr>
              <w:spacing w:after="0" w:line="240" w:lineRule="auto"/>
            </w:pPr>
            <w:r>
              <w:rPr>
                <w:sz w:val="16"/>
              </w:rPr>
              <w:t>Élevée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facture</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id_facture</w:t>
            </w:r>
          </w:p>
        </w:tc>
        <w:tc>
          <w:tcPr>
            <w:tcW w:type="dxa" w:w="3930"/>
            <w:tcMar>
              <w:top w:w="80" w:type="dxa"/>
              <w:start w:w="110" w:type="dxa"/>
              <w:bottom w:w="80" w:type="dxa"/>
              <w:end w:w="110" w:type="dxa"/>
            </w:tcMar>
            <w:vAlign w:val="center"/>
            <w:shd w:fill="F8F7FC"/>
          </w:tcPr>
          <w:p>
            <w:pPr>
              <w:spacing w:after="0" w:line="240" w:lineRule="auto"/>
            </w:pPr>
            <w:r>
              <w:rPr>
                <w:sz w:val="16"/>
              </w:rPr>
              <w:t>Métadonnées et stockage d'une facture Stripe</w:t>
            </w:r>
          </w:p>
        </w:tc>
        <w:tc>
          <w:tcPr>
            <w:tcW w:type="dxa" w:w="3930"/>
            <w:tcMar>
              <w:top w:w="80" w:type="dxa"/>
              <w:start w:w="110" w:type="dxa"/>
              <w:bottom w:w="80" w:type="dxa"/>
              <w:end w:w="110" w:type="dxa"/>
            </w:tcMar>
            <w:vAlign w:val="center"/>
            <w:shd w:fill="F8F7FC"/>
          </w:tcPr>
          <w:p>
            <w:pPr>
              <w:spacing w:after="0" w:line="240" w:lineRule="auto"/>
            </w:pPr>
            <w:r>
              <w:rPr>
                <w:sz w:val="16"/>
              </w:rPr>
              <w:t>compte/commande nullable, invoice ID unique</w:t>
            </w:r>
          </w:p>
        </w:tc>
        <w:tc>
          <w:tcPr>
            <w:tcW w:type="dxa" w:w="1123"/>
            <w:tcMar>
              <w:top w:w="80" w:type="dxa"/>
              <w:start w:w="110" w:type="dxa"/>
              <w:bottom w:w="80" w:type="dxa"/>
              <w:end w:w="110" w:type="dxa"/>
            </w:tcMar>
            <w:vAlign w:val="center"/>
            <w:shd w:fill="F8F7FC"/>
          </w:tcPr>
          <w:p>
            <w:pPr>
              <w:spacing w:after="0" w:line="240" w:lineRule="auto"/>
            </w:pPr>
            <w:r>
              <w:rPr>
                <w:sz w:val="16"/>
              </w:rPr>
              <w:t>Élevée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ticket_support</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id_ticket</w:t>
            </w:r>
          </w:p>
        </w:tc>
        <w:tc>
          <w:tcPr>
            <w:tcW w:type="dxa" w:w="3930"/>
            <w:tcMar>
              <w:top w:w="80" w:type="dxa"/>
              <w:start w:w="110" w:type="dxa"/>
              <w:bottom w:w="80" w:type="dxa"/>
              <w:end w:w="110" w:type="dxa"/>
            </w:tcMar>
            <w:vAlign w:val="center"/>
          </w:tcPr>
          <w:p>
            <w:pPr>
              <w:spacing w:after="0" w:line="240" w:lineRule="auto"/>
            </w:pPr>
            <w:r>
              <w:rPr>
                <w:sz w:val="16"/>
              </w:rPr>
              <w:t>Demande client/invité, priorité et statut</w:t>
            </w:r>
          </w:p>
        </w:tc>
        <w:tc>
          <w:tcPr>
            <w:tcW w:type="dxa" w:w="3930"/>
            <w:tcMar>
              <w:top w:w="80" w:type="dxa"/>
              <w:start w:w="110" w:type="dxa"/>
              <w:bottom w:w="80" w:type="dxa"/>
              <w:end w:w="110" w:type="dxa"/>
            </w:tcMar>
            <w:vAlign w:val="center"/>
          </w:tcPr>
          <w:p>
            <w:pPr>
              <w:spacing w:after="0" w:line="240" w:lineRule="auto"/>
            </w:pPr>
            <w:r>
              <w:rPr>
                <w:sz w:val="16"/>
              </w:rPr>
              <w:t>compte et commande facultatifs</w:t>
            </w:r>
          </w:p>
        </w:tc>
        <w:tc>
          <w:tcPr>
            <w:tcW w:type="dxa" w:w="1123"/>
            <w:tcMar>
              <w:top w:w="80" w:type="dxa"/>
              <w:start w:w="110" w:type="dxa"/>
              <w:bottom w:w="80" w:type="dxa"/>
              <w:end w:w="110" w:type="dxa"/>
            </w:tcMar>
            <w:vAlign w:val="center"/>
          </w:tcPr>
          <w:p>
            <w:pPr>
              <w:spacing w:after="0" w:line="240" w:lineRule="auto"/>
            </w:pPr>
            <w:r>
              <w:rPr>
                <w:sz w:val="16"/>
              </w:rPr>
              <w:t>Élevée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ticket_support_message</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id_message</w:t>
            </w:r>
          </w:p>
        </w:tc>
        <w:tc>
          <w:tcPr>
            <w:tcW w:type="dxa" w:w="3930"/>
            <w:tcMar>
              <w:top w:w="80" w:type="dxa"/>
              <w:start w:w="110" w:type="dxa"/>
              <w:bottom w:w="80" w:type="dxa"/>
              <w:end w:w="110" w:type="dxa"/>
            </w:tcMar>
            <w:vAlign w:val="center"/>
            <w:shd w:fill="F8F7FC"/>
          </w:tcPr>
          <w:p>
            <w:pPr>
              <w:spacing w:after="0" w:line="240" w:lineRule="auto"/>
            </w:pPr>
            <w:r>
              <w:rPr>
                <w:sz w:val="16"/>
              </w:rPr>
              <w:t>Échanges d'un ticket</w:t>
            </w:r>
          </w:p>
        </w:tc>
        <w:tc>
          <w:tcPr>
            <w:tcW w:type="dxa" w:w="3930"/>
            <w:tcMar>
              <w:top w:w="80" w:type="dxa"/>
              <w:start w:w="110" w:type="dxa"/>
              <w:bottom w:w="80" w:type="dxa"/>
              <w:end w:w="110" w:type="dxa"/>
            </w:tcMar>
            <w:vAlign w:val="center"/>
            <w:shd w:fill="F8F7FC"/>
          </w:tcPr>
          <w:p>
            <w:pPr>
              <w:spacing w:after="0" w:line="240" w:lineRule="auto"/>
            </w:pPr>
            <w:r>
              <w:rPr>
                <w:sz w:val="16"/>
              </w:rPr>
              <w:t>ticket parent, auteur et rôle</w:t>
            </w:r>
          </w:p>
        </w:tc>
        <w:tc>
          <w:tcPr>
            <w:tcW w:type="dxa" w:w="1123"/>
            <w:tcMar>
              <w:top w:w="80" w:type="dxa"/>
              <w:start w:w="110" w:type="dxa"/>
              <w:bottom w:w="80" w:type="dxa"/>
              <w:end w:w="110" w:type="dxa"/>
            </w:tcMar>
            <w:vAlign w:val="center"/>
            <w:shd w:fill="F8F7FC"/>
          </w:tcPr>
          <w:p>
            <w:pPr>
              <w:spacing w:after="0" w:line="240" w:lineRule="auto"/>
            </w:pPr>
            <w:r>
              <w:rPr>
                <w:sz w:val="16"/>
              </w:rPr>
              <w:t>Élevée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chat_conversation</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id_conversation</w:t>
            </w:r>
            <w:r>
              <w:rPr>
                <w:sz w:val="16"/>
              </w:rPr>
              <w:t xml:space="preserve"> UUID</w:t>
            </w:r>
          </w:p>
        </w:tc>
        <w:tc>
          <w:tcPr>
            <w:tcW w:type="dxa" w:w="3930"/>
            <w:tcMar>
              <w:top w:w="80" w:type="dxa"/>
              <w:start w:w="110" w:type="dxa"/>
              <w:bottom w:w="80" w:type="dxa"/>
              <w:end w:w="110" w:type="dxa"/>
            </w:tcMar>
            <w:vAlign w:val="center"/>
          </w:tcPr>
          <w:p>
            <w:pPr>
              <w:spacing w:after="0" w:line="240" w:lineRule="auto"/>
            </w:pPr>
            <w:r>
              <w:rPr>
                <w:sz w:val="16"/>
              </w:rPr>
              <w:t>Propriété, locale et rétention CynAI</w:t>
            </w:r>
          </w:p>
        </w:tc>
        <w:tc>
          <w:tcPr>
            <w:tcW w:type="dxa" w:w="3930"/>
            <w:tcMar>
              <w:top w:w="80" w:type="dxa"/>
              <w:start w:w="110" w:type="dxa"/>
              <w:bottom w:w="80" w:type="dxa"/>
              <w:end w:w="110" w:type="dxa"/>
            </w:tcMar>
            <w:vAlign w:val="center"/>
          </w:tcPr>
          <w:p>
            <w:pPr>
              <w:spacing w:after="0" w:line="240" w:lineRule="auto"/>
            </w:pPr>
            <w:r>
              <w:rPr>
                <w:sz w:val="16"/>
              </w:rPr>
              <w:t>compte ou hash invité ; messages enfants</w:t>
            </w:r>
          </w:p>
        </w:tc>
        <w:tc>
          <w:tcPr>
            <w:tcW w:type="dxa" w:w="1123"/>
            <w:tcMar>
              <w:top w:w="80" w:type="dxa"/>
              <w:start w:w="110" w:type="dxa"/>
              <w:bottom w:w="80" w:type="dxa"/>
              <w:end w:w="110" w:type="dxa"/>
            </w:tcMar>
            <w:vAlign w:val="center"/>
          </w:tcPr>
          <w:p>
            <w:pPr>
              <w:spacing w:after="0" w:line="240" w:lineRule="auto"/>
            </w:pPr>
            <w:r>
              <w:rPr>
                <w:sz w:val="16"/>
              </w:rPr>
              <w:t>Élevée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chat_message</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id_message</w:t>
            </w:r>
            <w:r>
              <w:rPr>
                <w:sz w:val="16"/>
              </w:rPr>
              <w:t xml:space="preserve"> UUID</w:t>
            </w:r>
          </w:p>
        </w:tc>
        <w:tc>
          <w:tcPr>
            <w:tcW w:type="dxa" w:w="3930"/>
            <w:tcMar>
              <w:top w:w="80" w:type="dxa"/>
              <w:start w:w="110" w:type="dxa"/>
              <w:bottom w:w="80" w:type="dxa"/>
              <w:end w:w="110" w:type="dxa"/>
            </w:tcMar>
            <w:vAlign w:val="center"/>
            <w:shd w:fill="F8F7FC"/>
          </w:tcPr>
          <w:p>
            <w:pPr>
              <w:spacing w:after="0" w:line="240" w:lineRule="auto"/>
            </w:pPr>
            <w:r>
              <w:rPr>
                <w:sz w:val="16"/>
              </w:rPr>
              <w:t>Tour utilisateur/assistant et métadonnées sûres</w:t>
            </w:r>
          </w:p>
        </w:tc>
        <w:tc>
          <w:tcPr>
            <w:tcW w:type="dxa" w:w="3930"/>
            <w:tcMar>
              <w:top w:w="80" w:type="dxa"/>
              <w:start w:w="110" w:type="dxa"/>
              <w:bottom w:w="80" w:type="dxa"/>
              <w:end w:w="110" w:type="dxa"/>
            </w:tcMar>
            <w:vAlign w:val="center"/>
            <w:shd w:fill="F8F7FC"/>
          </w:tcPr>
          <w:p>
            <w:pPr>
              <w:spacing w:after="0" w:line="240" w:lineRule="auto"/>
            </w:pPr>
            <w:r>
              <w:rPr>
                <w:sz w:val="16"/>
              </w:rPr>
              <w:t>appartient à une conversation</w:t>
            </w:r>
          </w:p>
        </w:tc>
        <w:tc>
          <w:tcPr>
            <w:tcW w:type="dxa" w:w="1123"/>
            <w:tcMar>
              <w:top w:w="80" w:type="dxa"/>
              <w:start w:w="110" w:type="dxa"/>
              <w:bottom w:w="80" w:type="dxa"/>
              <w:end w:w="110" w:type="dxa"/>
            </w:tcMar>
            <w:vAlign w:val="center"/>
            <w:shd w:fill="F8F7FC"/>
          </w:tcPr>
          <w:p>
            <w:pPr>
              <w:spacing w:after="0" w:line="240" w:lineRule="auto"/>
            </w:pPr>
            <w:r>
              <w:rPr>
                <w:sz w:val="16"/>
              </w:rPr>
              <w:t>Élevée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texte_general</w:t>
            </w:r>
          </w:p>
        </w:tc>
        <w:tc>
          <w:tcPr>
            <w:tcW w:type="dxa" w:w="2058"/>
            <w:tcMar>
              <w:top w:w="80" w:type="dxa"/>
              <w:start w:w="110" w:type="dxa"/>
              <w:bottom w:w="80" w:type="dxa"/>
              <w:end w:w="110" w:type="dxa"/>
            </w:tcMar>
            <w:vAlign w:val="center"/>
          </w:tcPr>
          <w:p>
            <w:pPr>
              <w:spacing w:after="0" w:line="240" w:lineRule="auto"/>
            </w:pPr>
            <w:r>
              <w:rPr>
                <w:rFonts w:ascii="Consolas" w:hAnsi="Consolas"/>
                <w:color w:val="4A339E"/>
                <w:sz w:val="16"/>
              </w:rPr>
              <w:t>id_texte_general</w:t>
            </w:r>
          </w:p>
        </w:tc>
        <w:tc>
          <w:tcPr>
            <w:tcW w:type="dxa" w:w="3930"/>
            <w:tcMar>
              <w:top w:w="80" w:type="dxa"/>
              <w:start w:w="110" w:type="dxa"/>
              <w:bottom w:w="80" w:type="dxa"/>
              <w:end w:w="110" w:type="dxa"/>
            </w:tcMar>
            <w:vAlign w:val="center"/>
          </w:tcPr>
          <w:p>
            <w:pPr>
              <w:spacing w:after="0" w:line="240" w:lineRule="auto"/>
            </w:pPr>
            <w:r>
              <w:rPr>
                <w:sz w:val="16"/>
              </w:rPr>
              <w:t>Blocs éditoriaux localisés</w:t>
            </w:r>
          </w:p>
        </w:tc>
        <w:tc>
          <w:tcPr>
            <w:tcW w:type="dxa" w:w="3930"/>
            <w:tcMar>
              <w:top w:w="80" w:type="dxa"/>
              <w:start w:w="110" w:type="dxa"/>
              <w:bottom w:w="80" w:type="dxa"/>
              <w:end w:w="110" w:type="dxa"/>
            </w:tcMar>
            <w:vAlign w:val="center"/>
          </w:tcPr>
          <w:p>
            <w:pPr>
              <w:spacing w:after="0" w:line="240" w:lineRule="auto"/>
            </w:pPr>
            <w:r>
              <w:rPr>
                <w:sz w:val="16"/>
              </w:rPr>
              <w:t>clé fonctionnelle et locale</w:t>
            </w:r>
          </w:p>
        </w:tc>
        <w:tc>
          <w:tcPr>
            <w:tcW w:type="dxa" w:w="1123"/>
            <w:tcMar>
              <w:top w:w="80" w:type="dxa"/>
              <w:start w:w="110" w:type="dxa"/>
              <w:bottom w:w="80" w:type="dxa"/>
              <w:end w:w="110" w:type="dxa"/>
            </w:tcMar>
            <w:vAlign w:val="center"/>
          </w:tcPr>
          <w:p>
            <w:pPr>
              <w:spacing w:after="0" w:line="240" w:lineRule="auto"/>
            </w:pPr>
            <w:r>
              <w:rPr>
                <w:sz w:val="16"/>
              </w:rPr>
              <w:t>Publique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image_carrousel</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id_image_carrousel</w:t>
            </w:r>
          </w:p>
        </w:tc>
        <w:tc>
          <w:tcPr>
            <w:tcW w:type="dxa" w:w="3930"/>
            <w:tcMar>
              <w:top w:w="80" w:type="dxa"/>
              <w:start w:w="110" w:type="dxa"/>
              <w:bottom w:w="80" w:type="dxa"/>
              <w:end w:w="110" w:type="dxa"/>
            </w:tcMar>
            <w:vAlign w:val="center"/>
            <w:shd w:fill="F8F7FC"/>
          </w:tcPr>
          <w:p>
            <w:pPr>
              <w:spacing w:after="0" w:line="240" w:lineRule="auto"/>
            </w:pPr>
            <w:r>
              <w:rPr>
                <w:sz w:val="16"/>
              </w:rPr>
              <w:t>Visuel de carrousel, ordre et activité</w:t>
            </w:r>
          </w:p>
        </w:tc>
        <w:tc>
          <w:tcPr>
            <w:tcW w:type="dxa" w:w="3930"/>
            <w:tcMar>
              <w:top w:w="80" w:type="dxa"/>
              <w:start w:w="110" w:type="dxa"/>
              <w:bottom w:w="80" w:type="dxa"/>
              <w:end w:w="110" w:type="dxa"/>
            </w:tcMar>
            <w:vAlign w:val="center"/>
            <w:shd w:fill="F8F7FC"/>
          </w:tcPr>
          <w:p>
            <w:pPr>
              <w:spacing w:after="0" w:line="240" w:lineRule="auto"/>
            </w:pPr>
            <w:r>
              <w:rPr>
                <w:sz w:val="16"/>
              </w:rPr>
              <w:t>traductions enfants</w:t>
            </w:r>
          </w:p>
        </w:tc>
        <w:tc>
          <w:tcPr>
            <w:tcW w:type="dxa" w:w="1123"/>
            <w:tcMar>
              <w:top w:w="80" w:type="dxa"/>
              <w:start w:w="110" w:type="dxa"/>
              <w:bottom w:w="80" w:type="dxa"/>
              <w:end w:w="110" w:type="dxa"/>
            </w:tcMar>
            <w:vAlign w:val="center"/>
            <w:shd w:fill="F8F7FC"/>
          </w:tcPr>
          <w:p>
            <w:pPr>
              <w:spacing w:after="0" w:line="240" w:lineRule="auto"/>
            </w:pPr>
            <w:r>
              <w:rPr>
                <w:sz w:val="16"/>
              </w:rPr>
              <w:t>Publique</w:t>
            </w:r>
          </w:p>
        </w:tc>
      </w:tr>
      <w:tr>
        <w:tc>
          <w:tcPr>
            <w:tcW w:type="dxa" w:w="3556"/>
            <w:tcMar>
              <w:top w:w="80" w:type="dxa"/>
              <w:start w:w="110" w:type="dxa"/>
              <w:bottom w:w="80" w:type="dxa"/>
              <w:end w:w="110" w:type="dxa"/>
            </w:tcMar>
            <w:vAlign w:val="center"/>
          </w:tcPr>
          <w:p>
            <w:pPr>
              <w:spacing w:after="0" w:line="240" w:lineRule="auto"/>
            </w:pPr>
            <w:r>
              <w:rPr>
                <w:rFonts w:ascii="Consolas" w:hAnsi="Consolas"/>
                <w:color w:val="4A339E"/>
                <w:sz w:val="16"/>
              </w:rPr>
              <w:t>image_carrousel_traduction</w:t>
            </w:r>
          </w:p>
        </w:tc>
        <w:tc>
          <w:tcPr>
            <w:tcW w:type="dxa" w:w="2058"/>
            <w:tcMar>
              <w:top w:w="80" w:type="dxa"/>
              <w:start w:w="110" w:type="dxa"/>
              <w:bottom w:w="80" w:type="dxa"/>
              <w:end w:w="110" w:type="dxa"/>
            </w:tcMar>
            <w:vAlign w:val="center"/>
          </w:tcPr>
          <w:p>
            <w:pPr>
              <w:spacing w:after="0" w:line="240" w:lineRule="auto"/>
            </w:pPr>
            <w:r>
              <w:rPr>
                <w:sz w:val="16"/>
              </w:rPr>
              <w:t>clé composée</w:t>
            </w:r>
          </w:p>
        </w:tc>
        <w:tc>
          <w:tcPr>
            <w:tcW w:type="dxa" w:w="3930"/>
            <w:tcMar>
              <w:top w:w="80" w:type="dxa"/>
              <w:start w:w="110" w:type="dxa"/>
              <w:bottom w:w="80" w:type="dxa"/>
              <w:end w:w="110" w:type="dxa"/>
            </w:tcMar>
            <w:vAlign w:val="center"/>
          </w:tcPr>
          <w:p>
            <w:pPr>
              <w:spacing w:after="0" w:line="240" w:lineRule="auto"/>
            </w:pPr>
            <w:r>
              <w:rPr>
                <w:sz w:val="16"/>
              </w:rPr>
              <w:t>Titre, alternative et lien localisés</w:t>
            </w:r>
          </w:p>
        </w:tc>
        <w:tc>
          <w:tcPr>
            <w:tcW w:type="dxa" w:w="3930"/>
            <w:tcMar>
              <w:top w:w="80" w:type="dxa"/>
              <w:start w:w="110" w:type="dxa"/>
              <w:bottom w:w="80" w:type="dxa"/>
              <w:end w:w="110" w:type="dxa"/>
            </w:tcMar>
            <w:vAlign w:val="center"/>
          </w:tcPr>
          <w:p>
            <w:pPr>
              <w:spacing w:after="0" w:line="240" w:lineRule="auto"/>
            </w:pPr>
            <w:r>
              <w:rPr>
                <w:sz w:val="16"/>
              </w:rPr>
              <w:t>image + locale</w:t>
            </w:r>
          </w:p>
        </w:tc>
        <w:tc>
          <w:tcPr>
            <w:tcW w:type="dxa" w:w="1123"/>
            <w:tcMar>
              <w:top w:w="80" w:type="dxa"/>
              <w:start w:w="110" w:type="dxa"/>
              <w:bottom w:w="80" w:type="dxa"/>
              <w:end w:w="110" w:type="dxa"/>
            </w:tcMar>
            <w:vAlign w:val="center"/>
          </w:tcPr>
          <w:p>
            <w:pPr>
              <w:spacing w:after="0" w:line="240" w:lineRule="auto"/>
            </w:pPr>
            <w:r>
              <w:rPr>
                <w:sz w:val="16"/>
              </w:rPr>
              <w:t>Publique</w:t>
            </w:r>
          </w:p>
        </w:tc>
      </w:tr>
      <w:tr>
        <w:tc>
          <w:tcPr>
            <w:tcW w:type="dxa" w:w="3556"/>
            <w:tcMar>
              <w:top w:w="80" w:type="dxa"/>
              <w:start w:w="110" w:type="dxa"/>
              <w:bottom w:w="80" w:type="dxa"/>
              <w:end w:w="110" w:type="dxa"/>
            </w:tcMar>
            <w:vAlign w:val="center"/>
            <w:shd w:fill="F8F7FC"/>
          </w:tcPr>
          <w:p>
            <w:pPr>
              <w:spacing w:after="0" w:line="240" w:lineRule="auto"/>
            </w:pPr>
            <w:r>
              <w:rPr>
                <w:rFonts w:ascii="Consolas" w:hAnsi="Consolas"/>
                <w:color w:val="4A339E"/>
                <w:sz w:val="16"/>
              </w:rPr>
              <w:t>mfa_reset_audit</w:t>
            </w:r>
          </w:p>
        </w:tc>
        <w:tc>
          <w:tcPr>
            <w:tcW w:type="dxa" w:w="2058"/>
            <w:tcMar>
              <w:top w:w="80" w:type="dxa"/>
              <w:start w:w="110" w:type="dxa"/>
              <w:bottom w:w="80" w:type="dxa"/>
              <w:end w:w="110" w:type="dxa"/>
            </w:tcMar>
            <w:vAlign w:val="center"/>
            <w:shd w:fill="F8F7FC"/>
          </w:tcPr>
          <w:p>
            <w:pPr>
              <w:spacing w:after="0" w:line="240" w:lineRule="auto"/>
            </w:pPr>
            <w:r>
              <w:rPr>
                <w:rFonts w:ascii="Consolas" w:hAnsi="Consolas"/>
                <w:color w:val="4A339E"/>
                <w:sz w:val="16"/>
              </w:rPr>
              <w:t>id_audit</w:t>
            </w:r>
          </w:p>
        </w:tc>
        <w:tc>
          <w:tcPr>
            <w:tcW w:type="dxa" w:w="3930"/>
            <w:tcMar>
              <w:top w:w="80" w:type="dxa"/>
              <w:start w:w="110" w:type="dxa"/>
              <w:bottom w:w="80" w:type="dxa"/>
              <w:end w:w="110" w:type="dxa"/>
            </w:tcMar>
            <w:vAlign w:val="center"/>
            <w:shd w:fill="F8F7FC"/>
          </w:tcPr>
          <w:p>
            <w:pPr>
              <w:spacing w:after="0" w:line="240" w:lineRule="auto"/>
            </w:pPr>
            <w:r>
              <w:rPr>
                <w:sz w:val="16"/>
              </w:rPr>
              <w:t>Traçabilité des actions de réinitialisation MFA</w:t>
            </w:r>
          </w:p>
        </w:tc>
        <w:tc>
          <w:tcPr>
            <w:tcW w:type="dxa" w:w="3930"/>
            <w:tcMar>
              <w:top w:w="80" w:type="dxa"/>
              <w:start w:w="110" w:type="dxa"/>
              <w:bottom w:w="80" w:type="dxa"/>
              <w:end w:w="110" w:type="dxa"/>
            </w:tcMar>
            <w:vAlign w:val="center"/>
            <w:shd w:fill="F8F7FC"/>
          </w:tcPr>
          <w:p>
            <w:pPr>
              <w:spacing w:after="0" w:line="240" w:lineRule="auto"/>
            </w:pPr>
            <w:r>
              <w:rPr>
                <w:sz w:val="16"/>
              </w:rPr>
              <w:t>acteur, cible, date et résultat</w:t>
            </w:r>
          </w:p>
        </w:tc>
        <w:tc>
          <w:tcPr>
            <w:tcW w:type="dxa" w:w="1123"/>
            <w:tcMar>
              <w:top w:w="80" w:type="dxa"/>
              <w:start w:w="110" w:type="dxa"/>
              <w:bottom w:w="80" w:type="dxa"/>
              <w:end w:w="110" w:type="dxa"/>
            </w:tcMar>
            <w:vAlign w:val="center"/>
            <w:shd w:fill="F8F7FC"/>
          </w:tcPr>
          <w:p>
            <w:pPr>
              <w:spacing w:after="0" w:line="240" w:lineRule="auto"/>
            </w:pPr>
            <w:r>
              <w:rPr>
                <w:sz w:val="16"/>
              </w:rPr>
              <w:t>Très élevée</w:t>
            </w:r>
          </w:p>
        </w:tc>
      </w:tr>
    </w:tbl>
    <w:p>
      <w:pPr>
        <w:spacing w:after="0"/>
      </w:pPr>
    </w:p>
    <w:p>
      <w:bookmarkStart w:id="39" w:name="h_39_Lecture_op_rationnelle_du_di"/>
      <w:pPr>
        <w:pStyle w:val="Heading2"/>
      </w:pPr>
      <w:r>
        <w:t>Lecture opérationnelle du dictionnaire</w:t>
      </w:r>
      <w:bookmarkEnd w:id="39"/>
    </w:p>
    <w:p>
      <w:r>
        <w:t xml:space="preserve">Le dictionnaire distingue trois responsabilités. Supabase Auth reste l'autorité des identités et des facteurs MFA ; </w:t>
      </w:r>
      <w:r>
        <w:rPr>
          <w:rFonts w:ascii="Consolas" w:hAnsi="Consolas"/>
          <w:color w:val="4A339E"/>
          <w:sz w:val="18"/>
        </w:rPr>
        <w:t>utilisateur</w:t>
      </w:r>
      <w:r>
        <w:t xml:space="preserve"> en est la projection métier, enrichie du rôle, de l'état d'activation et de l'identifiant client Stripe. Stripe demeure l'autorité financière ; </w:t>
      </w:r>
      <w:r>
        <w:rPr>
          <w:rFonts w:ascii="Consolas" w:hAnsi="Consolas"/>
          <w:color w:val="4A339E"/>
          <w:sz w:val="18"/>
        </w:rPr>
        <w:t>commande</w:t>
      </w:r>
      <w:r>
        <w:t xml:space="preserve">, </w:t>
      </w:r>
      <w:r>
        <w:rPr>
          <w:rFonts w:ascii="Consolas" w:hAnsi="Consolas"/>
          <w:color w:val="4A339E"/>
          <w:sz w:val="18"/>
        </w:rPr>
        <w:t>abonnement</w:t>
      </w:r>
      <w:r>
        <w:t xml:space="preserve"> et </w:t>
      </w:r>
      <w:r>
        <w:rPr>
          <w:rFonts w:ascii="Consolas" w:hAnsi="Consolas"/>
          <w:color w:val="4A339E"/>
          <w:sz w:val="18"/>
        </w:rPr>
        <w:t>facture</w:t>
      </w:r>
      <w:r>
        <w:t xml:space="preserve"> en conservent les références, snapshots et états nécessaires au service client et à la réconciliation. Enfin, PostgreSQL fait autorité pour le catalogue, le support, les conversations et les contenus éditoriaux.</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336"/>
        <w:gridCol w:w="4088"/>
        <w:gridCol w:w="4088"/>
        <w:gridCol w:w="4088"/>
      </w:tblGrid>
      <w:tr>
        <w:trPr>
          <w:tblHeader w:val="true"/>
        </w:trPr>
        <w:tc>
          <w:tcPr>
            <w:tcW w:type="dxa" w:w="2336"/>
            <w:tcMar>
              <w:top w:w="80" w:type="dxa"/>
              <w:start w:w="110" w:type="dxa"/>
              <w:bottom w:w="80" w:type="dxa"/>
              <w:end w:w="110" w:type="dxa"/>
            </w:tcMar>
            <w:vAlign w:val="center"/>
            <w:shd w:fill="E8EEF5"/>
          </w:tcPr>
          <w:p>
            <w:pPr>
              <w:spacing w:after="0" w:line="240" w:lineRule="auto"/>
            </w:pPr>
            <w:r>
              <w:rPr>
                <w:b/>
                <w:color w:val="302082"/>
                <w:sz w:val="17"/>
              </w:rPr>
              <w:t>Domaine</w:t>
            </w:r>
          </w:p>
        </w:tc>
        <w:tc>
          <w:tcPr>
            <w:tcW w:type="dxa" w:w="4088"/>
            <w:tcMar>
              <w:top w:w="80" w:type="dxa"/>
              <w:start w:w="110" w:type="dxa"/>
              <w:bottom w:w="80" w:type="dxa"/>
              <w:end w:w="110" w:type="dxa"/>
            </w:tcMar>
            <w:vAlign w:val="center"/>
            <w:shd w:fill="E8EEF5"/>
          </w:tcPr>
          <w:p>
            <w:pPr>
              <w:spacing w:after="0" w:line="240" w:lineRule="auto"/>
            </w:pPr>
            <w:r>
              <w:rPr>
                <w:b/>
                <w:color w:val="302082"/>
                <w:sz w:val="17"/>
              </w:rPr>
              <w:t>Écriture autorisée</w:t>
            </w:r>
          </w:p>
        </w:tc>
        <w:tc>
          <w:tcPr>
            <w:tcW w:type="dxa" w:w="4088"/>
            <w:tcMar>
              <w:top w:w="80" w:type="dxa"/>
              <w:start w:w="110" w:type="dxa"/>
              <w:bottom w:w="80" w:type="dxa"/>
              <w:end w:w="110" w:type="dxa"/>
            </w:tcMar>
            <w:vAlign w:val="center"/>
            <w:shd w:fill="E8EEF5"/>
          </w:tcPr>
          <w:p>
            <w:pPr>
              <w:spacing w:after="0" w:line="240" w:lineRule="auto"/>
            </w:pPr>
            <w:r>
              <w:rPr>
                <w:b/>
                <w:color w:val="302082"/>
                <w:sz w:val="17"/>
              </w:rPr>
              <w:t>Cohérence attendue</w:t>
            </w:r>
          </w:p>
        </w:tc>
        <w:tc>
          <w:tcPr>
            <w:tcW w:type="dxa" w:w="4088"/>
            <w:tcMar>
              <w:top w:w="80" w:type="dxa"/>
              <w:start w:w="110" w:type="dxa"/>
              <w:bottom w:w="80" w:type="dxa"/>
              <w:end w:w="110" w:type="dxa"/>
            </w:tcMar>
            <w:vAlign w:val="center"/>
            <w:shd w:fill="E8EEF5"/>
          </w:tcPr>
          <w:p>
            <w:pPr>
              <w:spacing w:after="0" w:line="240" w:lineRule="auto"/>
            </w:pPr>
            <w:r>
              <w:rPr>
                <w:b/>
                <w:color w:val="302082"/>
                <w:sz w:val="17"/>
              </w:rPr>
              <w:t>Contrôle d'exploitation</w:t>
            </w:r>
          </w:p>
        </w:tc>
      </w:tr>
      <w:tr>
        <w:tc>
          <w:tcPr>
            <w:tcW w:type="dxa" w:w="2336"/>
            <w:tcMar>
              <w:top w:w="80" w:type="dxa"/>
              <w:start w:w="110" w:type="dxa"/>
              <w:bottom w:w="80" w:type="dxa"/>
              <w:end w:w="110" w:type="dxa"/>
            </w:tcMar>
            <w:vAlign w:val="center"/>
          </w:tcPr>
          <w:p>
            <w:pPr>
              <w:spacing w:after="0" w:line="240" w:lineRule="auto"/>
            </w:pPr>
            <w:r>
              <w:rPr>
                <w:sz w:val="17"/>
              </w:rPr>
              <w:t>Identité et MFA</w:t>
            </w:r>
          </w:p>
        </w:tc>
        <w:tc>
          <w:tcPr>
            <w:tcW w:type="dxa" w:w="4088"/>
            <w:tcMar>
              <w:top w:w="80" w:type="dxa"/>
              <w:start w:w="110" w:type="dxa"/>
              <w:bottom w:w="80" w:type="dxa"/>
              <w:end w:w="110" w:type="dxa"/>
            </w:tcMar>
            <w:vAlign w:val="center"/>
          </w:tcPr>
          <w:p>
            <w:pPr>
              <w:spacing w:after="0" w:line="240" w:lineRule="auto"/>
            </w:pPr>
            <w:r>
              <w:rPr>
                <w:sz w:val="17"/>
              </w:rPr>
              <w:t>Auth Supabase et procédures administratives gardées</w:t>
            </w:r>
          </w:p>
        </w:tc>
        <w:tc>
          <w:tcPr>
            <w:tcW w:type="dxa" w:w="4088"/>
            <w:tcMar>
              <w:top w:w="80" w:type="dxa"/>
              <w:start w:w="110" w:type="dxa"/>
              <w:bottom w:w="80" w:type="dxa"/>
              <w:end w:w="110" w:type="dxa"/>
            </w:tcMar>
            <w:vAlign w:val="center"/>
          </w:tcPr>
          <w:p>
            <w:pPr>
              <w:spacing w:after="0" w:line="240" w:lineRule="auto"/>
            </w:pPr>
            <w:r>
              <w:rPr>
                <w:sz w:val="17"/>
              </w:rPr>
              <w:t xml:space="preserve">projection </w:t>
            </w:r>
            <w:r>
              <w:rPr>
                <w:rFonts w:ascii="Consolas" w:hAnsi="Consolas"/>
                <w:color w:val="4A339E"/>
                <w:sz w:val="17"/>
              </w:rPr>
              <w:t>utilisateur</w:t>
            </w:r>
            <w:r>
              <w:rPr>
                <w:sz w:val="17"/>
              </w:rPr>
              <w:t xml:space="preserve"> liée à </w:t>
            </w:r>
            <w:r>
              <w:rPr>
                <w:rFonts w:ascii="Consolas" w:hAnsi="Consolas"/>
                <w:color w:val="4A339E"/>
                <w:sz w:val="17"/>
              </w:rPr>
              <w:t>auth.users</w:t>
            </w:r>
          </w:p>
        </w:tc>
        <w:tc>
          <w:tcPr>
            <w:tcW w:type="dxa" w:w="4088"/>
            <w:tcMar>
              <w:top w:w="80" w:type="dxa"/>
              <w:start w:w="110" w:type="dxa"/>
              <w:bottom w:w="80" w:type="dxa"/>
              <w:end w:w="110" w:type="dxa"/>
            </w:tcMar>
            <w:vAlign w:val="center"/>
          </w:tcPr>
          <w:p>
            <w:pPr>
              <w:spacing w:after="0" w:line="240" w:lineRule="auto"/>
            </w:pPr>
            <w:r>
              <w:rPr>
                <w:sz w:val="17"/>
              </w:rPr>
              <w:t xml:space="preserve">comptes inactifs, AAL2 et piste </w:t>
            </w:r>
            <w:r>
              <w:rPr>
                <w:rFonts w:ascii="Consolas" w:hAnsi="Consolas"/>
                <w:color w:val="4A339E"/>
                <w:sz w:val="17"/>
              </w:rPr>
              <w:t>mfa_reset_audit</w:t>
            </w:r>
          </w:p>
        </w:tc>
      </w:tr>
      <w:tr>
        <w:tc>
          <w:tcPr>
            <w:tcW w:type="dxa" w:w="2336"/>
            <w:tcMar>
              <w:top w:w="80" w:type="dxa"/>
              <w:start w:w="110" w:type="dxa"/>
              <w:bottom w:w="80" w:type="dxa"/>
              <w:end w:w="110" w:type="dxa"/>
            </w:tcMar>
            <w:vAlign w:val="center"/>
            <w:shd w:fill="F8F7FC"/>
          </w:tcPr>
          <w:p>
            <w:pPr>
              <w:spacing w:after="0" w:line="240" w:lineRule="auto"/>
            </w:pPr>
            <w:r>
              <w:rPr>
                <w:sz w:val="17"/>
              </w:rPr>
              <w:t>Catalogue et CMS</w:t>
            </w:r>
          </w:p>
        </w:tc>
        <w:tc>
          <w:tcPr>
            <w:tcW w:type="dxa" w:w="4088"/>
            <w:tcMar>
              <w:top w:w="80" w:type="dxa"/>
              <w:start w:w="110" w:type="dxa"/>
              <w:bottom w:w="80" w:type="dxa"/>
              <w:end w:w="110" w:type="dxa"/>
            </w:tcMar>
            <w:vAlign w:val="center"/>
            <w:shd w:fill="F8F7FC"/>
          </w:tcPr>
          <w:p>
            <w:pPr>
              <w:spacing w:after="0" w:line="240" w:lineRule="auto"/>
            </w:pPr>
            <w:r>
              <w:rPr>
                <w:sz w:val="17"/>
              </w:rPr>
              <w:t>Server Actions BackOffice après RBAC</w:t>
            </w:r>
          </w:p>
        </w:tc>
        <w:tc>
          <w:tcPr>
            <w:tcW w:type="dxa" w:w="4088"/>
            <w:tcMar>
              <w:top w:w="80" w:type="dxa"/>
              <w:start w:w="110" w:type="dxa"/>
              <w:bottom w:w="80" w:type="dxa"/>
              <w:end w:w="110" w:type="dxa"/>
            </w:tcMar>
            <w:vAlign w:val="center"/>
            <w:shd w:fill="F8F7FC"/>
          </w:tcPr>
          <w:p>
            <w:pPr>
              <w:spacing w:after="0" w:line="240" w:lineRule="auto"/>
            </w:pPr>
            <w:r>
              <w:rPr>
                <w:sz w:val="17"/>
              </w:rPr>
              <w:t>entités stables séparées des traductions</w:t>
            </w:r>
          </w:p>
        </w:tc>
        <w:tc>
          <w:tcPr>
            <w:tcW w:type="dxa" w:w="4088"/>
            <w:tcMar>
              <w:top w:w="80" w:type="dxa"/>
              <w:start w:w="110" w:type="dxa"/>
              <w:bottom w:w="80" w:type="dxa"/>
              <w:end w:w="110" w:type="dxa"/>
            </w:tcMar>
            <w:vAlign w:val="center"/>
            <w:shd w:fill="F8F7FC"/>
          </w:tcPr>
          <w:p>
            <w:pPr>
              <w:spacing w:after="0" w:line="240" w:lineRule="auto"/>
            </w:pPr>
            <w:r>
              <w:rPr>
                <w:sz w:val="17"/>
              </w:rPr>
              <w:t>doublons de locale, médias orphelins et ordre d'affichage</w:t>
            </w:r>
          </w:p>
        </w:tc>
      </w:tr>
      <w:tr>
        <w:tc>
          <w:tcPr>
            <w:tcW w:type="dxa" w:w="2336"/>
            <w:tcMar>
              <w:top w:w="80" w:type="dxa"/>
              <w:start w:w="110" w:type="dxa"/>
              <w:bottom w:w="80" w:type="dxa"/>
              <w:end w:w="110" w:type="dxa"/>
            </w:tcMar>
            <w:vAlign w:val="center"/>
          </w:tcPr>
          <w:p>
            <w:pPr>
              <w:spacing w:after="0" w:line="240" w:lineRule="auto"/>
            </w:pPr>
            <w:r>
              <w:rPr>
                <w:sz w:val="17"/>
              </w:rPr>
              <w:t>Commandes et facturation</w:t>
            </w:r>
          </w:p>
        </w:tc>
        <w:tc>
          <w:tcPr>
            <w:tcW w:type="dxa" w:w="4088"/>
            <w:tcMar>
              <w:top w:w="80" w:type="dxa"/>
              <w:start w:w="110" w:type="dxa"/>
              <w:bottom w:w="80" w:type="dxa"/>
              <w:end w:w="110" w:type="dxa"/>
            </w:tcMar>
            <w:vAlign w:val="center"/>
          </w:tcPr>
          <w:p>
            <w:pPr>
              <w:spacing w:after="0" w:line="240" w:lineRule="auto"/>
            </w:pPr>
            <w:r>
              <w:rPr>
                <w:sz w:val="17"/>
              </w:rPr>
              <w:t>checkout serveur puis webhooks Stripe signés</w:t>
            </w:r>
          </w:p>
        </w:tc>
        <w:tc>
          <w:tcPr>
            <w:tcW w:type="dxa" w:w="4088"/>
            <w:tcMar>
              <w:top w:w="80" w:type="dxa"/>
              <w:start w:w="110" w:type="dxa"/>
              <w:bottom w:w="80" w:type="dxa"/>
              <w:end w:w="110" w:type="dxa"/>
            </w:tcMar>
            <w:vAlign w:val="center"/>
          </w:tcPr>
          <w:p>
            <w:pPr>
              <w:spacing w:after="0" w:line="240" w:lineRule="auto"/>
            </w:pPr>
            <w:r>
              <w:rPr>
                <w:sz w:val="17"/>
              </w:rPr>
              <w:t>convergence par identifiants externes uniques et RPC réentrantes</w:t>
            </w:r>
          </w:p>
        </w:tc>
        <w:tc>
          <w:tcPr>
            <w:tcW w:type="dxa" w:w="4088"/>
            <w:tcMar>
              <w:top w:w="80" w:type="dxa"/>
              <w:start w:w="110" w:type="dxa"/>
              <w:bottom w:w="80" w:type="dxa"/>
              <w:end w:w="110" w:type="dxa"/>
            </w:tcMar>
            <w:vAlign w:val="center"/>
          </w:tcPr>
          <w:p>
            <w:pPr>
              <w:spacing w:after="0" w:line="240" w:lineRule="auto"/>
            </w:pPr>
            <w:r>
              <w:rPr>
                <w:sz w:val="17"/>
              </w:rPr>
              <w:t>commandes en attente, abonnements divergents et factures manquantes</w:t>
            </w:r>
          </w:p>
        </w:tc>
      </w:tr>
      <w:tr>
        <w:tc>
          <w:tcPr>
            <w:tcW w:type="dxa" w:w="2336"/>
            <w:tcMar>
              <w:top w:w="80" w:type="dxa"/>
              <w:start w:w="110" w:type="dxa"/>
              <w:bottom w:w="80" w:type="dxa"/>
              <w:end w:w="110" w:type="dxa"/>
            </w:tcMar>
            <w:vAlign w:val="center"/>
            <w:shd w:fill="F8F7FC"/>
          </w:tcPr>
          <w:p>
            <w:pPr>
              <w:spacing w:after="0" w:line="240" w:lineRule="auto"/>
            </w:pPr>
            <w:r>
              <w:rPr>
                <w:sz w:val="17"/>
              </w:rPr>
              <w:t>Support et CynAI</w:t>
            </w:r>
          </w:p>
        </w:tc>
        <w:tc>
          <w:tcPr>
            <w:tcW w:type="dxa" w:w="4088"/>
            <w:tcMar>
              <w:top w:w="80" w:type="dxa"/>
              <w:start w:w="110" w:type="dxa"/>
              <w:bottom w:w="80" w:type="dxa"/>
              <w:end w:w="110" w:type="dxa"/>
            </w:tcMar>
            <w:vAlign w:val="center"/>
            <w:shd w:fill="F8F7FC"/>
          </w:tcPr>
          <w:p>
            <w:pPr>
              <w:spacing w:after="0" w:line="240" w:lineRule="auto"/>
            </w:pPr>
            <w:r>
              <w:rPr>
                <w:sz w:val="17"/>
              </w:rPr>
              <w:t>compte propriétaire ou session invitée hashée</w:t>
            </w:r>
          </w:p>
        </w:tc>
        <w:tc>
          <w:tcPr>
            <w:tcW w:type="dxa" w:w="4088"/>
            <w:tcMar>
              <w:top w:w="80" w:type="dxa"/>
              <w:start w:w="110" w:type="dxa"/>
              <w:bottom w:w="80" w:type="dxa"/>
              <w:end w:w="110" w:type="dxa"/>
            </w:tcMar>
            <w:vAlign w:val="center"/>
            <w:shd w:fill="F8F7FC"/>
          </w:tcPr>
          <w:p>
            <w:pPr>
              <w:spacing w:after="0" w:line="240" w:lineRule="auto"/>
            </w:pPr>
            <w:r>
              <w:rPr>
                <w:sz w:val="17"/>
              </w:rPr>
              <w:t>messages enfants rattachés à leur ticket ou conversation</w:t>
            </w:r>
          </w:p>
        </w:tc>
        <w:tc>
          <w:tcPr>
            <w:tcW w:type="dxa" w:w="4088"/>
            <w:tcMar>
              <w:top w:w="80" w:type="dxa"/>
              <w:start w:w="110" w:type="dxa"/>
              <w:bottom w:w="80" w:type="dxa"/>
              <w:end w:w="110" w:type="dxa"/>
            </w:tcMar>
            <w:vAlign w:val="center"/>
            <w:shd w:fill="F8F7FC"/>
          </w:tcPr>
          <w:p>
            <w:pPr>
              <w:spacing w:after="0" w:line="240" w:lineRule="auto"/>
            </w:pPr>
            <w:r>
              <w:rPr>
                <w:sz w:val="17"/>
              </w:rPr>
              <w:t>accès BackOffice, purge à 90 jours et métadonnées minimisées</w:t>
            </w:r>
          </w:p>
        </w:tc>
      </w:tr>
    </w:tbl>
    <w:p>
      <w:pPr>
        <w:spacing w:after="0"/>
      </w:pPr>
    </w:p>
    <w:p>
      <w:r>
        <w:t>Les colonnes nullable ne sont pas interprétées comme des relations absentes par défaut : elles modélisent notamment le checkout invité, les tickets non associés à une commande et les factures rattachables selon le contexte. Toute évolution doit donc partir de la migration SQL, mettre à jour les types générés et les politiques RLS, puis réconcilier ce dictionnaire et les vues Mermaid dans le même changement.</w:t>
      </w:r>
    </w:p>
    <w:p>
      <w:pPr>
        <w:sectPr>
          <w:headerReference w:type="default" r:id="rId23"/>
          <w:footerReference w:type="default" r:id="rId24"/>
          <w:pgSz w:w="16838" w:h="11906" w:orient="landscape"/>
          <w:pgMar w:top="1134" w:right="1020" w:bottom="1020" w:left="1020" w:header="709" w:footer="709" w:gutter="0"/>
          <w:cols w:space="720"/>
          <w:docGrid w:linePitch="360"/>
        </w:sectPr>
      </w:pPr>
    </w:p>
    <w:p>
      <w:bookmarkStart w:id="40" w:name="h_40_D_cisions_techniques_et_dett"/>
      <w:pPr>
        <w:pStyle w:val="Heading1"/>
      </w:pPr>
      <w:r>
        <w:t>Décisions techniques et dette suivie</w:t>
      </w:r>
      <w:bookmarkEnd w:id="40"/>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485"/>
        <w:gridCol w:w="893"/>
        <w:gridCol w:w="2900"/>
        <w:gridCol w:w="2900"/>
      </w:tblGrid>
      <w:tr>
        <w:trPr>
          <w:tblHeader w:val="true"/>
        </w:trPr>
        <w:tc>
          <w:tcPr>
            <w:tcW w:type="dxa" w:w="2485"/>
            <w:tcMar>
              <w:top w:w="80" w:type="dxa"/>
              <w:start w:w="110" w:type="dxa"/>
              <w:bottom w:w="80" w:type="dxa"/>
              <w:end w:w="110" w:type="dxa"/>
            </w:tcMar>
            <w:vAlign w:val="center"/>
            <w:shd w:fill="E8EEF5"/>
          </w:tcPr>
          <w:p>
            <w:pPr>
              <w:spacing w:after="0" w:line="240" w:lineRule="auto"/>
            </w:pPr>
            <w:r>
              <w:rPr>
                <w:b/>
                <w:color w:val="302082"/>
                <w:sz w:val="17"/>
              </w:rPr>
              <w:t>Décision</w:t>
            </w:r>
          </w:p>
        </w:tc>
        <w:tc>
          <w:tcPr>
            <w:tcW w:type="dxa" w:w="893"/>
            <w:tcMar>
              <w:top w:w="80" w:type="dxa"/>
              <w:start w:w="110" w:type="dxa"/>
              <w:bottom w:w="80" w:type="dxa"/>
              <w:end w:w="110" w:type="dxa"/>
            </w:tcMar>
            <w:vAlign w:val="center"/>
            <w:shd w:fill="E8EEF5"/>
          </w:tcPr>
          <w:p>
            <w:pPr>
              <w:spacing w:after="0" w:line="240" w:lineRule="auto"/>
            </w:pPr>
            <w:r>
              <w:rPr>
                <w:b/>
                <w:color w:val="302082"/>
                <w:sz w:val="17"/>
              </w:rPr>
              <w:t>État</w:t>
            </w:r>
          </w:p>
        </w:tc>
        <w:tc>
          <w:tcPr>
            <w:tcW w:type="dxa" w:w="2900"/>
            <w:tcMar>
              <w:top w:w="80" w:type="dxa"/>
              <w:start w:w="110" w:type="dxa"/>
              <w:bottom w:w="80" w:type="dxa"/>
              <w:end w:w="110" w:type="dxa"/>
            </w:tcMar>
            <w:vAlign w:val="center"/>
            <w:shd w:fill="E8EEF5"/>
          </w:tcPr>
          <w:p>
            <w:pPr>
              <w:spacing w:after="0" w:line="240" w:lineRule="auto"/>
            </w:pPr>
            <w:r>
              <w:rPr>
                <w:b/>
                <w:color w:val="302082"/>
                <w:sz w:val="17"/>
              </w:rPr>
              <w:t>Motif</w:t>
            </w:r>
          </w:p>
        </w:tc>
        <w:tc>
          <w:tcPr>
            <w:tcW w:type="dxa" w:w="2900"/>
            <w:tcMar>
              <w:top w:w="80" w:type="dxa"/>
              <w:start w:w="110" w:type="dxa"/>
              <w:bottom w:w="80" w:type="dxa"/>
              <w:end w:w="110" w:type="dxa"/>
            </w:tcMar>
            <w:vAlign w:val="center"/>
            <w:shd w:fill="E8EEF5"/>
          </w:tcPr>
          <w:p>
            <w:pPr>
              <w:spacing w:after="0" w:line="240" w:lineRule="auto"/>
            </w:pPr>
            <w:r>
              <w:rPr>
                <w:b/>
                <w:color w:val="302082"/>
                <w:sz w:val="17"/>
              </w:rPr>
              <w:t>Réévaluation</w:t>
            </w:r>
          </w:p>
        </w:tc>
      </w:tr>
      <w:tr>
        <w:tc>
          <w:tcPr>
            <w:tcW w:type="dxa" w:w="2485"/>
            <w:tcMar>
              <w:top w:w="80" w:type="dxa"/>
              <w:start w:w="110" w:type="dxa"/>
              <w:bottom w:w="80" w:type="dxa"/>
              <w:end w:w="110" w:type="dxa"/>
            </w:tcMar>
            <w:vAlign w:val="center"/>
          </w:tcPr>
          <w:p>
            <w:pPr>
              <w:spacing w:after="0" w:line="240" w:lineRule="auto"/>
            </w:pPr>
            <w:r>
              <w:rPr>
                <w:sz w:val="17"/>
              </w:rPr>
              <w:t>Next.js App Router et Server Actions</w:t>
            </w:r>
          </w:p>
        </w:tc>
        <w:tc>
          <w:tcPr>
            <w:tcW w:type="dxa" w:w="893"/>
            <w:tcMar>
              <w:top w:w="80" w:type="dxa"/>
              <w:start w:w="110" w:type="dxa"/>
              <w:bottom w:w="80" w:type="dxa"/>
              <w:end w:w="110" w:type="dxa"/>
            </w:tcMar>
            <w:vAlign w:val="center"/>
          </w:tcPr>
          <w:p>
            <w:pPr>
              <w:spacing w:after="0" w:line="240" w:lineRule="auto"/>
            </w:pPr>
            <w:r>
              <w:rPr>
                <w:sz w:val="17"/>
              </w:rPr>
              <w:t>Adoptée</w:t>
            </w:r>
          </w:p>
        </w:tc>
        <w:tc>
          <w:tcPr>
            <w:tcW w:type="dxa" w:w="2900"/>
            <w:tcMar>
              <w:top w:w="80" w:type="dxa"/>
              <w:start w:w="110" w:type="dxa"/>
              <w:bottom w:w="80" w:type="dxa"/>
              <w:end w:w="110" w:type="dxa"/>
            </w:tcMar>
            <w:vAlign w:val="center"/>
          </w:tcPr>
          <w:p>
            <w:pPr>
              <w:spacing w:after="0" w:line="240" w:lineRule="auto"/>
            </w:pPr>
            <w:r>
              <w:rPr>
                <w:sz w:val="17"/>
              </w:rPr>
              <w:t>Cohérence SSR, mutations proches de l'UI</w:t>
            </w:r>
          </w:p>
        </w:tc>
        <w:tc>
          <w:tcPr>
            <w:tcW w:type="dxa" w:w="2900"/>
            <w:tcMar>
              <w:top w:w="80" w:type="dxa"/>
              <w:start w:w="110" w:type="dxa"/>
              <w:bottom w:w="80" w:type="dxa"/>
              <w:end w:w="110" w:type="dxa"/>
            </w:tcMar>
            <w:vAlign w:val="center"/>
          </w:tcPr>
          <w:p>
            <w:pPr>
              <w:spacing w:after="0" w:line="240" w:lineRule="auto"/>
            </w:pPr>
            <w:r>
              <w:rPr>
                <w:sz w:val="17"/>
              </w:rPr>
              <w:t>Sur évolution des contrats Next.js</w:t>
            </w:r>
          </w:p>
        </w:tc>
      </w:tr>
      <w:tr>
        <w:tc>
          <w:tcPr>
            <w:tcW w:type="dxa" w:w="2485"/>
            <w:tcMar>
              <w:top w:w="80" w:type="dxa"/>
              <w:start w:w="110" w:type="dxa"/>
              <w:bottom w:w="80" w:type="dxa"/>
              <w:end w:w="110" w:type="dxa"/>
            </w:tcMar>
            <w:vAlign w:val="center"/>
            <w:shd w:fill="F8F7FC"/>
          </w:tcPr>
          <w:p>
            <w:pPr>
              <w:spacing w:after="0" w:line="240" w:lineRule="auto"/>
            </w:pPr>
            <w:r>
              <w:rPr>
                <w:sz w:val="17"/>
              </w:rPr>
              <w:t>Supabase managé</w:t>
            </w:r>
          </w:p>
        </w:tc>
        <w:tc>
          <w:tcPr>
            <w:tcW w:type="dxa" w:w="893"/>
            <w:tcMar>
              <w:top w:w="80" w:type="dxa"/>
              <w:start w:w="110" w:type="dxa"/>
              <w:bottom w:w="80" w:type="dxa"/>
              <w:end w:w="110" w:type="dxa"/>
            </w:tcMar>
            <w:vAlign w:val="center"/>
            <w:shd w:fill="F8F7FC"/>
          </w:tcPr>
          <w:p>
            <w:pPr>
              <w:spacing w:after="0" w:line="240" w:lineRule="auto"/>
            </w:pPr>
            <w:r>
              <w:rPr>
                <w:sz w:val="17"/>
              </w:rPr>
              <w:t>Adoptée</w:t>
            </w:r>
          </w:p>
        </w:tc>
        <w:tc>
          <w:tcPr>
            <w:tcW w:type="dxa" w:w="2900"/>
            <w:tcMar>
              <w:top w:w="80" w:type="dxa"/>
              <w:start w:w="110" w:type="dxa"/>
              <w:bottom w:w="80" w:type="dxa"/>
              <w:end w:w="110" w:type="dxa"/>
            </w:tcMar>
            <w:vAlign w:val="center"/>
            <w:shd w:fill="F8F7FC"/>
          </w:tcPr>
          <w:p>
            <w:pPr>
              <w:spacing w:after="0" w:line="240" w:lineRule="auto"/>
            </w:pPr>
            <w:r>
              <w:rPr>
                <w:sz w:val="17"/>
              </w:rPr>
              <w:t>Auth, PostgreSQL, RLS et Storage intégrés</w:t>
            </w:r>
          </w:p>
        </w:tc>
        <w:tc>
          <w:tcPr>
            <w:tcW w:type="dxa" w:w="2900"/>
            <w:tcMar>
              <w:top w:w="80" w:type="dxa"/>
              <w:start w:w="110" w:type="dxa"/>
              <w:bottom w:w="80" w:type="dxa"/>
              <w:end w:w="110" w:type="dxa"/>
            </w:tcMar>
            <w:vAlign w:val="center"/>
            <w:shd w:fill="F8F7FC"/>
          </w:tcPr>
          <w:p>
            <w:pPr>
              <w:spacing w:after="0" w:line="240" w:lineRule="auto"/>
            </w:pPr>
            <w:r>
              <w:rPr>
                <w:sz w:val="17"/>
              </w:rPr>
              <w:t>Tester régulièrement sauvegarde/restauration</w:t>
            </w:r>
          </w:p>
        </w:tc>
      </w:tr>
      <w:tr>
        <w:tc>
          <w:tcPr>
            <w:tcW w:type="dxa" w:w="2485"/>
            <w:tcMar>
              <w:top w:w="80" w:type="dxa"/>
              <w:start w:w="110" w:type="dxa"/>
              <w:bottom w:w="80" w:type="dxa"/>
              <w:end w:w="110" w:type="dxa"/>
            </w:tcMar>
            <w:vAlign w:val="center"/>
          </w:tcPr>
          <w:p>
            <w:pPr>
              <w:spacing w:after="0" w:line="240" w:lineRule="auto"/>
            </w:pPr>
            <w:r>
              <w:rPr>
                <w:sz w:val="17"/>
              </w:rPr>
              <w:t>Plugin Next.js Netlify</w:t>
            </w:r>
          </w:p>
        </w:tc>
        <w:tc>
          <w:tcPr>
            <w:tcW w:type="dxa" w:w="893"/>
            <w:tcMar>
              <w:top w:w="80" w:type="dxa"/>
              <w:start w:w="110" w:type="dxa"/>
              <w:bottom w:w="80" w:type="dxa"/>
              <w:end w:w="110" w:type="dxa"/>
            </w:tcMar>
            <w:vAlign w:val="center"/>
          </w:tcPr>
          <w:p>
            <w:pPr>
              <w:spacing w:after="0" w:line="240" w:lineRule="auto"/>
            </w:pPr>
            <w:r>
              <w:rPr>
                <w:sz w:val="17"/>
              </w:rPr>
              <w:t>Adoptée</w:t>
            </w:r>
          </w:p>
        </w:tc>
        <w:tc>
          <w:tcPr>
            <w:tcW w:type="dxa" w:w="2900"/>
            <w:tcMar>
              <w:top w:w="80" w:type="dxa"/>
              <w:start w:w="110" w:type="dxa"/>
              <w:bottom w:w="80" w:type="dxa"/>
              <w:end w:w="110" w:type="dxa"/>
            </w:tcMar>
            <w:vAlign w:val="center"/>
          </w:tcPr>
          <w:p>
            <w:pPr>
              <w:spacing w:after="0" w:line="240" w:lineRule="auto"/>
            </w:pPr>
            <w:r>
              <w:rPr>
                <w:sz w:val="17"/>
              </w:rPr>
              <w:t>Preview PR et prise en charge SSR/route handlers sur la plateforme</w:t>
            </w:r>
          </w:p>
        </w:tc>
        <w:tc>
          <w:tcPr>
            <w:tcW w:type="dxa" w:w="2900"/>
            <w:tcMar>
              <w:top w:w="80" w:type="dxa"/>
              <w:start w:w="110" w:type="dxa"/>
              <w:bottom w:w="80" w:type="dxa"/>
              <w:end w:w="110" w:type="dxa"/>
            </w:tcMar>
            <w:vAlign w:val="center"/>
          </w:tcPr>
          <w:p>
            <w:pPr>
              <w:spacing w:after="0" w:line="240" w:lineRule="auto"/>
            </w:pPr>
            <w:r>
              <w:rPr>
                <w:sz w:val="17"/>
              </w:rPr>
              <w:t>À chaque montée majeure Next.js ou du plugin</w:t>
            </w:r>
          </w:p>
        </w:tc>
      </w:tr>
      <w:tr>
        <w:tc>
          <w:tcPr>
            <w:tcW w:type="dxa" w:w="2485"/>
            <w:tcMar>
              <w:top w:w="80" w:type="dxa"/>
              <w:start w:w="110" w:type="dxa"/>
              <w:bottom w:w="80" w:type="dxa"/>
              <w:end w:w="110" w:type="dxa"/>
            </w:tcMar>
            <w:vAlign w:val="center"/>
            <w:shd w:fill="F8F7FC"/>
          </w:tcPr>
          <w:p>
            <w:pPr>
              <w:spacing w:after="0" w:line="240" w:lineRule="auto"/>
            </w:pPr>
            <w:r>
              <w:rPr>
                <w:sz w:val="17"/>
              </w:rPr>
              <w:t>Sentry erreurs seules</w:t>
            </w:r>
          </w:p>
        </w:tc>
        <w:tc>
          <w:tcPr>
            <w:tcW w:type="dxa" w:w="893"/>
            <w:tcMar>
              <w:top w:w="80" w:type="dxa"/>
              <w:start w:w="110" w:type="dxa"/>
              <w:bottom w:w="80" w:type="dxa"/>
              <w:end w:w="110" w:type="dxa"/>
            </w:tcMar>
            <w:vAlign w:val="center"/>
            <w:shd w:fill="F8F7FC"/>
          </w:tcPr>
          <w:p>
            <w:pPr>
              <w:spacing w:after="0" w:line="240" w:lineRule="auto"/>
            </w:pPr>
            <w:r>
              <w:rPr>
                <w:sz w:val="17"/>
              </w:rPr>
              <w:t>Adoptée</w:t>
            </w:r>
          </w:p>
        </w:tc>
        <w:tc>
          <w:tcPr>
            <w:tcW w:type="dxa" w:w="2900"/>
            <w:tcMar>
              <w:top w:w="80" w:type="dxa"/>
              <w:start w:w="110" w:type="dxa"/>
              <w:bottom w:w="80" w:type="dxa"/>
              <w:end w:w="110" w:type="dxa"/>
            </w:tcMar>
            <w:vAlign w:val="center"/>
            <w:shd w:fill="F8F7FC"/>
          </w:tcPr>
          <w:p>
            <w:pPr>
              <w:spacing w:after="0" w:line="240" w:lineRule="auto"/>
            </w:pPr>
            <w:r>
              <w:rPr>
                <w:sz w:val="17"/>
              </w:rPr>
              <w:t>Visibilité avec minimisation des données</w:t>
            </w:r>
          </w:p>
        </w:tc>
        <w:tc>
          <w:tcPr>
            <w:tcW w:type="dxa" w:w="2900"/>
            <w:tcMar>
              <w:top w:w="80" w:type="dxa"/>
              <w:start w:w="110" w:type="dxa"/>
              <w:bottom w:w="80" w:type="dxa"/>
              <w:end w:w="110" w:type="dxa"/>
            </w:tcMar>
            <w:vAlign w:val="center"/>
            <w:shd w:fill="F8F7FC"/>
          </w:tcPr>
          <w:p>
            <w:pPr>
              <w:spacing w:after="0" w:line="240" w:lineRule="auto"/>
            </w:pPr>
            <w:r>
              <w:rPr>
                <w:sz w:val="17"/>
              </w:rPr>
              <w:t>Ajouter performance seulement sur besoin mesuré</w:t>
            </w:r>
          </w:p>
        </w:tc>
      </w:tr>
      <w:tr>
        <w:tc>
          <w:tcPr>
            <w:tcW w:type="dxa" w:w="2485"/>
            <w:tcMar>
              <w:top w:w="80" w:type="dxa"/>
              <w:start w:w="110" w:type="dxa"/>
              <w:bottom w:w="80" w:type="dxa"/>
              <w:end w:w="110" w:type="dxa"/>
            </w:tcMar>
            <w:vAlign w:val="center"/>
          </w:tcPr>
          <w:p>
            <w:pPr>
              <w:spacing w:after="0" w:line="240" w:lineRule="auto"/>
            </w:pPr>
            <w:r>
              <w:rPr>
                <w:sz w:val="17"/>
              </w:rPr>
              <w:t>Gemini avec outils fermés</w:t>
            </w:r>
          </w:p>
        </w:tc>
        <w:tc>
          <w:tcPr>
            <w:tcW w:type="dxa" w:w="893"/>
            <w:tcMar>
              <w:top w:w="80" w:type="dxa"/>
              <w:start w:w="110" w:type="dxa"/>
              <w:bottom w:w="80" w:type="dxa"/>
              <w:end w:w="110" w:type="dxa"/>
            </w:tcMar>
            <w:vAlign w:val="center"/>
          </w:tcPr>
          <w:p>
            <w:pPr>
              <w:spacing w:after="0" w:line="240" w:lineRule="auto"/>
            </w:pPr>
            <w:r>
              <w:rPr>
                <w:sz w:val="17"/>
              </w:rPr>
              <w:t>Adoptée</w:t>
            </w:r>
          </w:p>
        </w:tc>
        <w:tc>
          <w:tcPr>
            <w:tcW w:type="dxa" w:w="2900"/>
            <w:tcMar>
              <w:top w:w="80" w:type="dxa"/>
              <w:start w:w="110" w:type="dxa"/>
              <w:bottom w:w="80" w:type="dxa"/>
              <w:end w:w="110" w:type="dxa"/>
            </w:tcMar>
            <w:vAlign w:val="center"/>
          </w:tcPr>
          <w:p>
            <w:pPr>
              <w:spacing w:after="0" w:line="240" w:lineRule="auto"/>
            </w:pPr>
            <w:r>
              <w:rPr>
                <w:sz w:val="17"/>
              </w:rPr>
              <w:t>Réponses ancrées dans le catalogue</w:t>
            </w:r>
          </w:p>
        </w:tc>
        <w:tc>
          <w:tcPr>
            <w:tcW w:type="dxa" w:w="2900"/>
            <w:tcMar>
              <w:top w:w="80" w:type="dxa"/>
              <w:start w:w="110" w:type="dxa"/>
              <w:bottom w:w="80" w:type="dxa"/>
              <w:end w:w="110" w:type="dxa"/>
            </w:tcMar>
            <w:vAlign w:val="center"/>
          </w:tcPr>
          <w:p>
            <w:pPr>
              <w:spacing w:after="0" w:line="240" w:lineRule="auto"/>
            </w:pPr>
            <w:r>
              <w:rPr>
                <w:sz w:val="17"/>
              </w:rPr>
              <w:t>Renforcer quotas, tailles et tests d'injection</w:t>
            </w:r>
          </w:p>
        </w:tc>
      </w:tr>
      <w:tr>
        <w:tc>
          <w:tcPr>
            <w:tcW w:type="dxa" w:w="2485"/>
            <w:tcMar>
              <w:top w:w="80" w:type="dxa"/>
              <w:start w:w="110" w:type="dxa"/>
              <w:bottom w:w="80" w:type="dxa"/>
              <w:end w:w="110" w:type="dxa"/>
            </w:tcMar>
            <w:vAlign w:val="center"/>
            <w:shd w:fill="F8F7FC"/>
          </w:tcPr>
          <w:p>
            <w:pPr>
              <w:spacing w:after="0" w:line="240" w:lineRule="auto"/>
            </w:pPr>
            <w:r>
              <w:rPr>
                <w:sz w:val="17"/>
              </w:rPr>
              <w:t>CI Node 24, Netlify Node 22</w:t>
            </w:r>
          </w:p>
        </w:tc>
        <w:tc>
          <w:tcPr>
            <w:tcW w:type="dxa" w:w="893"/>
            <w:tcMar>
              <w:top w:w="80" w:type="dxa"/>
              <w:start w:w="110" w:type="dxa"/>
              <w:bottom w:w="80" w:type="dxa"/>
              <w:end w:w="110" w:type="dxa"/>
            </w:tcMar>
            <w:vAlign w:val="center"/>
            <w:shd w:fill="F8F7FC"/>
          </w:tcPr>
          <w:p>
            <w:pPr>
              <w:spacing w:after="0" w:line="240" w:lineRule="auto"/>
            </w:pPr>
            <w:r>
              <w:rPr>
                <w:sz w:val="17"/>
              </w:rPr>
              <w:t>Adoptée</w:t>
            </w:r>
          </w:p>
        </w:tc>
        <w:tc>
          <w:tcPr>
            <w:tcW w:type="dxa" w:w="2900"/>
            <w:tcMar>
              <w:top w:w="80" w:type="dxa"/>
              <w:start w:w="110" w:type="dxa"/>
              <w:bottom w:w="80" w:type="dxa"/>
              <w:end w:w="110" w:type="dxa"/>
            </w:tcMar>
            <w:vAlign w:val="center"/>
            <w:shd w:fill="F8F7FC"/>
          </w:tcPr>
          <w:p>
            <w:pPr>
              <w:spacing w:after="0" w:line="240" w:lineRule="auto"/>
            </w:pPr>
            <w:r>
              <w:rPr>
                <w:sz w:val="17"/>
              </w:rPr>
              <w:t>CI moderne et compatibilité du déploiement actuellement validé</w:t>
            </w:r>
          </w:p>
        </w:tc>
        <w:tc>
          <w:tcPr>
            <w:tcW w:type="dxa" w:w="2900"/>
            <w:tcMar>
              <w:top w:w="80" w:type="dxa"/>
              <w:start w:w="110" w:type="dxa"/>
              <w:bottom w:w="80" w:type="dxa"/>
              <w:end w:w="110" w:type="dxa"/>
            </w:tcMar>
            <w:vAlign w:val="center"/>
            <w:shd w:fill="F8F7FC"/>
          </w:tcPr>
          <w:p>
            <w:pPr>
              <w:spacing w:after="0" w:line="240" w:lineRule="auto"/>
            </w:pPr>
            <w:r>
              <w:rPr>
                <w:sz w:val="17"/>
              </w:rPr>
              <w:t>Réaligner les runtimes après validation Netlify</w:t>
            </w:r>
          </w:p>
        </w:tc>
      </w:tr>
    </w:tbl>
    <w:p>
      <w:pPr>
        <w:spacing w:after="0"/>
      </w:pPr>
    </w:p>
    <w:p>
      <w:r>
        <w:t>La dette prioritaire porte sur les tests E2E et API, le rate limiting du chatbot, la validation de taille, l'ordonnancement de purge, la preuve de restauration, le suivi des commandes abandonnées et l'automatisation de vérifications Stripe. Aucun de ces points ne justifie une migration de schéma dans le présent chantier.</w:t>
      </w:r>
    </w:p>
    <w:sectPr w:rsidR="00FC693F" w:rsidRPr="0006063C" w:rsidSect="00034616">
      <w:headerReference w:type="default" r:id="rId25"/>
      <w:footerReference w:type="default" r:id="rId26"/>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CYNA-DAT-001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CYNA-DAT-001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CYNA-DAT-001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d'architecture technique</dc:title>
  <dc:subject>Architecture runtime, données, intégrations et décisions CYNA</dc:subject>
  <dc:creator>Groupe 1: Hugo FAURE, Samuel KAKEZ, Mathieu FRAUX, Florian BELLOC</dc:creator>
  <cp:keywords>CYNA, documentation, cybersécurité, SaaS</cp:keywords>
  <dc:description>Généré depuis les sources Markdown versionnées.</dc:description>
  <cp:lastModifiedBy>Groupe 1</cp:lastModifiedBy>
  <cp:revision>1</cp:revision>
  <dcterms:created xsi:type="dcterms:W3CDTF">2013-12-23T23:15:00Z</dcterms:created>
  <dcterms:modified xsi:type="dcterms:W3CDTF">2013-12-23T23:15:00Z</dcterms:modified>
  <cp:category/>
</cp:coreProperties>
</file>