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Guide d'installation et de déploiement</w:t>
      </w:r>
    </w:p>
    <w:p>
      <w:pPr>
        <w:pStyle w:val="CYNASubtitle"/>
        <w:jc w:val="center"/>
      </w:pPr>
      <w:r>
        <w:t>Environnements locaux, services managés et exploitation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CYNA-INS-001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Procédure reproductible</w:t>
            </w:r>
          </w:p>
        </w:tc>
      </w:tr>
    </w:tbl>
    <w:p>
      <w:pPr>
        <w:spacing w:before="360"/>
        <w:jc w:val="center"/>
      </w:pPr>
      <w:r>
        <w:rPr>
          <w:i/>
          <w:color w:val="626273"/>
        </w:rPr>
        <w:t>Audience : Développeurs, intégrateurs et exploitants</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Pr_parer_l_environnement" w:history="1">
        <w:r>
          <w:rPr>
            <w:rStyle w:val="Hyperlink"/>
            <w:color w:val="302082"/>
            <w:sz w:val="21"/>
            <w:szCs w:val="21"/>
          </w:rPr>
          <w:t>Préparer l'environnement</w:t>
        </w:r>
      </w:hyperlink>
      <w:r>
        <w:rPr>
          <w:sz w:val="21"/>
        </w:rPr>
        <w:tab/>
      </w:r>
      <w:r>
        <w:rPr>
          <w:sz w:val="21"/>
        </w:rPr>
        <w:t>3</w:t>
      </w:r>
    </w:p>
    <w:p>
      <w:pPr>
        <w:tabs>
          <w:tab w:pos="8674" w:val="right" w:leader="dot"/>
        </w:tabs>
        <w:spacing w:after="40" w:line="240" w:lineRule="auto"/>
        <w:ind w:left="255"/>
      </w:pPr>
      <w:hyperlink w:anchor="h_2_Pr_requis" w:history="1">
        <w:r>
          <w:rPr>
            <w:rStyle w:val="Hyperlink"/>
            <w:color w:val="302082"/>
            <w:sz w:val="21"/>
            <w:szCs w:val="21"/>
          </w:rPr>
          <w:t>Prérequis</w:t>
        </w:r>
      </w:hyperlink>
      <w:r>
        <w:rPr>
          <w:sz w:val="21"/>
        </w:rPr>
        <w:tab/>
      </w:r>
      <w:r>
        <w:rPr>
          <w:sz w:val="21"/>
        </w:rPr>
        <w:t>3</w:t>
      </w:r>
    </w:p>
    <w:p>
      <w:pPr>
        <w:tabs>
          <w:tab w:pos="8674" w:val="right" w:leader="dot"/>
        </w:tabs>
        <w:spacing w:after="40" w:line="240" w:lineRule="auto"/>
        <w:ind w:left="255"/>
      </w:pPr>
      <w:hyperlink w:anchor="h_3_Cloner_et_installer" w:history="1">
        <w:r>
          <w:rPr>
            <w:rStyle w:val="Hyperlink"/>
            <w:color w:val="302082"/>
            <w:sz w:val="21"/>
            <w:szCs w:val="21"/>
          </w:rPr>
          <w:t>Cloner et installer</w:t>
        </w:r>
      </w:hyperlink>
      <w:r>
        <w:rPr>
          <w:sz w:val="21"/>
        </w:rPr>
        <w:tab/>
      </w:r>
      <w:r>
        <w:rPr>
          <w:sz w:val="21"/>
        </w:rPr>
        <w:t>3</w:t>
      </w:r>
    </w:p>
    <w:p>
      <w:pPr>
        <w:tabs>
          <w:tab w:pos="8674" w:val="right" w:leader="dot"/>
        </w:tabs>
        <w:spacing w:after="40" w:line="240" w:lineRule="auto"/>
        <w:ind w:left="0"/>
      </w:pPr>
      <w:hyperlink w:anchor="h_4_Configurer_les_variables" w:history="1">
        <w:r>
          <w:rPr>
            <w:rStyle w:val="Hyperlink"/>
            <w:color w:val="302082"/>
            <w:sz w:val="21"/>
            <w:szCs w:val="21"/>
          </w:rPr>
          <w:t>Configurer les variables</w:t>
        </w:r>
      </w:hyperlink>
      <w:r>
        <w:rPr>
          <w:sz w:val="21"/>
        </w:rPr>
        <w:tab/>
      </w:r>
      <w:r>
        <w:rPr>
          <w:sz w:val="21"/>
        </w:rPr>
        <w:t>3</w:t>
      </w:r>
    </w:p>
    <w:p>
      <w:pPr>
        <w:tabs>
          <w:tab w:pos="8674" w:val="right" w:leader="dot"/>
        </w:tabs>
        <w:spacing w:after="40" w:line="240" w:lineRule="auto"/>
        <w:ind w:left="0"/>
      </w:pPr>
      <w:hyperlink w:anchor="h_5_Initialiser_Supabase" w:history="1">
        <w:r>
          <w:rPr>
            <w:rStyle w:val="Hyperlink"/>
            <w:color w:val="302082"/>
            <w:sz w:val="21"/>
            <w:szCs w:val="21"/>
          </w:rPr>
          <w:t>Initialiser Supabase</w:t>
        </w:r>
      </w:hyperlink>
      <w:r>
        <w:rPr>
          <w:sz w:val="21"/>
        </w:rPr>
        <w:tab/>
      </w:r>
      <w:r>
        <w:rPr>
          <w:sz w:val="21"/>
        </w:rPr>
        <w:t>5</w:t>
      </w:r>
    </w:p>
    <w:p>
      <w:pPr>
        <w:tabs>
          <w:tab w:pos="8674" w:val="right" w:leader="dot"/>
        </w:tabs>
        <w:spacing w:after="40" w:line="240" w:lineRule="auto"/>
        <w:ind w:left="255"/>
      </w:pPr>
      <w:hyperlink w:anchor="h_6_Projet__migrations_et_types" w:history="1">
        <w:r>
          <w:rPr>
            <w:rStyle w:val="Hyperlink"/>
            <w:color w:val="302082"/>
            <w:sz w:val="21"/>
            <w:szCs w:val="21"/>
          </w:rPr>
          <w:t>Projet, migrations et types</w:t>
        </w:r>
      </w:hyperlink>
      <w:r>
        <w:rPr>
          <w:sz w:val="21"/>
        </w:rPr>
        <w:tab/>
      </w:r>
      <w:r>
        <w:rPr>
          <w:sz w:val="21"/>
        </w:rPr>
        <w:t>5</w:t>
      </w:r>
    </w:p>
    <w:p>
      <w:pPr>
        <w:tabs>
          <w:tab w:pos="8674" w:val="right" w:leader="dot"/>
        </w:tabs>
        <w:spacing w:after="40" w:line="240" w:lineRule="auto"/>
        <w:ind w:left="255"/>
      </w:pPr>
      <w:hyperlink w:anchor="h_7_Auth__URL_et_MFA" w:history="1">
        <w:r>
          <w:rPr>
            <w:rStyle w:val="Hyperlink"/>
            <w:color w:val="302082"/>
            <w:sz w:val="21"/>
            <w:szCs w:val="21"/>
          </w:rPr>
          <w:t>Auth, URL et MFA</w:t>
        </w:r>
      </w:hyperlink>
      <w:r>
        <w:rPr>
          <w:sz w:val="21"/>
        </w:rPr>
        <w:tab/>
      </w:r>
      <w:r>
        <w:rPr>
          <w:sz w:val="21"/>
        </w:rPr>
        <w:t>5</w:t>
      </w:r>
    </w:p>
    <w:p>
      <w:pPr>
        <w:tabs>
          <w:tab w:pos="8674" w:val="right" w:leader="dot"/>
        </w:tabs>
        <w:spacing w:after="40" w:line="240" w:lineRule="auto"/>
        <w:ind w:left="255"/>
      </w:pPr>
      <w:hyperlink w:anchor="h_8_RLS__fonctions_et_Storage" w:history="1">
        <w:r>
          <w:rPr>
            <w:rStyle w:val="Hyperlink"/>
            <w:color w:val="302082"/>
            <w:sz w:val="21"/>
            <w:szCs w:val="21"/>
          </w:rPr>
          <w:t>RLS, fonctions et Storage</w:t>
        </w:r>
      </w:hyperlink>
      <w:r>
        <w:rPr>
          <w:sz w:val="21"/>
        </w:rPr>
        <w:tab/>
      </w:r>
      <w:r>
        <w:rPr>
          <w:sz w:val="21"/>
        </w:rPr>
        <w:t>5</w:t>
      </w:r>
    </w:p>
    <w:p>
      <w:pPr>
        <w:tabs>
          <w:tab w:pos="8674" w:val="right" w:leader="dot"/>
        </w:tabs>
        <w:spacing w:after="40" w:line="240" w:lineRule="auto"/>
        <w:ind w:left="0"/>
      </w:pPr>
      <w:hyperlink w:anchor="h_9_Configurer_Stripe" w:history="1">
        <w:r>
          <w:rPr>
            <w:rStyle w:val="Hyperlink"/>
            <w:color w:val="302082"/>
            <w:sz w:val="21"/>
            <w:szCs w:val="21"/>
          </w:rPr>
          <w:t>Configurer Stripe</w:t>
        </w:r>
      </w:hyperlink>
      <w:r>
        <w:rPr>
          <w:sz w:val="21"/>
        </w:rPr>
        <w:tab/>
      </w:r>
      <w:r>
        <w:rPr>
          <w:sz w:val="21"/>
        </w:rPr>
        <w:t>5</w:t>
      </w:r>
    </w:p>
    <w:p>
      <w:pPr>
        <w:tabs>
          <w:tab w:pos="8674" w:val="right" w:leader="dot"/>
        </w:tabs>
        <w:spacing w:after="40" w:line="240" w:lineRule="auto"/>
        <w:ind w:left="255"/>
      </w:pPr>
      <w:hyperlink w:anchor="h_10_Produits__prix_et_portail" w:history="1">
        <w:r>
          <w:rPr>
            <w:rStyle w:val="Hyperlink"/>
            <w:color w:val="302082"/>
            <w:sz w:val="21"/>
            <w:szCs w:val="21"/>
          </w:rPr>
          <w:t>Produits, prix et portail</w:t>
        </w:r>
      </w:hyperlink>
      <w:r>
        <w:rPr>
          <w:sz w:val="21"/>
        </w:rPr>
        <w:tab/>
      </w:r>
      <w:r>
        <w:rPr>
          <w:sz w:val="21"/>
        </w:rPr>
        <w:t>5</w:t>
      </w:r>
    </w:p>
    <w:p>
      <w:pPr>
        <w:tabs>
          <w:tab w:pos="8674" w:val="right" w:leader="dot"/>
        </w:tabs>
        <w:spacing w:after="40" w:line="240" w:lineRule="auto"/>
        <w:ind w:left="255"/>
      </w:pPr>
      <w:hyperlink w:anchor="h_11_Webhook_local" w:history="1">
        <w:r>
          <w:rPr>
            <w:rStyle w:val="Hyperlink"/>
            <w:color w:val="302082"/>
            <w:sz w:val="21"/>
            <w:szCs w:val="21"/>
          </w:rPr>
          <w:t>Webhook local</w:t>
        </w:r>
      </w:hyperlink>
      <w:r>
        <w:rPr>
          <w:sz w:val="21"/>
        </w:rPr>
        <w:tab/>
      </w:r>
      <w:r>
        <w:rPr>
          <w:sz w:val="21"/>
        </w:rPr>
        <w:t>6</w:t>
      </w:r>
    </w:p>
    <w:p>
      <w:pPr>
        <w:tabs>
          <w:tab w:pos="8674" w:val="right" w:leader="dot"/>
        </w:tabs>
        <w:spacing w:after="40" w:line="240" w:lineRule="auto"/>
        <w:ind w:left="255"/>
      </w:pPr>
      <w:hyperlink w:anchor="h_12_Webhook_de_production" w:history="1">
        <w:r>
          <w:rPr>
            <w:rStyle w:val="Hyperlink"/>
            <w:color w:val="302082"/>
            <w:sz w:val="21"/>
            <w:szCs w:val="21"/>
          </w:rPr>
          <w:t>Webhook de production</w:t>
        </w:r>
      </w:hyperlink>
      <w:r>
        <w:rPr>
          <w:sz w:val="21"/>
        </w:rPr>
        <w:tab/>
      </w:r>
      <w:r>
        <w:rPr>
          <w:sz w:val="21"/>
        </w:rPr>
        <w:t>6</w:t>
      </w:r>
    </w:p>
    <w:p>
      <w:pPr>
        <w:tabs>
          <w:tab w:pos="8674" w:val="right" w:leader="dot"/>
        </w:tabs>
        <w:spacing w:after="40" w:line="240" w:lineRule="auto"/>
        <w:ind w:left="0"/>
      </w:pPr>
      <w:hyperlink w:anchor="h_13_Configurer_Gemini_et_CynAI" w:history="1">
        <w:r>
          <w:rPr>
            <w:rStyle w:val="Hyperlink"/>
            <w:color w:val="302082"/>
            <w:sz w:val="21"/>
            <w:szCs w:val="21"/>
          </w:rPr>
          <w:t>Configurer Gemini et CynAI</w:t>
        </w:r>
      </w:hyperlink>
      <w:r>
        <w:rPr>
          <w:sz w:val="21"/>
        </w:rPr>
        <w:tab/>
      </w:r>
      <w:r>
        <w:rPr>
          <w:sz w:val="21"/>
        </w:rPr>
        <w:t>6</w:t>
      </w:r>
    </w:p>
    <w:p>
      <w:pPr>
        <w:tabs>
          <w:tab w:pos="8674" w:val="right" w:leader="dot"/>
        </w:tabs>
        <w:spacing w:after="40" w:line="240" w:lineRule="auto"/>
        <w:ind w:left="0"/>
      </w:pPr>
      <w:hyperlink w:anchor="h_14_Configurer_Sentry" w:history="1">
        <w:r>
          <w:rPr>
            <w:rStyle w:val="Hyperlink"/>
            <w:color w:val="302082"/>
            <w:sz w:val="21"/>
            <w:szCs w:val="21"/>
          </w:rPr>
          <w:t>Configurer Sentry</w:t>
        </w:r>
      </w:hyperlink>
      <w:r>
        <w:rPr>
          <w:sz w:val="21"/>
        </w:rPr>
        <w:tab/>
      </w:r>
      <w:r>
        <w:rPr>
          <w:sz w:val="21"/>
        </w:rPr>
        <w:t>6</w:t>
      </w:r>
    </w:p>
    <w:p>
      <w:pPr>
        <w:tabs>
          <w:tab w:pos="8674" w:val="right" w:leader="dot"/>
        </w:tabs>
        <w:spacing w:after="40" w:line="240" w:lineRule="auto"/>
        <w:ind w:left="0"/>
      </w:pPr>
      <w:hyperlink w:anchor="h_15_Ex_cuter_et_v_rifier_localem" w:history="1">
        <w:r>
          <w:rPr>
            <w:rStyle w:val="Hyperlink"/>
            <w:color w:val="302082"/>
            <w:sz w:val="21"/>
            <w:szCs w:val="21"/>
          </w:rPr>
          <w:t>Exécuter et vérifier localement</w:t>
        </w:r>
      </w:hyperlink>
      <w:r>
        <w:rPr>
          <w:sz w:val="21"/>
        </w:rPr>
        <w:tab/>
      </w:r>
      <w:r>
        <w:rPr>
          <w:sz w:val="21"/>
        </w:rPr>
        <w:t>6</w:t>
      </w:r>
    </w:p>
    <w:p>
      <w:pPr>
        <w:tabs>
          <w:tab w:pos="8674" w:val="right" w:leader="dot"/>
        </w:tabs>
        <w:spacing w:after="40" w:line="240" w:lineRule="auto"/>
        <w:ind w:left="0"/>
      </w:pPr>
      <w:hyperlink w:anchor="h_16_D_ployer_sur_Netlify" w:history="1">
        <w:r>
          <w:rPr>
            <w:rStyle w:val="Hyperlink"/>
            <w:color w:val="302082"/>
            <w:sz w:val="21"/>
            <w:szCs w:val="21"/>
          </w:rPr>
          <w:t>Déployer sur Netlify</w:t>
        </w:r>
      </w:hyperlink>
      <w:r>
        <w:rPr>
          <w:sz w:val="21"/>
        </w:rPr>
        <w:tab/>
      </w:r>
      <w:r>
        <w:rPr>
          <w:sz w:val="21"/>
        </w:rPr>
        <w:t>7</w:t>
      </w:r>
    </w:p>
    <w:p>
      <w:pPr>
        <w:tabs>
          <w:tab w:pos="8674" w:val="right" w:leader="dot"/>
        </w:tabs>
        <w:spacing w:after="40" w:line="240" w:lineRule="auto"/>
        <w:ind w:left="255"/>
      </w:pPr>
      <w:hyperlink w:anchor="h_17_Tests_fum_e_de_preview" w:history="1">
        <w:r>
          <w:rPr>
            <w:rStyle w:val="Hyperlink"/>
            <w:color w:val="302082"/>
            <w:sz w:val="21"/>
            <w:szCs w:val="21"/>
          </w:rPr>
          <w:t>Tests fumée de preview</w:t>
        </w:r>
      </w:hyperlink>
      <w:r>
        <w:rPr>
          <w:sz w:val="21"/>
        </w:rPr>
        <w:tab/>
      </w:r>
      <w:r>
        <w:rPr>
          <w:sz w:val="21"/>
        </w:rPr>
        <w:t>7</w:t>
      </w:r>
    </w:p>
    <w:p>
      <w:pPr>
        <w:tabs>
          <w:tab w:pos="8674" w:val="right" w:leader="dot"/>
        </w:tabs>
        <w:spacing w:after="40" w:line="240" w:lineRule="auto"/>
        <w:ind w:left="0"/>
      </w:pPr>
      <w:hyperlink w:anchor="h_18_D_pannage_et_retour_arri_re" w:history="1">
        <w:r>
          <w:rPr>
            <w:rStyle w:val="Hyperlink"/>
            <w:color w:val="302082"/>
            <w:sz w:val="21"/>
            <w:szCs w:val="21"/>
          </w:rPr>
          <w:t>Dépannage et retour arrière</w:t>
        </w:r>
      </w:hyperlink>
      <w:r>
        <w:rPr>
          <w:sz w:val="21"/>
        </w:rPr>
        <w:tab/>
      </w:r>
      <w:r>
        <w:rPr>
          <w:sz w:val="21"/>
        </w:rPr>
        <w:t>8</w:t>
      </w:r>
    </w:p>
    <w:p>
      <w:r>
        <w:br w:type="page"/>
      </w:r>
    </w:p>
    <w:p>
      <w:bookmarkStart w:id="1" w:name="h_1_Pr_parer_l_environnement"/>
      <w:pPr>
        <w:pStyle w:val="Heading1"/>
      </w:pPr>
      <w:r>
        <w:t>Préparer l'environnement</w:t>
      </w:r>
      <w:bookmarkEnd w:id="1"/>
    </w:p>
    <w:p>
      <w:bookmarkStart w:id="2" w:name="h_2_Pr_requis"/>
      <w:pPr>
        <w:pStyle w:val="Heading2"/>
      </w:pPr>
      <w:r>
        <w:t>Prérequis</w:t>
      </w:r>
      <w:bookmarkEnd w:id="2"/>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548"/>
        <w:gridCol w:w="2986"/>
        <w:gridCol w:w="4645"/>
      </w:tblGrid>
      <w:tr>
        <w:trPr>
          <w:tblHeader w:val="true"/>
        </w:trPr>
        <w:tc>
          <w:tcPr>
            <w:tcW w:type="dxa" w:w="1548"/>
            <w:tcMar>
              <w:top w:w="80" w:type="dxa"/>
              <w:start w:w="110" w:type="dxa"/>
              <w:bottom w:w="80" w:type="dxa"/>
              <w:end w:w="110" w:type="dxa"/>
            </w:tcMar>
            <w:vAlign w:val="center"/>
            <w:shd w:fill="E8EEF5"/>
          </w:tcPr>
          <w:p>
            <w:pPr>
              <w:spacing w:after="0" w:line="240" w:lineRule="auto"/>
            </w:pPr>
            <w:r>
              <w:rPr>
                <w:b/>
                <w:color w:val="302082"/>
                <w:sz w:val="17"/>
              </w:rPr>
              <w:t>Outil ou accès</w:t>
            </w:r>
          </w:p>
        </w:tc>
        <w:tc>
          <w:tcPr>
            <w:tcW w:type="dxa" w:w="2986"/>
            <w:tcMar>
              <w:top w:w="80" w:type="dxa"/>
              <w:start w:w="110" w:type="dxa"/>
              <w:bottom w:w="80" w:type="dxa"/>
              <w:end w:w="110" w:type="dxa"/>
            </w:tcMar>
            <w:vAlign w:val="center"/>
            <w:shd w:fill="E8EEF5"/>
          </w:tcPr>
          <w:p>
            <w:pPr>
              <w:spacing w:after="0" w:line="240" w:lineRule="auto"/>
            </w:pPr>
            <w:r>
              <w:rPr>
                <w:b/>
                <w:color w:val="302082"/>
                <w:sz w:val="17"/>
              </w:rPr>
              <w:t>Version / exigence</w:t>
            </w:r>
          </w:p>
        </w:tc>
        <w:tc>
          <w:tcPr>
            <w:tcW w:type="dxa" w:w="4645"/>
            <w:tcMar>
              <w:top w:w="80" w:type="dxa"/>
              <w:start w:w="110" w:type="dxa"/>
              <w:bottom w:w="80" w:type="dxa"/>
              <w:end w:w="110" w:type="dxa"/>
            </w:tcMar>
            <w:vAlign w:val="center"/>
            <w:shd w:fill="E8EEF5"/>
          </w:tcPr>
          <w:p>
            <w:pPr>
              <w:spacing w:after="0" w:line="240" w:lineRule="auto"/>
            </w:pPr>
            <w:r>
              <w:rPr>
                <w:b/>
                <w:color w:val="302082"/>
                <w:sz w:val="17"/>
              </w:rPr>
              <w:t>Usage</w:t>
            </w:r>
          </w:p>
        </w:tc>
      </w:tr>
      <w:tr>
        <w:tc>
          <w:tcPr>
            <w:tcW w:type="dxa" w:w="1548"/>
            <w:tcMar>
              <w:top w:w="80" w:type="dxa"/>
              <w:start w:w="110" w:type="dxa"/>
              <w:bottom w:w="80" w:type="dxa"/>
              <w:end w:w="110" w:type="dxa"/>
            </w:tcMar>
            <w:vAlign w:val="center"/>
          </w:tcPr>
          <w:p>
            <w:pPr>
              <w:spacing w:after="0" w:line="240" w:lineRule="auto"/>
            </w:pPr>
            <w:r>
              <w:rPr>
                <w:sz w:val="17"/>
              </w:rPr>
              <w:t>Git</w:t>
            </w:r>
          </w:p>
        </w:tc>
        <w:tc>
          <w:tcPr>
            <w:tcW w:type="dxa" w:w="2986"/>
            <w:tcMar>
              <w:top w:w="80" w:type="dxa"/>
              <w:start w:w="110" w:type="dxa"/>
              <w:bottom w:w="80" w:type="dxa"/>
              <w:end w:w="110" w:type="dxa"/>
            </w:tcMar>
            <w:vAlign w:val="center"/>
          </w:tcPr>
          <w:p>
            <w:pPr>
              <w:spacing w:after="0" w:line="240" w:lineRule="auto"/>
            </w:pPr>
            <w:r>
              <w:rPr>
                <w:sz w:val="17"/>
              </w:rPr>
              <w:t>version maintenue</w:t>
            </w:r>
          </w:p>
        </w:tc>
        <w:tc>
          <w:tcPr>
            <w:tcW w:type="dxa" w:w="4645"/>
            <w:tcMar>
              <w:top w:w="80" w:type="dxa"/>
              <w:start w:w="110" w:type="dxa"/>
              <w:bottom w:w="80" w:type="dxa"/>
              <w:end w:w="110" w:type="dxa"/>
            </w:tcMar>
            <w:vAlign w:val="center"/>
          </w:tcPr>
          <w:p>
            <w:pPr>
              <w:spacing w:after="0" w:line="240" w:lineRule="auto"/>
            </w:pPr>
            <w:r>
              <w:rPr>
                <w:sz w:val="17"/>
              </w:rPr>
              <w:t>Clonage, branches et PR</w:t>
            </w:r>
          </w:p>
        </w:tc>
      </w:tr>
      <w:tr>
        <w:tc>
          <w:tcPr>
            <w:tcW w:type="dxa" w:w="1548"/>
            <w:tcMar>
              <w:top w:w="80" w:type="dxa"/>
              <w:start w:w="110" w:type="dxa"/>
              <w:bottom w:w="80" w:type="dxa"/>
              <w:end w:w="110" w:type="dxa"/>
            </w:tcMar>
            <w:vAlign w:val="center"/>
            <w:shd w:fill="F8F7FC"/>
          </w:tcPr>
          <w:p>
            <w:pPr>
              <w:spacing w:after="0" w:line="240" w:lineRule="auto"/>
            </w:pPr>
            <w:r>
              <w:rPr>
                <w:sz w:val="17"/>
              </w:rPr>
              <w:t>Node.js</w:t>
            </w:r>
          </w:p>
        </w:tc>
        <w:tc>
          <w:tcPr>
            <w:tcW w:type="dxa" w:w="2986"/>
            <w:tcMar>
              <w:top w:w="80" w:type="dxa"/>
              <w:start w:w="110" w:type="dxa"/>
              <w:bottom w:w="80" w:type="dxa"/>
              <w:end w:w="110" w:type="dxa"/>
            </w:tcMar>
            <w:vAlign w:val="center"/>
            <w:shd w:fill="F8F7FC"/>
          </w:tcPr>
          <w:p>
            <w:pPr>
              <w:spacing w:after="0" w:line="240" w:lineRule="auto"/>
            </w:pPr>
            <w:r>
              <w:rPr>
                <w:sz w:val="17"/>
              </w:rPr>
              <w:t xml:space="preserve">24, valeur de </w:t>
            </w:r>
            <w:r>
              <w:rPr>
                <w:rFonts w:ascii="Consolas" w:hAnsi="Consolas"/>
                <w:color w:val="4A339E"/>
                <w:sz w:val="17"/>
              </w:rPr>
              <w:t>.nvmrc</w:t>
            </w:r>
          </w:p>
        </w:tc>
        <w:tc>
          <w:tcPr>
            <w:tcW w:type="dxa" w:w="4645"/>
            <w:tcMar>
              <w:top w:w="80" w:type="dxa"/>
              <w:start w:w="110" w:type="dxa"/>
              <w:bottom w:w="80" w:type="dxa"/>
              <w:end w:w="110" w:type="dxa"/>
            </w:tcMar>
            <w:vAlign w:val="center"/>
            <w:shd w:fill="F8F7FC"/>
          </w:tcPr>
          <w:p>
            <w:pPr>
              <w:spacing w:after="0" w:line="240" w:lineRule="auto"/>
            </w:pPr>
            <w:r>
              <w:rPr>
                <w:sz w:val="17"/>
              </w:rPr>
              <w:t>Runtime local et CI</w:t>
            </w:r>
          </w:p>
        </w:tc>
      </w:tr>
      <w:tr>
        <w:tc>
          <w:tcPr>
            <w:tcW w:type="dxa" w:w="1548"/>
            <w:tcMar>
              <w:top w:w="80" w:type="dxa"/>
              <w:start w:w="110" w:type="dxa"/>
              <w:bottom w:w="80" w:type="dxa"/>
              <w:end w:w="110" w:type="dxa"/>
            </w:tcMar>
            <w:vAlign w:val="center"/>
          </w:tcPr>
          <w:p>
            <w:pPr>
              <w:spacing w:after="0" w:line="240" w:lineRule="auto"/>
            </w:pPr>
            <w:r>
              <w:rPr>
                <w:sz w:val="17"/>
              </w:rPr>
              <w:t>npm</w:t>
            </w:r>
          </w:p>
        </w:tc>
        <w:tc>
          <w:tcPr>
            <w:tcW w:type="dxa" w:w="2986"/>
            <w:tcMar>
              <w:top w:w="80" w:type="dxa"/>
              <w:start w:w="110" w:type="dxa"/>
              <w:bottom w:w="80" w:type="dxa"/>
              <w:end w:w="110" w:type="dxa"/>
            </w:tcMar>
            <w:vAlign w:val="center"/>
          </w:tcPr>
          <w:p>
            <w:pPr>
              <w:spacing w:after="0" w:line="240" w:lineRule="auto"/>
            </w:pPr>
            <w:r>
              <w:rPr>
                <w:sz w:val="17"/>
              </w:rPr>
              <w:t>livré avec Node 24</w:t>
            </w:r>
          </w:p>
        </w:tc>
        <w:tc>
          <w:tcPr>
            <w:tcW w:type="dxa" w:w="4645"/>
            <w:tcMar>
              <w:top w:w="80" w:type="dxa"/>
              <w:start w:w="110" w:type="dxa"/>
              <w:bottom w:w="80" w:type="dxa"/>
              <w:end w:w="110" w:type="dxa"/>
            </w:tcMar>
            <w:vAlign w:val="center"/>
          </w:tcPr>
          <w:p>
            <w:pPr>
              <w:spacing w:after="0" w:line="240" w:lineRule="auto"/>
            </w:pPr>
            <w:r>
              <w:rPr>
                <w:sz w:val="17"/>
              </w:rPr>
              <w:t>Installation déterministe via lockfile</w:t>
            </w:r>
          </w:p>
        </w:tc>
      </w:tr>
      <w:tr>
        <w:tc>
          <w:tcPr>
            <w:tcW w:type="dxa" w:w="1548"/>
            <w:tcMar>
              <w:top w:w="80" w:type="dxa"/>
              <w:start w:w="110" w:type="dxa"/>
              <w:bottom w:w="80" w:type="dxa"/>
              <w:end w:w="110" w:type="dxa"/>
            </w:tcMar>
            <w:vAlign w:val="center"/>
            <w:shd w:fill="F8F7FC"/>
          </w:tcPr>
          <w:p>
            <w:pPr>
              <w:spacing w:after="0" w:line="240" w:lineRule="auto"/>
            </w:pPr>
            <w:r>
              <w:rPr>
                <w:sz w:val="17"/>
              </w:rPr>
              <w:t>Supabase</w:t>
            </w:r>
          </w:p>
        </w:tc>
        <w:tc>
          <w:tcPr>
            <w:tcW w:type="dxa" w:w="2986"/>
            <w:tcMar>
              <w:top w:w="80" w:type="dxa"/>
              <w:start w:w="110" w:type="dxa"/>
              <w:bottom w:w="80" w:type="dxa"/>
              <w:end w:w="110" w:type="dxa"/>
            </w:tcMar>
            <w:vAlign w:val="center"/>
            <w:shd w:fill="F8F7FC"/>
          </w:tcPr>
          <w:p>
            <w:pPr>
              <w:spacing w:after="0" w:line="240" w:lineRule="auto"/>
            </w:pPr>
            <w:r>
              <w:rPr>
                <w:sz w:val="17"/>
              </w:rPr>
              <w:t>projet et CLI facultative</w:t>
            </w:r>
          </w:p>
        </w:tc>
        <w:tc>
          <w:tcPr>
            <w:tcW w:type="dxa" w:w="4645"/>
            <w:tcMar>
              <w:top w:w="80" w:type="dxa"/>
              <w:start w:w="110" w:type="dxa"/>
              <w:bottom w:w="80" w:type="dxa"/>
              <w:end w:w="110" w:type="dxa"/>
            </w:tcMar>
            <w:vAlign w:val="center"/>
            <w:shd w:fill="F8F7FC"/>
          </w:tcPr>
          <w:p>
            <w:pPr>
              <w:spacing w:after="0" w:line="240" w:lineRule="auto"/>
            </w:pPr>
            <w:r>
              <w:rPr>
                <w:sz w:val="17"/>
              </w:rPr>
              <w:t>PostgreSQL, Auth, RLS, Storage, migrations</w:t>
            </w:r>
          </w:p>
        </w:tc>
      </w:tr>
      <w:tr>
        <w:tc>
          <w:tcPr>
            <w:tcW w:type="dxa" w:w="1548"/>
            <w:tcMar>
              <w:top w:w="80" w:type="dxa"/>
              <w:start w:w="110" w:type="dxa"/>
              <w:bottom w:w="80" w:type="dxa"/>
              <w:end w:w="110" w:type="dxa"/>
            </w:tcMar>
            <w:vAlign w:val="center"/>
          </w:tcPr>
          <w:p>
            <w:pPr>
              <w:spacing w:after="0" w:line="240" w:lineRule="auto"/>
            </w:pPr>
            <w:r>
              <w:rPr>
                <w:sz w:val="17"/>
              </w:rPr>
              <w:t>Stripe</w:t>
            </w:r>
          </w:p>
        </w:tc>
        <w:tc>
          <w:tcPr>
            <w:tcW w:type="dxa" w:w="2986"/>
            <w:tcMar>
              <w:top w:w="80" w:type="dxa"/>
              <w:start w:w="110" w:type="dxa"/>
              <w:bottom w:w="80" w:type="dxa"/>
              <w:end w:w="110" w:type="dxa"/>
            </w:tcMar>
            <w:vAlign w:val="center"/>
          </w:tcPr>
          <w:p>
            <w:pPr>
              <w:spacing w:after="0" w:line="240" w:lineRule="auto"/>
            </w:pPr>
            <w:r>
              <w:rPr>
                <w:sz w:val="17"/>
              </w:rPr>
              <w:t>compte test puis production</w:t>
            </w:r>
          </w:p>
        </w:tc>
        <w:tc>
          <w:tcPr>
            <w:tcW w:type="dxa" w:w="4645"/>
            <w:tcMar>
              <w:top w:w="80" w:type="dxa"/>
              <w:start w:w="110" w:type="dxa"/>
              <w:bottom w:w="80" w:type="dxa"/>
              <w:end w:w="110" w:type="dxa"/>
            </w:tcMar>
            <w:vAlign w:val="center"/>
          </w:tcPr>
          <w:p>
            <w:pPr>
              <w:spacing w:after="0" w:line="240" w:lineRule="auto"/>
            </w:pPr>
            <w:r>
              <w:rPr>
                <w:sz w:val="17"/>
              </w:rPr>
              <w:t>Checkout, Billing, portail et webhooks</w:t>
            </w:r>
          </w:p>
        </w:tc>
      </w:tr>
      <w:tr>
        <w:tc>
          <w:tcPr>
            <w:tcW w:type="dxa" w:w="1548"/>
            <w:tcMar>
              <w:top w:w="80" w:type="dxa"/>
              <w:start w:w="110" w:type="dxa"/>
              <w:bottom w:w="80" w:type="dxa"/>
              <w:end w:w="110" w:type="dxa"/>
            </w:tcMar>
            <w:vAlign w:val="center"/>
            <w:shd w:fill="F8F7FC"/>
          </w:tcPr>
          <w:p>
            <w:pPr>
              <w:spacing w:after="0" w:line="240" w:lineRule="auto"/>
            </w:pPr>
            <w:r>
              <w:rPr>
                <w:sz w:val="17"/>
              </w:rPr>
              <w:t>Google AI</w:t>
            </w:r>
          </w:p>
        </w:tc>
        <w:tc>
          <w:tcPr>
            <w:tcW w:type="dxa" w:w="2986"/>
            <w:tcMar>
              <w:top w:w="80" w:type="dxa"/>
              <w:start w:w="110" w:type="dxa"/>
              <w:bottom w:w="80" w:type="dxa"/>
              <w:end w:w="110" w:type="dxa"/>
            </w:tcMar>
            <w:vAlign w:val="center"/>
            <w:shd w:fill="F8F7FC"/>
          </w:tcPr>
          <w:p>
            <w:pPr>
              <w:spacing w:after="0" w:line="240" w:lineRule="auto"/>
            </w:pPr>
            <w:r>
              <w:rPr>
                <w:sz w:val="17"/>
              </w:rPr>
              <w:t>clé Gemini</w:t>
            </w:r>
          </w:p>
        </w:tc>
        <w:tc>
          <w:tcPr>
            <w:tcW w:type="dxa" w:w="4645"/>
            <w:tcMar>
              <w:top w:w="80" w:type="dxa"/>
              <w:start w:w="110" w:type="dxa"/>
              <w:bottom w:w="80" w:type="dxa"/>
              <w:end w:w="110" w:type="dxa"/>
            </w:tcMar>
            <w:vAlign w:val="center"/>
            <w:shd w:fill="F8F7FC"/>
          </w:tcPr>
          <w:p>
            <w:pPr>
              <w:spacing w:after="0" w:line="240" w:lineRule="auto"/>
            </w:pPr>
            <w:r>
              <w:rPr>
                <w:sz w:val="17"/>
              </w:rPr>
              <w:t xml:space="preserve">CynAI </w:t>
            </w:r>
            <w:r>
              <w:rPr>
                <w:rFonts w:ascii="Consolas" w:hAnsi="Consolas"/>
                <w:color w:val="4A339E"/>
                <w:sz w:val="17"/>
              </w:rPr>
              <w:t>gemini-3.1-flash-lite</w:t>
            </w:r>
          </w:p>
        </w:tc>
      </w:tr>
      <w:tr>
        <w:tc>
          <w:tcPr>
            <w:tcW w:type="dxa" w:w="1548"/>
            <w:tcMar>
              <w:top w:w="80" w:type="dxa"/>
              <w:start w:w="110" w:type="dxa"/>
              <w:bottom w:w="80" w:type="dxa"/>
              <w:end w:w="110" w:type="dxa"/>
            </w:tcMar>
            <w:vAlign w:val="center"/>
          </w:tcPr>
          <w:p>
            <w:pPr>
              <w:spacing w:after="0" w:line="240" w:lineRule="auto"/>
            </w:pPr>
            <w:r>
              <w:rPr>
                <w:sz w:val="17"/>
              </w:rPr>
              <w:t>Sentry</w:t>
            </w:r>
          </w:p>
        </w:tc>
        <w:tc>
          <w:tcPr>
            <w:tcW w:type="dxa" w:w="2986"/>
            <w:tcMar>
              <w:top w:w="80" w:type="dxa"/>
              <w:start w:w="110" w:type="dxa"/>
              <w:bottom w:w="80" w:type="dxa"/>
              <w:end w:w="110" w:type="dxa"/>
            </w:tcMar>
            <w:vAlign w:val="center"/>
          </w:tcPr>
          <w:p>
            <w:pPr>
              <w:spacing w:after="0" w:line="240" w:lineRule="auto"/>
            </w:pPr>
            <w:r>
              <w:rPr>
                <w:sz w:val="17"/>
              </w:rPr>
              <w:t>projet Next.js CYNA</w:t>
            </w:r>
          </w:p>
        </w:tc>
        <w:tc>
          <w:tcPr>
            <w:tcW w:type="dxa" w:w="4645"/>
            <w:tcMar>
              <w:top w:w="80" w:type="dxa"/>
              <w:start w:w="110" w:type="dxa"/>
              <w:bottom w:w="80" w:type="dxa"/>
              <w:end w:w="110" w:type="dxa"/>
            </w:tcMar>
            <w:vAlign w:val="center"/>
          </w:tcPr>
          <w:p>
            <w:pPr>
              <w:spacing w:after="0" w:line="240" w:lineRule="auto"/>
            </w:pPr>
            <w:r>
              <w:rPr>
                <w:sz w:val="17"/>
              </w:rPr>
              <w:t>Erreurs production et source maps</w:t>
            </w:r>
          </w:p>
        </w:tc>
      </w:tr>
      <w:tr>
        <w:tc>
          <w:tcPr>
            <w:tcW w:type="dxa" w:w="1548"/>
            <w:tcMar>
              <w:top w:w="80" w:type="dxa"/>
              <w:start w:w="110" w:type="dxa"/>
              <w:bottom w:w="80" w:type="dxa"/>
              <w:end w:w="110" w:type="dxa"/>
            </w:tcMar>
            <w:vAlign w:val="center"/>
            <w:shd w:fill="F8F7FC"/>
          </w:tcPr>
          <w:p>
            <w:pPr>
              <w:spacing w:after="0" w:line="240" w:lineRule="auto"/>
            </w:pPr>
            <w:r>
              <w:rPr>
                <w:sz w:val="17"/>
              </w:rPr>
              <w:t>Netlify</w:t>
            </w:r>
          </w:p>
        </w:tc>
        <w:tc>
          <w:tcPr>
            <w:tcW w:type="dxa" w:w="2986"/>
            <w:tcMar>
              <w:top w:w="80" w:type="dxa"/>
              <w:start w:w="110" w:type="dxa"/>
              <w:bottom w:w="80" w:type="dxa"/>
              <w:end w:w="110" w:type="dxa"/>
            </w:tcMar>
            <w:vAlign w:val="center"/>
            <w:shd w:fill="F8F7FC"/>
          </w:tcPr>
          <w:p>
            <w:pPr>
              <w:spacing w:after="0" w:line="240" w:lineRule="auto"/>
            </w:pPr>
            <w:r>
              <w:rPr>
                <w:sz w:val="17"/>
              </w:rPr>
              <w:t>site relié au dépôt</w:t>
            </w:r>
          </w:p>
        </w:tc>
        <w:tc>
          <w:tcPr>
            <w:tcW w:type="dxa" w:w="4645"/>
            <w:tcMar>
              <w:top w:w="80" w:type="dxa"/>
              <w:start w:w="110" w:type="dxa"/>
              <w:bottom w:w="80" w:type="dxa"/>
              <w:end w:w="110" w:type="dxa"/>
            </w:tcMar>
            <w:vAlign w:val="center"/>
            <w:shd w:fill="F8F7FC"/>
          </w:tcPr>
          <w:p>
            <w:pPr>
              <w:spacing w:after="0" w:line="240" w:lineRule="auto"/>
            </w:pPr>
            <w:r>
              <w:rPr>
                <w:sz w:val="17"/>
              </w:rPr>
              <w:t>Preview et production Next.js via plugin Netlify</w:t>
            </w:r>
          </w:p>
        </w:tc>
      </w:tr>
    </w:tbl>
    <w:p>
      <w:pPr>
        <w:spacing w:after="0"/>
      </w:pPr>
    </w:p>
    <w:p>
      <w:r>
        <w:t xml:space="preserve">Un poste de développement ne doit pas réutiliser les clés de production. Les comptes d'administration des plateformes doivent activer le MFA. Le dépôt ne contient aucun secret ; </w:t>
      </w:r>
      <w:r>
        <w:rPr>
          <w:rFonts w:ascii="Consolas" w:hAnsi="Consolas"/>
          <w:color w:val="4A339E"/>
          <w:sz w:val="18"/>
        </w:rPr>
        <w:t>.env.exemple</w:t>
      </w:r>
      <w:r>
        <w:t xml:space="preserve"> décrit seulement les noms et valeurs fictives.</w:t>
      </w:r>
    </w:p>
    <w:p>
      <w:r>
        <w:t xml:space="preserve">Node.js 24 s'applique au poste local et à GitHub Actions. Le déploiement Netlify actuellement validé utilise Node.js 22, déclaré dans le </w:t>
      </w:r>
      <w:r>
        <w:rPr>
          <w:rFonts w:ascii="Consolas" w:hAnsi="Consolas"/>
          <w:color w:val="4A339E"/>
          <w:sz w:val="18"/>
        </w:rPr>
        <w:t>netlify.toml</w:t>
      </w:r>
      <w:r>
        <w:t xml:space="preserve"> racine, avec </w:t>
      </w:r>
      <w:r>
        <w:rPr>
          <w:rFonts w:ascii="Consolas" w:hAnsi="Consolas"/>
          <w:color w:val="4A339E"/>
          <w:sz w:val="18"/>
        </w:rPr>
        <w:t>@netlify/plugin-nextjs</w:t>
      </w:r>
      <w:r>
        <w:t>. Cette différence doit être testée après chaque montée de version de Next.js, Node.js ou du plugin.</w:t>
      </w:r>
    </w:p>
    <w:p>
      <w:bookmarkStart w:id="3" w:name="h_3_Cloner_et_installer"/>
      <w:pPr>
        <w:pStyle w:val="Heading2"/>
      </w:pPr>
      <w:r>
        <w:t>Cloner et installer</w:t>
      </w:r>
      <w:bookmarkEnd w:id="3"/>
    </w:p>
    <w:p>
      <w:pPr>
        <w:pStyle w:val="CYNACode"/>
        <w:shd w:fill="F3F1F8"/>
      </w:pPr>
      <w:r>
        <w:t>git clone &lt;url-du-depot&gt;</w:t>
      </w:r>
      <w:r>
        <w:br/>
      </w:r>
      <w:r>
        <w:t>cd cyna-marketplace-group-1</w:t>
      </w:r>
      <w:r>
        <w:br/>
      </w:r>
      <w:r>
        <w:t>git switch dev</w:t>
      </w:r>
      <w:r>
        <w:br/>
      </w:r>
      <w:r>
        <w:t>cd webapp-cyna</w:t>
      </w:r>
      <w:r>
        <w:br/>
      </w:r>
      <w:r>
        <w:t>nvm use</w:t>
      </w:r>
      <w:r>
        <w:br/>
      </w:r>
      <w:r>
        <w:t>npm ci</w:t>
      </w:r>
    </w:p>
    <w:p>
      <w:r>
        <w:rPr>
          <w:rFonts w:ascii="Consolas" w:hAnsi="Consolas"/>
          <w:color w:val="4A339E"/>
          <w:sz w:val="18"/>
        </w:rPr>
        <w:t>npm ci</w:t>
      </w:r>
      <w:r>
        <w:t xml:space="preserve"> doit être préféré à </w:t>
      </w:r>
      <w:r>
        <w:rPr>
          <w:rFonts w:ascii="Consolas" w:hAnsi="Consolas"/>
          <w:color w:val="4A339E"/>
          <w:sz w:val="18"/>
        </w:rPr>
        <w:t>npm install</w:t>
      </w:r>
      <w:r>
        <w:t xml:space="preserve"> dans la CI et lors d'une reproduction : il respecte strictement </w:t>
      </w:r>
      <w:r>
        <w:rPr>
          <w:rFonts w:ascii="Consolas" w:hAnsi="Consolas"/>
          <w:color w:val="4A339E"/>
          <w:sz w:val="18"/>
        </w:rPr>
        <w:t>package-lock.json</w:t>
      </w:r>
      <w:r>
        <w:t xml:space="preserve">. Node doit afficher une version 24.x. Les commandes applicatives sont lancées depuis </w:t>
      </w:r>
      <w:r>
        <w:rPr>
          <w:rFonts w:ascii="Consolas" w:hAnsi="Consolas"/>
          <w:color w:val="4A339E"/>
          <w:sz w:val="18"/>
        </w:rPr>
        <w:t>webapp-cyna</w:t>
      </w:r>
      <w:r>
        <w:t>.</w:t>
      </w:r>
    </w:p>
    <w:p>
      <w:bookmarkStart w:id="4" w:name="h_4_Configurer_les_variables"/>
      <w:pPr>
        <w:pStyle w:val="Heading1"/>
      </w:pPr>
      <w:r>
        <w:t>Configurer les variables</w:t>
      </w:r>
      <w:bookmarkEnd w:id="4"/>
    </w:p>
    <w:p>
      <w:r>
        <w:t xml:space="preserve">Copier </w:t>
      </w:r>
      <w:r>
        <w:rPr>
          <w:rFonts w:ascii="Consolas" w:hAnsi="Consolas"/>
          <w:color w:val="4A339E"/>
          <w:sz w:val="18"/>
        </w:rPr>
        <w:t>webapp-cyna/.env.exemple</w:t>
      </w:r>
      <w:r>
        <w:t xml:space="preserve"> vers </w:t>
      </w:r>
      <w:r>
        <w:rPr>
          <w:rFonts w:ascii="Consolas" w:hAnsi="Consolas"/>
          <w:color w:val="4A339E"/>
          <w:sz w:val="18"/>
        </w:rPr>
        <w:t>.env.local</w:t>
      </w:r>
      <w:r>
        <w:t xml:space="preserve">, puis remplacer uniquement les valeurs locales. Ne jamais committer </w:t>
      </w:r>
      <w:r>
        <w:rPr>
          <w:rFonts w:ascii="Consolas" w:hAnsi="Consolas"/>
          <w:color w:val="4A339E"/>
          <w:sz w:val="18"/>
        </w:rPr>
        <w:t>.env.local</w:t>
      </w:r>
      <w:r>
        <w:t>.</w:t>
      </w:r>
    </w:p>
    <w:p>
      <w:pPr>
        <w:sectPr>
          <w:headerReference w:type="default" r:id="rId11"/>
          <w:footerReference w:type="default" r:id="rId12"/>
          <w:pgSz w:w="11906" w:h="16838"/>
          <w:pgMar w:top="1361" w:right="1361" w:bottom="1247" w:left="1361" w:header="709" w:footer="709" w:gutter="0"/>
          <w:cols w:space="720"/>
          <w:docGrid w:linePitch="360"/>
        </w:sectPr>
      </w:pP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713"/>
        <w:gridCol w:w="2988"/>
        <w:gridCol w:w="3333"/>
        <w:gridCol w:w="3563"/>
      </w:tblGrid>
      <w:tr>
        <w:trPr>
          <w:tblHeader w:val="true"/>
        </w:trPr>
        <w:tc>
          <w:tcPr>
            <w:tcW w:type="dxa" w:w="4713"/>
            <w:tcMar>
              <w:top w:w="80" w:type="dxa"/>
              <w:start w:w="110" w:type="dxa"/>
              <w:bottom w:w="80" w:type="dxa"/>
              <w:end w:w="110" w:type="dxa"/>
            </w:tcMar>
            <w:vAlign w:val="center"/>
            <w:shd w:fill="E8EEF5"/>
          </w:tcPr>
          <w:p>
            <w:pPr>
              <w:spacing w:after="0" w:line="240" w:lineRule="auto"/>
            </w:pPr>
            <w:r>
              <w:rPr>
                <w:b/>
                <w:color w:val="302082"/>
                <w:sz w:val="17"/>
              </w:rPr>
              <w:t>Variable</w:t>
            </w:r>
          </w:p>
        </w:tc>
        <w:tc>
          <w:tcPr>
            <w:tcW w:type="dxa" w:w="2988"/>
            <w:tcMar>
              <w:top w:w="80" w:type="dxa"/>
              <w:start w:w="110" w:type="dxa"/>
              <w:bottom w:w="80" w:type="dxa"/>
              <w:end w:w="110" w:type="dxa"/>
            </w:tcMar>
            <w:vAlign w:val="center"/>
            <w:shd w:fill="E8EEF5"/>
          </w:tcPr>
          <w:p>
            <w:pPr>
              <w:spacing w:after="0" w:line="240" w:lineRule="auto"/>
            </w:pPr>
            <w:r>
              <w:rPr>
                <w:b/>
                <w:color w:val="302082"/>
                <w:sz w:val="17"/>
              </w:rPr>
              <w:t>Local / Preview</w:t>
            </w:r>
          </w:p>
        </w:tc>
        <w:tc>
          <w:tcPr>
            <w:tcW w:type="dxa" w:w="3333"/>
            <w:tcMar>
              <w:top w:w="80" w:type="dxa"/>
              <w:start w:w="110" w:type="dxa"/>
              <w:bottom w:w="80" w:type="dxa"/>
              <w:end w:w="110" w:type="dxa"/>
            </w:tcMar>
            <w:vAlign w:val="center"/>
            <w:shd w:fill="E8EEF5"/>
          </w:tcPr>
          <w:p>
            <w:pPr>
              <w:spacing w:after="0" w:line="240" w:lineRule="auto"/>
            </w:pPr>
            <w:r>
              <w:rPr>
                <w:b/>
                <w:color w:val="302082"/>
                <w:sz w:val="17"/>
              </w:rPr>
              <w:t>Production</w:t>
            </w:r>
          </w:p>
        </w:tc>
        <w:tc>
          <w:tcPr>
            <w:tcW w:type="dxa" w:w="3563"/>
            <w:tcMar>
              <w:top w:w="80" w:type="dxa"/>
              <w:start w:w="110" w:type="dxa"/>
              <w:bottom w:w="80" w:type="dxa"/>
              <w:end w:w="110" w:type="dxa"/>
            </w:tcMar>
            <w:vAlign w:val="center"/>
            <w:shd w:fill="E8EEF5"/>
          </w:tcPr>
          <w:p>
            <w:pPr>
              <w:spacing w:after="0" w:line="240" w:lineRule="auto"/>
            </w:pPr>
            <w:r>
              <w:rPr>
                <w:b/>
                <w:color w:val="302082"/>
                <w:sz w:val="17"/>
              </w:rPr>
              <w:t>Sensibilité et rôle</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NEXT_PUBLIC_SUPABASE_URL</w:t>
            </w:r>
          </w:p>
        </w:tc>
        <w:tc>
          <w:tcPr>
            <w:tcW w:type="dxa" w:w="2988"/>
            <w:tcMar>
              <w:top w:w="80" w:type="dxa"/>
              <w:start w:w="110" w:type="dxa"/>
              <w:bottom w:w="80" w:type="dxa"/>
              <w:end w:w="110" w:type="dxa"/>
            </w:tcMar>
            <w:vAlign w:val="center"/>
          </w:tcPr>
          <w:p>
            <w:pPr>
              <w:spacing w:after="0" w:line="240" w:lineRule="auto"/>
            </w:pPr>
            <w:r>
              <w:rPr>
                <w:sz w:val="17"/>
              </w:rPr>
              <w:t>Projet de développement</w:t>
            </w:r>
          </w:p>
        </w:tc>
        <w:tc>
          <w:tcPr>
            <w:tcW w:type="dxa" w:w="3333"/>
            <w:tcMar>
              <w:top w:w="80" w:type="dxa"/>
              <w:start w:w="110" w:type="dxa"/>
              <w:bottom w:w="80" w:type="dxa"/>
              <w:end w:w="110" w:type="dxa"/>
            </w:tcMar>
            <w:vAlign w:val="center"/>
          </w:tcPr>
          <w:p>
            <w:pPr>
              <w:spacing w:after="0" w:line="240" w:lineRule="auto"/>
            </w:pPr>
            <w:r>
              <w:rPr>
                <w:sz w:val="17"/>
              </w:rPr>
              <w:t>Projet de production</w:t>
            </w:r>
          </w:p>
        </w:tc>
        <w:tc>
          <w:tcPr>
            <w:tcW w:type="dxa" w:w="3563"/>
            <w:tcMar>
              <w:top w:w="80" w:type="dxa"/>
              <w:start w:w="110" w:type="dxa"/>
              <w:bottom w:w="80" w:type="dxa"/>
              <w:end w:w="110" w:type="dxa"/>
            </w:tcMar>
            <w:vAlign w:val="center"/>
          </w:tcPr>
          <w:p>
            <w:pPr>
              <w:spacing w:after="0" w:line="240" w:lineRule="auto"/>
            </w:pPr>
            <w:r>
              <w:rPr>
                <w:sz w:val="17"/>
              </w:rPr>
              <w:t>Publique ; URL Supabase</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NEXT_PUBLIC_SUPABASE_ANON_KEY</w:t>
            </w:r>
          </w:p>
        </w:tc>
        <w:tc>
          <w:tcPr>
            <w:tcW w:type="dxa" w:w="2988"/>
            <w:tcMar>
              <w:top w:w="80" w:type="dxa"/>
              <w:start w:w="110" w:type="dxa"/>
              <w:bottom w:w="80" w:type="dxa"/>
              <w:end w:w="110" w:type="dxa"/>
            </w:tcMar>
            <w:vAlign w:val="center"/>
            <w:shd w:fill="F8F7FC"/>
          </w:tcPr>
          <w:p>
            <w:pPr>
              <w:spacing w:after="0" w:line="240" w:lineRule="auto"/>
            </w:pPr>
            <w:r>
              <w:rPr>
                <w:sz w:val="17"/>
              </w:rPr>
              <w:t>Clé anon du projet</w:t>
            </w:r>
          </w:p>
        </w:tc>
        <w:tc>
          <w:tcPr>
            <w:tcW w:type="dxa" w:w="3333"/>
            <w:tcMar>
              <w:top w:w="80" w:type="dxa"/>
              <w:start w:w="110" w:type="dxa"/>
              <w:bottom w:w="80" w:type="dxa"/>
              <w:end w:w="110" w:type="dxa"/>
            </w:tcMar>
            <w:vAlign w:val="center"/>
            <w:shd w:fill="F8F7FC"/>
          </w:tcPr>
          <w:p>
            <w:pPr>
              <w:spacing w:after="0" w:line="240" w:lineRule="auto"/>
            </w:pPr>
            <w:r>
              <w:rPr>
                <w:sz w:val="17"/>
              </w:rPr>
              <w:t>Clé anon production</w:t>
            </w:r>
          </w:p>
        </w:tc>
        <w:tc>
          <w:tcPr>
            <w:tcW w:type="dxa" w:w="3563"/>
            <w:tcMar>
              <w:top w:w="80" w:type="dxa"/>
              <w:start w:w="110" w:type="dxa"/>
              <w:bottom w:w="80" w:type="dxa"/>
              <w:end w:w="110" w:type="dxa"/>
            </w:tcMar>
            <w:vAlign w:val="center"/>
            <w:shd w:fill="F8F7FC"/>
          </w:tcPr>
          <w:p>
            <w:pPr>
              <w:spacing w:after="0" w:line="240" w:lineRule="auto"/>
            </w:pPr>
            <w:r>
              <w:rPr>
                <w:sz w:val="17"/>
              </w:rPr>
              <w:t>Publique mais contrôlée par RLS</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SUPABASE_SERVICE_ROLE_KEY</w:t>
            </w:r>
          </w:p>
        </w:tc>
        <w:tc>
          <w:tcPr>
            <w:tcW w:type="dxa" w:w="2988"/>
            <w:tcMar>
              <w:top w:w="80" w:type="dxa"/>
              <w:start w:w="110" w:type="dxa"/>
              <w:bottom w:w="80" w:type="dxa"/>
              <w:end w:w="110" w:type="dxa"/>
            </w:tcMar>
            <w:vAlign w:val="center"/>
          </w:tcPr>
          <w:p>
            <w:pPr>
              <w:spacing w:after="0" w:line="240" w:lineRule="auto"/>
            </w:pPr>
            <w:r>
              <w:rPr>
                <w:sz w:val="17"/>
              </w:rPr>
              <w:t>Projet de test dédié</w:t>
            </w:r>
          </w:p>
        </w:tc>
        <w:tc>
          <w:tcPr>
            <w:tcW w:type="dxa" w:w="3333"/>
            <w:tcMar>
              <w:top w:w="80" w:type="dxa"/>
              <w:start w:w="110" w:type="dxa"/>
              <w:bottom w:w="80" w:type="dxa"/>
              <w:end w:w="110" w:type="dxa"/>
            </w:tcMar>
            <w:vAlign w:val="center"/>
          </w:tcPr>
          <w:p>
            <w:pPr>
              <w:spacing w:after="0" w:line="240" w:lineRule="auto"/>
            </w:pPr>
            <w:r>
              <w:rPr>
                <w:sz w:val="17"/>
              </w:rPr>
              <w:t>Production, serveur seulement</w:t>
            </w:r>
          </w:p>
        </w:tc>
        <w:tc>
          <w:tcPr>
            <w:tcW w:type="dxa" w:w="3563"/>
            <w:tcMar>
              <w:top w:w="80" w:type="dxa"/>
              <w:start w:w="110" w:type="dxa"/>
              <w:bottom w:w="80" w:type="dxa"/>
              <w:end w:w="110" w:type="dxa"/>
            </w:tcMar>
            <w:vAlign w:val="center"/>
          </w:tcPr>
          <w:p>
            <w:pPr>
              <w:spacing w:after="0" w:line="240" w:lineRule="auto"/>
            </w:pPr>
            <w:r>
              <w:rPr>
                <w:sz w:val="17"/>
              </w:rPr>
              <w:t>Critique ; contourne RLS</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NEXT_PUBLIC_SITE_URL</w:t>
            </w:r>
          </w:p>
        </w:tc>
        <w:tc>
          <w:tcPr>
            <w:tcW w:type="dxa" w:w="2988"/>
            <w:tcMar>
              <w:top w:w="80" w:type="dxa"/>
              <w:start w:w="110" w:type="dxa"/>
              <w:bottom w:w="80" w:type="dxa"/>
              <w:end w:w="110" w:type="dxa"/>
            </w:tcMar>
            <w:vAlign w:val="center"/>
            <w:shd w:fill="F8F7FC"/>
          </w:tcPr>
          <w:p>
            <w:pPr>
              <w:spacing w:after="0" w:line="240" w:lineRule="auto"/>
            </w:pPr>
            <w:r>
              <w:rPr>
                <w:rFonts w:ascii="Consolas" w:hAnsi="Consolas"/>
                <w:color w:val="4A339E"/>
                <w:sz w:val="17"/>
              </w:rPr>
              <w:t>http://localhost:3000</w:t>
            </w:r>
          </w:p>
        </w:tc>
        <w:tc>
          <w:tcPr>
            <w:tcW w:type="dxa" w:w="3333"/>
            <w:tcMar>
              <w:top w:w="80" w:type="dxa"/>
              <w:start w:w="110" w:type="dxa"/>
              <w:bottom w:w="80" w:type="dxa"/>
              <w:end w:w="110" w:type="dxa"/>
            </w:tcMar>
            <w:vAlign w:val="center"/>
            <w:shd w:fill="F8F7FC"/>
          </w:tcPr>
          <w:p>
            <w:pPr>
              <w:spacing w:after="0" w:line="240" w:lineRule="auto"/>
            </w:pPr>
            <w:r>
              <w:rPr>
                <w:sz w:val="17"/>
              </w:rPr>
              <w:t>domaine canonique HTTPS</w:t>
            </w:r>
          </w:p>
        </w:tc>
        <w:tc>
          <w:tcPr>
            <w:tcW w:type="dxa" w:w="3563"/>
            <w:tcMar>
              <w:top w:w="80" w:type="dxa"/>
              <w:start w:w="110" w:type="dxa"/>
              <w:bottom w:w="80" w:type="dxa"/>
              <w:end w:w="110" w:type="dxa"/>
            </w:tcMar>
            <w:vAlign w:val="center"/>
            <w:shd w:fill="F8F7FC"/>
          </w:tcPr>
          <w:p>
            <w:pPr>
              <w:spacing w:after="0" w:line="240" w:lineRule="auto"/>
            </w:pPr>
            <w:r>
              <w:rPr>
                <w:sz w:val="17"/>
              </w:rPr>
              <w:t>Publique ; retours et liens</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STRIPE_SECRET_KEY</w:t>
            </w:r>
          </w:p>
        </w:tc>
        <w:tc>
          <w:tcPr>
            <w:tcW w:type="dxa" w:w="2988"/>
            <w:tcMar>
              <w:top w:w="80" w:type="dxa"/>
              <w:start w:w="110" w:type="dxa"/>
              <w:bottom w:w="80" w:type="dxa"/>
              <w:end w:w="110" w:type="dxa"/>
            </w:tcMar>
            <w:vAlign w:val="center"/>
          </w:tcPr>
          <w:p>
            <w:pPr>
              <w:spacing w:after="0" w:line="240" w:lineRule="auto"/>
            </w:pPr>
            <w:r>
              <w:rPr>
                <w:rFonts w:ascii="Consolas" w:hAnsi="Consolas"/>
                <w:color w:val="4A339E"/>
                <w:sz w:val="17"/>
              </w:rPr>
              <w:t>sk_test_…</w:t>
            </w:r>
          </w:p>
        </w:tc>
        <w:tc>
          <w:tcPr>
            <w:tcW w:type="dxa" w:w="3333"/>
            <w:tcMar>
              <w:top w:w="80" w:type="dxa"/>
              <w:start w:w="110" w:type="dxa"/>
              <w:bottom w:w="80" w:type="dxa"/>
              <w:end w:w="110" w:type="dxa"/>
            </w:tcMar>
            <w:vAlign w:val="center"/>
          </w:tcPr>
          <w:p>
            <w:pPr>
              <w:spacing w:after="0" w:line="240" w:lineRule="auto"/>
            </w:pPr>
            <w:r>
              <w:rPr>
                <w:rFonts w:ascii="Consolas" w:hAnsi="Consolas"/>
                <w:color w:val="4A339E"/>
                <w:sz w:val="17"/>
              </w:rPr>
              <w:t>sk_live_…</w:t>
            </w:r>
          </w:p>
        </w:tc>
        <w:tc>
          <w:tcPr>
            <w:tcW w:type="dxa" w:w="3563"/>
            <w:tcMar>
              <w:top w:w="80" w:type="dxa"/>
              <w:start w:w="110" w:type="dxa"/>
              <w:bottom w:w="80" w:type="dxa"/>
              <w:end w:w="110" w:type="dxa"/>
            </w:tcMar>
            <w:vAlign w:val="center"/>
          </w:tcPr>
          <w:p>
            <w:pPr>
              <w:spacing w:after="0" w:line="240" w:lineRule="auto"/>
            </w:pPr>
            <w:r>
              <w:rPr>
                <w:sz w:val="17"/>
              </w:rPr>
              <w:t>Critique ; API Stripe serveur</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NEXT_PUBLIC_STRIPE_PUBLISHABLE_KEY</w:t>
            </w:r>
          </w:p>
        </w:tc>
        <w:tc>
          <w:tcPr>
            <w:tcW w:type="dxa" w:w="2988"/>
            <w:tcMar>
              <w:top w:w="80" w:type="dxa"/>
              <w:start w:w="110" w:type="dxa"/>
              <w:bottom w:w="80" w:type="dxa"/>
              <w:end w:w="110" w:type="dxa"/>
            </w:tcMar>
            <w:vAlign w:val="center"/>
            <w:shd w:fill="F8F7FC"/>
          </w:tcPr>
          <w:p>
            <w:pPr>
              <w:spacing w:after="0" w:line="240" w:lineRule="auto"/>
            </w:pPr>
            <w:r>
              <w:rPr>
                <w:rFonts w:ascii="Consolas" w:hAnsi="Consolas"/>
                <w:color w:val="4A339E"/>
                <w:sz w:val="17"/>
              </w:rPr>
              <w:t>pk_test_…</w:t>
            </w:r>
          </w:p>
        </w:tc>
        <w:tc>
          <w:tcPr>
            <w:tcW w:type="dxa" w:w="3333"/>
            <w:tcMar>
              <w:top w:w="80" w:type="dxa"/>
              <w:start w:w="110" w:type="dxa"/>
              <w:bottom w:w="80" w:type="dxa"/>
              <w:end w:w="110" w:type="dxa"/>
            </w:tcMar>
            <w:vAlign w:val="center"/>
            <w:shd w:fill="F8F7FC"/>
          </w:tcPr>
          <w:p>
            <w:pPr>
              <w:spacing w:after="0" w:line="240" w:lineRule="auto"/>
            </w:pPr>
            <w:r>
              <w:rPr>
                <w:rFonts w:ascii="Consolas" w:hAnsi="Consolas"/>
                <w:color w:val="4A339E"/>
                <w:sz w:val="17"/>
              </w:rPr>
              <w:t>pk_live_…</w:t>
            </w:r>
          </w:p>
        </w:tc>
        <w:tc>
          <w:tcPr>
            <w:tcW w:type="dxa" w:w="3563"/>
            <w:tcMar>
              <w:top w:w="80" w:type="dxa"/>
              <w:start w:w="110" w:type="dxa"/>
              <w:bottom w:w="80" w:type="dxa"/>
              <w:end w:w="110" w:type="dxa"/>
            </w:tcMar>
            <w:vAlign w:val="center"/>
            <w:shd w:fill="F8F7FC"/>
          </w:tcPr>
          <w:p>
            <w:pPr>
              <w:spacing w:after="0" w:line="240" w:lineRule="auto"/>
            </w:pPr>
            <w:r>
              <w:rPr>
                <w:sz w:val="17"/>
              </w:rPr>
              <w:t>Publique</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STRIPE_WEBHOOK_SECRET</w:t>
            </w:r>
          </w:p>
        </w:tc>
        <w:tc>
          <w:tcPr>
            <w:tcW w:type="dxa" w:w="2988"/>
            <w:tcMar>
              <w:top w:w="80" w:type="dxa"/>
              <w:start w:w="110" w:type="dxa"/>
              <w:bottom w:w="80" w:type="dxa"/>
              <w:end w:w="110" w:type="dxa"/>
            </w:tcMar>
            <w:vAlign w:val="center"/>
          </w:tcPr>
          <w:p>
            <w:pPr>
              <w:spacing w:after="0" w:line="240" w:lineRule="auto"/>
            </w:pPr>
            <w:r>
              <w:rPr>
                <w:sz w:val="17"/>
              </w:rPr>
              <w:t>secret Stripe CLI</w:t>
            </w:r>
          </w:p>
        </w:tc>
        <w:tc>
          <w:tcPr>
            <w:tcW w:type="dxa" w:w="3333"/>
            <w:tcMar>
              <w:top w:w="80" w:type="dxa"/>
              <w:start w:w="110" w:type="dxa"/>
              <w:bottom w:w="80" w:type="dxa"/>
              <w:end w:w="110" w:type="dxa"/>
            </w:tcMar>
            <w:vAlign w:val="center"/>
          </w:tcPr>
          <w:p>
            <w:pPr>
              <w:spacing w:after="0" w:line="240" w:lineRule="auto"/>
            </w:pPr>
            <w:r>
              <w:rPr>
                <w:sz w:val="17"/>
              </w:rPr>
              <w:t>secret endpoint production</w:t>
            </w:r>
          </w:p>
        </w:tc>
        <w:tc>
          <w:tcPr>
            <w:tcW w:type="dxa" w:w="3563"/>
            <w:tcMar>
              <w:top w:w="80" w:type="dxa"/>
              <w:start w:w="110" w:type="dxa"/>
              <w:bottom w:w="80" w:type="dxa"/>
              <w:end w:w="110" w:type="dxa"/>
            </w:tcMar>
            <w:vAlign w:val="center"/>
          </w:tcPr>
          <w:p>
            <w:pPr>
              <w:spacing w:after="0" w:line="240" w:lineRule="auto"/>
            </w:pPr>
            <w:r>
              <w:rPr>
                <w:sz w:val="17"/>
              </w:rPr>
              <w:t>Critique ; vérification webhook</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STRIPE_CUSTOMER_PORTAL_CONFIGURATION_ID</w:t>
            </w:r>
          </w:p>
        </w:tc>
        <w:tc>
          <w:tcPr>
            <w:tcW w:type="dxa" w:w="2988"/>
            <w:tcMar>
              <w:top w:w="80" w:type="dxa"/>
              <w:start w:w="110" w:type="dxa"/>
              <w:bottom w:w="80" w:type="dxa"/>
              <w:end w:w="110" w:type="dxa"/>
            </w:tcMar>
            <w:vAlign w:val="center"/>
            <w:shd w:fill="F8F7FC"/>
          </w:tcPr>
          <w:p>
            <w:pPr>
              <w:spacing w:after="0" w:line="240" w:lineRule="auto"/>
            </w:pPr>
            <w:r>
              <w:rPr>
                <w:sz w:val="17"/>
              </w:rPr>
              <w:t>config test</w:t>
            </w:r>
          </w:p>
        </w:tc>
        <w:tc>
          <w:tcPr>
            <w:tcW w:type="dxa" w:w="3333"/>
            <w:tcMar>
              <w:top w:w="80" w:type="dxa"/>
              <w:start w:w="110" w:type="dxa"/>
              <w:bottom w:w="80" w:type="dxa"/>
              <w:end w:w="110" w:type="dxa"/>
            </w:tcMar>
            <w:vAlign w:val="center"/>
            <w:shd w:fill="F8F7FC"/>
          </w:tcPr>
          <w:p>
            <w:pPr>
              <w:spacing w:after="0" w:line="240" w:lineRule="auto"/>
            </w:pPr>
            <w:r>
              <w:rPr>
                <w:sz w:val="17"/>
              </w:rPr>
              <w:t>config production</w:t>
            </w:r>
          </w:p>
        </w:tc>
        <w:tc>
          <w:tcPr>
            <w:tcW w:type="dxa" w:w="3563"/>
            <w:tcMar>
              <w:top w:w="80" w:type="dxa"/>
              <w:start w:w="110" w:type="dxa"/>
              <w:bottom w:w="80" w:type="dxa"/>
              <w:end w:w="110" w:type="dxa"/>
            </w:tcMar>
            <w:vAlign w:val="center"/>
            <w:shd w:fill="F8F7FC"/>
          </w:tcPr>
          <w:p>
            <w:pPr>
              <w:spacing w:after="0" w:line="240" w:lineRule="auto"/>
            </w:pPr>
            <w:r>
              <w:rPr>
                <w:sz w:val="17"/>
              </w:rPr>
              <w:t>Interne ; capacités portail</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GEMINI_API_KEY</w:t>
            </w:r>
          </w:p>
        </w:tc>
        <w:tc>
          <w:tcPr>
            <w:tcW w:type="dxa" w:w="2988"/>
            <w:tcMar>
              <w:top w:w="80" w:type="dxa"/>
              <w:start w:w="110" w:type="dxa"/>
              <w:bottom w:w="80" w:type="dxa"/>
              <w:end w:w="110" w:type="dxa"/>
            </w:tcMar>
            <w:vAlign w:val="center"/>
          </w:tcPr>
          <w:p>
            <w:pPr>
              <w:spacing w:after="0" w:line="240" w:lineRule="auto"/>
            </w:pPr>
            <w:r>
              <w:rPr>
                <w:sz w:val="17"/>
              </w:rPr>
              <w:t>clé projet de test</w:t>
            </w:r>
          </w:p>
        </w:tc>
        <w:tc>
          <w:tcPr>
            <w:tcW w:type="dxa" w:w="3333"/>
            <w:tcMar>
              <w:top w:w="80" w:type="dxa"/>
              <w:start w:w="110" w:type="dxa"/>
              <w:bottom w:w="80" w:type="dxa"/>
              <w:end w:w="110" w:type="dxa"/>
            </w:tcMar>
            <w:vAlign w:val="center"/>
          </w:tcPr>
          <w:p>
            <w:pPr>
              <w:spacing w:after="0" w:line="240" w:lineRule="auto"/>
            </w:pPr>
            <w:r>
              <w:rPr>
                <w:sz w:val="17"/>
              </w:rPr>
              <w:t>clé production restreinte</w:t>
            </w:r>
          </w:p>
        </w:tc>
        <w:tc>
          <w:tcPr>
            <w:tcW w:type="dxa" w:w="3563"/>
            <w:tcMar>
              <w:top w:w="80" w:type="dxa"/>
              <w:start w:w="110" w:type="dxa"/>
              <w:bottom w:w="80" w:type="dxa"/>
              <w:end w:w="110" w:type="dxa"/>
            </w:tcMar>
            <w:vAlign w:val="center"/>
          </w:tcPr>
          <w:p>
            <w:pPr>
              <w:spacing w:after="0" w:line="240" w:lineRule="auto"/>
            </w:pPr>
            <w:r>
              <w:rPr>
                <w:sz w:val="17"/>
              </w:rPr>
              <w:t>Critique ; appels Gemini</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NEXT_PUBLIC_SENTRY_DSN</w:t>
            </w:r>
          </w:p>
        </w:tc>
        <w:tc>
          <w:tcPr>
            <w:tcW w:type="dxa" w:w="2988"/>
            <w:tcMar>
              <w:top w:w="80" w:type="dxa"/>
              <w:start w:w="110" w:type="dxa"/>
              <w:bottom w:w="80" w:type="dxa"/>
              <w:end w:w="110" w:type="dxa"/>
            </w:tcMar>
            <w:vAlign w:val="center"/>
            <w:shd w:fill="F8F7FC"/>
          </w:tcPr>
          <w:p>
            <w:pPr>
              <w:spacing w:after="0" w:line="240" w:lineRule="auto"/>
            </w:pPr>
            <w:r>
              <w:rPr>
                <w:sz w:val="17"/>
              </w:rPr>
              <w:t>vide ou projet test</w:t>
            </w:r>
          </w:p>
        </w:tc>
        <w:tc>
          <w:tcPr>
            <w:tcW w:type="dxa" w:w="3333"/>
            <w:tcMar>
              <w:top w:w="80" w:type="dxa"/>
              <w:start w:w="110" w:type="dxa"/>
              <w:bottom w:w="80" w:type="dxa"/>
              <w:end w:w="110" w:type="dxa"/>
            </w:tcMar>
            <w:vAlign w:val="center"/>
            <w:shd w:fill="F8F7FC"/>
          </w:tcPr>
          <w:p>
            <w:pPr>
              <w:spacing w:after="0" w:line="240" w:lineRule="auto"/>
            </w:pPr>
            <w:r>
              <w:rPr>
                <w:sz w:val="17"/>
              </w:rPr>
              <w:t>projet CYNA production</w:t>
            </w:r>
          </w:p>
        </w:tc>
        <w:tc>
          <w:tcPr>
            <w:tcW w:type="dxa" w:w="3563"/>
            <w:tcMar>
              <w:top w:w="80" w:type="dxa"/>
              <w:start w:w="110" w:type="dxa"/>
              <w:bottom w:w="80" w:type="dxa"/>
              <w:end w:w="110" w:type="dxa"/>
            </w:tcMar>
            <w:vAlign w:val="center"/>
            <w:shd w:fill="F8F7FC"/>
          </w:tcPr>
          <w:p>
            <w:pPr>
              <w:spacing w:after="0" w:line="240" w:lineRule="auto"/>
            </w:pPr>
            <w:r>
              <w:rPr>
                <w:sz w:val="17"/>
              </w:rPr>
              <w:t>Publique ; active le SDK</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SENTRY_ORG</w:t>
            </w:r>
          </w:p>
        </w:tc>
        <w:tc>
          <w:tcPr>
            <w:tcW w:type="dxa" w:w="2988"/>
            <w:tcMar>
              <w:top w:w="80" w:type="dxa"/>
              <w:start w:w="110" w:type="dxa"/>
              <w:bottom w:w="80" w:type="dxa"/>
              <w:end w:w="110" w:type="dxa"/>
            </w:tcMar>
            <w:vAlign w:val="center"/>
          </w:tcPr>
          <w:p>
            <w:pPr>
              <w:spacing w:after="0" w:line="240" w:lineRule="auto"/>
            </w:pPr>
            <w:r>
              <w:rPr>
                <w:sz w:val="17"/>
              </w:rPr>
              <w:t>vide hors build sourcemaps</w:t>
            </w:r>
          </w:p>
        </w:tc>
        <w:tc>
          <w:tcPr>
            <w:tcW w:type="dxa" w:w="3333"/>
            <w:tcMar>
              <w:top w:w="80" w:type="dxa"/>
              <w:start w:w="110" w:type="dxa"/>
              <w:bottom w:w="80" w:type="dxa"/>
              <w:end w:w="110" w:type="dxa"/>
            </w:tcMar>
            <w:vAlign w:val="center"/>
          </w:tcPr>
          <w:p>
            <w:pPr>
              <w:spacing w:after="0" w:line="240" w:lineRule="auto"/>
            </w:pPr>
            <w:r>
              <w:rPr>
                <w:sz w:val="17"/>
              </w:rPr>
              <w:t>organisation Sentry</w:t>
            </w:r>
          </w:p>
        </w:tc>
        <w:tc>
          <w:tcPr>
            <w:tcW w:type="dxa" w:w="3563"/>
            <w:tcMar>
              <w:top w:w="80" w:type="dxa"/>
              <w:start w:w="110" w:type="dxa"/>
              <w:bottom w:w="80" w:type="dxa"/>
              <w:end w:w="110" w:type="dxa"/>
            </w:tcMar>
            <w:vAlign w:val="center"/>
          </w:tcPr>
          <w:p>
            <w:pPr>
              <w:spacing w:after="0" w:line="240" w:lineRule="auto"/>
            </w:pPr>
            <w:r>
              <w:rPr>
                <w:sz w:val="17"/>
              </w:rPr>
              <w:t>Interne</w:t>
            </w:r>
          </w:p>
        </w:tc>
      </w:tr>
      <w:tr>
        <w:tc>
          <w:tcPr>
            <w:tcW w:type="dxa" w:w="4713"/>
            <w:tcMar>
              <w:top w:w="80" w:type="dxa"/>
              <w:start w:w="110" w:type="dxa"/>
              <w:bottom w:w="80" w:type="dxa"/>
              <w:end w:w="110" w:type="dxa"/>
            </w:tcMar>
            <w:vAlign w:val="center"/>
            <w:shd w:fill="F8F7FC"/>
          </w:tcPr>
          <w:p>
            <w:pPr>
              <w:spacing w:after="0" w:line="240" w:lineRule="auto"/>
            </w:pPr>
            <w:r>
              <w:rPr>
                <w:rFonts w:ascii="Consolas" w:hAnsi="Consolas"/>
                <w:color w:val="4A339E"/>
                <w:sz w:val="17"/>
              </w:rPr>
              <w:t>SENTRY_PROJECT</w:t>
            </w:r>
          </w:p>
        </w:tc>
        <w:tc>
          <w:tcPr>
            <w:tcW w:type="dxa" w:w="2988"/>
            <w:tcMar>
              <w:top w:w="80" w:type="dxa"/>
              <w:start w:w="110" w:type="dxa"/>
              <w:bottom w:w="80" w:type="dxa"/>
              <w:end w:w="110" w:type="dxa"/>
            </w:tcMar>
            <w:vAlign w:val="center"/>
            <w:shd w:fill="F8F7FC"/>
          </w:tcPr>
          <w:p>
            <w:pPr>
              <w:spacing w:after="0" w:line="240" w:lineRule="auto"/>
            </w:pPr>
            <w:r>
              <w:rPr>
                <w:sz w:val="17"/>
              </w:rPr>
              <w:t>vide hors build sourcemaps</w:t>
            </w:r>
          </w:p>
        </w:tc>
        <w:tc>
          <w:tcPr>
            <w:tcW w:type="dxa" w:w="3333"/>
            <w:tcMar>
              <w:top w:w="80" w:type="dxa"/>
              <w:start w:w="110" w:type="dxa"/>
              <w:bottom w:w="80" w:type="dxa"/>
              <w:end w:w="110" w:type="dxa"/>
            </w:tcMar>
            <w:vAlign w:val="center"/>
            <w:shd w:fill="F8F7FC"/>
          </w:tcPr>
          <w:p>
            <w:pPr>
              <w:spacing w:after="0" w:line="240" w:lineRule="auto"/>
            </w:pPr>
            <w:r>
              <w:rPr>
                <w:sz w:val="17"/>
              </w:rPr>
              <w:t>projet CYNA</w:t>
            </w:r>
          </w:p>
        </w:tc>
        <w:tc>
          <w:tcPr>
            <w:tcW w:type="dxa" w:w="3563"/>
            <w:tcMar>
              <w:top w:w="80" w:type="dxa"/>
              <w:start w:w="110" w:type="dxa"/>
              <w:bottom w:w="80" w:type="dxa"/>
              <w:end w:w="110" w:type="dxa"/>
            </w:tcMar>
            <w:vAlign w:val="center"/>
            <w:shd w:fill="F8F7FC"/>
          </w:tcPr>
          <w:p>
            <w:pPr>
              <w:spacing w:after="0" w:line="240" w:lineRule="auto"/>
            </w:pPr>
            <w:r>
              <w:rPr>
                <w:sz w:val="17"/>
              </w:rPr>
              <w:t>Interne</w:t>
            </w:r>
          </w:p>
        </w:tc>
      </w:tr>
      <w:tr>
        <w:tc>
          <w:tcPr>
            <w:tcW w:type="dxa" w:w="4713"/>
            <w:tcMar>
              <w:top w:w="80" w:type="dxa"/>
              <w:start w:w="110" w:type="dxa"/>
              <w:bottom w:w="80" w:type="dxa"/>
              <w:end w:w="110" w:type="dxa"/>
            </w:tcMar>
            <w:vAlign w:val="center"/>
          </w:tcPr>
          <w:p>
            <w:pPr>
              <w:spacing w:after="0" w:line="240" w:lineRule="auto"/>
            </w:pPr>
            <w:r>
              <w:rPr>
                <w:rFonts w:ascii="Consolas" w:hAnsi="Consolas"/>
                <w:color w:val="4A339E"/>
                <w:sz w:val="17"/>
              </w:rPr>
              <w:t>SENTRY_AUTH_TOKEN</w:t>
            </w:r>
          </w:p>
        </w:tc>
        <w:tc>
          <w:tcPr>
            <w:tcW w:type="dxa" w:w="2988"/>
            <w:tcMar>
              <w:top w:w="80" w:type="dxa"/>
              <w:start w:w="110" w:type="dxa"/>
              <w:bottom w:w="80" w:type="dxa"/>
              <w:end w:w="110" w:type="dxa"/>
            </w:tcMar>
            <w:vAlign w:val="center"/>
          </w:tcPr>
          <w:p>
            <w:pPr>
              <w:spacing w:after="0" w:line="240" w:lineRule="auto"/>
            </w:pPr>
            <w:r>
              <w:rPr>
                <w:sz w:val="17"/>
              </w:rPr>
              <w:t>absent en développement</w:t>
            </w:r>
          </w:p>
        </w:tc>
        <w:tc>
          <w:tcPr>
            <w:tcW w:type="dxa" w:w="3333"/>
            <w:tcMar>
              <w:top w:w="80" w:type="dxa"/>
              <w:start w:w="110" w:type="dxa"/>
              <w:bottom w:w="80" w:type="dxa"/>
              <w:end w:w="110" w:type="dxa"/>
            </w:tcMar>
            <w:vAlign w:val="center"/>
          </w:tcPr>
          <w:p>
            <w:pPr>
              <w:spacing w:after="0" w:line="240" w:lineRule="auto"/>
            </w:pPr>
            <w:r>
              <w:rPr>
                <w:sz w:val="17"/>
              </w:rPr>
              <w:t>Netlify Production seulement</w:t>
            </w:r>
          </w:p>
        </w:tc>
        <w:tc>
          <w:tcPr>
            <w:tcW w:type="dxa" w:w="3563"/>
            <w:tcMar>
              <w:top w:w="80" w:type="dxa"/>
              <w:start w:w="110" w:type="dxa"/>
              <w:bottom w:w="80" w:type="dxa"/>
              <w:end w:w="110" w:type="dxa"/>
            </w:tcMar>
            <w:vAlign w:val="center"/>
          </w:tcPr>
          <w:p>
            <w:pPr>
              <w:spacing w:after="0" w:line="240" w:lineRule="auto"/>
            </w:pPr>
            <w:r>
              <w:rPr>
                <w:sz w:val="17"/>
              </w:rPr>
              <w:t>Critique ; upload source maps</w:t>
            </w:r>
          </w:p>
        </w:tc>
      </w:tr>
    </w:tbl>
    <w:p>
      <w:pPr>
        <w:spacing w:after="0"/>
      </w:pPr>
    </w:p>
    <w:p>
      <w:pPr>
        <w:sectPr>
          <w:headerReference w:type="default" r:id="rId13"/>
          <w:footerReference w:type="default" r:id="rId14"/>
          <w:pgSz w:w="16838" w:h="11906" w:orient="landscape"/>
          <w:pgMar w:top="1134" w:right="1020" w:bottom="1020" w:left="1020" w:header="709" w:footer="709" w:gutter="0"/>
          <w:cols w:space="720"/>
          <w:docGrid w:linePitch="360"/>
        </w:sectPr>
      </w:pPr>
    </w:p>
    <w:p>
      <w:r>
        <w:t xml:space="preserve">Sans </w:t>
      </w:r>
      <w:r>
        <w:rPr>
          <w:rFonts w:ascii="Consolas" w:hAnsi="Consolas"/>
          <w:color w:val="4A339E"/>
          <w:sz w:val="18"/>
        </w:rPr>
        <w:t>NEXT_PUBLIC_SENTRY_DSN</w:t>
      </w:r>
      <w:r>
        <w:t>, les initialisations client, server et edge restent désactivées et l'application fonctionne. Les variables Sentry d'upload ne sont pas nécessaires à un build local. Les valeurs utilisées par la CI sont factices et non secrètes ; elles servent uniquement à compiler les branches sans contacter la production.</w:t>
      </w:r>
    </w:p>
    <w:p>
      <w:bookmarkStart w:id="5" w:name="h_5_Initialiser_Supabase"/>
      <w:pPr>
        <w:pStyle w:val="Heading1"/>
      </w:pPr>
      <w:r>
        <w:t>Initialiser Supabase</w:t>
      </w:r>
      <w:bookmarkEnd w:id="5"/>
    </w:p>
    <w:p>
      <w:bookmarkStart w:id="6" w:name="h_6_Projet__migrations_et_types"/>
      <w:pPr>
        <w:pStyle w:val="Heading2"/>
      </w:pPr>
      <w:r>
        <w:t>Projet, migrations et types</w:t>
      </w:r>
      <w:bookmarkEnd w:id="6"/>
    </w:p>
    <w:p>
      <w:r>
        <w:t>Créer ou sélectionner le projet correspondant à l'environnement. Appliquer les migrations dans leur ordre depuis le répertoire Supabase du dépôt. Ne pas modifier manuellement la production avant d'avoir testé la migration sur un clone ou un projet de staging.</w:t>
      </w:r>
    </w:p>
    <w:p>
      <w:pPr>
        <w:pStyle w:val="CYNACode"/>
        <w:shd w:fill="F3F1F8"/>
      </w:pPr>
      <w:r>
        <w:t>supabase login</w:t>
      </w:r>
      <w:r>
        <w:br/>
      </w:r>
      <w:r>
        <w:t>supabase link --project-ref &lt;reference&gt;</w:t>
      </w:r>
      <w:r>
        <w:br/>
      </w:r>
      <w:r>
        <w:t>supabase db push</w:t>
      </w:r>
      <w:r>
        <w:br/>
      </w:r>
      <w:r>
        <w:t>supabase gen types typescript --linked &gt; src/types/database.types.ts</w:t>
      </w:r>
    </w:p>
    <w:p>
      <w:r>
        <w:t>La dernière commande de redirection est donnée à titre opératoire ; vérifier le diff avant commit. Le présent chantier ne requiert aucune migration. Une régénération de types ne doit pas supprimer une table ou rendre un champ obligatoire sans migration correspondante.</w:t>
      </w:r>
    </w:p>
    <w:p>
      <w:bookmarkStart w:id="7" w:name="h_7_Auth__URL_et_MFA"/>
      <w:pPr>
        <w:pStyle w:val="Heading2"/>
      </w:pPr>
      <w:r>
        <w:t>Auth, URL et MFA</w:t>
      </w:r>
      <w:bookmarkEnd w:id="7"/>
    </w:p>
    <w:p>
      <w:r>
        <w:t xml:space="preserve">Dans Supabase Auth, configurer l'URL du site et les URLs de redirection pour </w:t>
      </w:r>
      <w:r>
        <w:rPr>
          <w:rFonts w:ascii="Consolas" w:hAnsi="Consolas"/>
          <w:color w:val="4A339E"/>
          <w:sz w:val="18"/>
        </w:rPr>
        <w:t>http://localhost:3000</w:t>
      </w:r>
      <w:r>
        <w:t xml:space="preserve">, les previews Netlify autorisées et le domaine de production. Activer les méthodes de connexion prévues par le produit. Le BackOffice repose sur TOTP : vérifier que MFA est disponible et que l'administrateur peut atteindre AAL2. Créer le profil </w:t>
      </w:r>
      <w:r>
        <w:rPr>
          <w:rFonts w:ascii="Consolas" w:hAnsi="Consolas"/>
          <w:color w:val="4A339E"/>
          <w:sz w:val="18"/>
        </w:rPr>
        <w:t>utilisateur</w:t>
      </w:r>
      <w:r>
        <w:t xml:space="preserve"> associé et lui attribuer </w:t>
      </w:r>
      <w:r>
        <w:rPr>
          <w:rFonts w:ascii="Consolas" w:hAnsi="Consolas"/>
          <w:color w:val="4A339E"/>
          <w:sz w:val="18"/>
        </w:rPr>
        <w:t>role = admin</w:t>
      </w:r>
      <w:r>
        <w:t xml:space="preserve"> et </w:t>
      </w:r>
      <w:r>
        <w:rPr>
          <w:rFonts w:ascii="Consolas" w:hAnsi="Consolas"/>
          <w:color w:val="4A339E"/>
          <w:sz w:val="18"/>
        </w:rPr>
        <w:t>is_actif = true</w:t>
      </w:r>
      <w:r>
        <w:t xml:space="preserve"> par une procédure contrôlée.</w:t>
      </w:r>
    </w:p>
    <w:p>
      <w:bookmarkStart w:id="8" w:name="h_8_RLS__fonctions_et_Storage"/>
      <w:pPr>
        <w:pStyle w:val="Heading2"/>
      </w:pPr>
      <w:r>
        <w:t>RLS, fonctions et Storage</w:t>
      </w:r>
      <w:bookmarkEnd w:id="8"/>
    </w:p>
    <w:p>
      <w:r>
        <w:t xml:space="preserve">Vérifier que la RLS est active sur les tables exposées et que les politiques client limitent les lignes par </w:t>
      </w:r>
      <w:r>
        <w:rPr>
          <w:rFonts w:ascii="Consolas" w:hAnsi="Consolas"/>
          <w:color w:val="4A339E"/>
          <w:sz w:val="18"/>
        </w:rPr>
        <w:t>auth.uid()</w:t>
      </w:r>
      <w:r>
        <w:t xml:space="preserve">. Les fonctions comme </w:t>
      </w:r>
      <w:r>
        <w:rPr>
          <w:rFonts w:ascii="Consolas" w:hAnsi="Consolas"/>
          <w:color w:val="4A339E"/>
          <w:sz w:val="18"/>
        </w:rPr>
        <w:t>finalize_paid_order</w:t>
      </w:r>
      <w:r>
        <w:t xml:space="preserve"> et la purge de chat sont déployées avec les privilèges prévus par les migrations. Créer les buckets attendus, notamment </w:t>
      </w:r>
      <w:r>
        <w:rPr>
          <w:rFonts w:ascii="Consolas" w:hAnsi="Consolas"/>
          <w:color w:val="4A339E"/>
          <w:sz w:val="18"/>
        </w:rPr>
        <w:t>invoice-pdf</w:t>
      </w:r>
      <w:r>
        <w:t>, avec une politique privée. Les médias publics ne doivent pas rendre le bucket de facture public par héritage.</w:t>
      </w:r>
    </w:p>
    <w:p>
      <w:r>
        <w:t>Test minimal Supabase : inscription et callback, lecture catalogue anonyme, lecture d'une commande par son propriétaire, refus avec un autre compte, enrôlement TOTP et rapport refusé en AAL1 puis accepté en AAL2.</w:t>
      </w:r>
    </w:p>
    <w:p>
      <w:bookmarkStart w:id="9" w:name="h_9_Configurer_Stripe"/>
      <w:pPr>
        <w:pStyle w:val="Heading1"/>
      </w:pPr>
      <w:r>
        <w:t>Configurer Stripe</w:t>
      </w:r>
      <w:bookmarkEnd w:id="9"/>
    </w:p>
    <w:p>
      <w:bookmarkStart w:id="10" w:name="h_10_Produits__prix_et_portail"/>
      <w:pPr>
        <w:pStyle w:val="Heading2"/>
      </w:pPr>
      <w:r>
        <w:t>Produits, prix et portail</w:t>
      </w:r>
      <w:bookmarkEnd w:id="10"/>
    </w:p>
    <w:p>
      <w:r>
        <w:t xml:space="preserve">Créer les produits et prix Stripe nécessaires, puis reporter les identifiants dans les tarifs CYNA selon le modèle de données. Les modes de facturation doivent correspondre aux scénarios Checkout. Créer une configuration Customer Portal et renseigner son identifiant dans </w:t>
      </w:r>
      <w:r>
        <w:rPr>
          <w:rFonts w:ascii="Consolas" w:hAnsi="Consolas"/>
          <w:color w:val="4A339E"/>
          <w:sz w:val="18"/>
        </w:rPr>
        <w:t>STRIPE_CUSTOMER_PORTAL_CONFIGURATION_ID</w:t>
      </w:r>
      <w:r>
        <w:t>. Les capacités du portail (annulation, changement de moyen de paiement, factures) doivent être cohérentes avec les règles métier.</w:t>
      </w:r>
    </w:p>
    <w:p>
      <w:bookmarkStart w:id="11" w:name="h_11_Webhook_local"/>
      <w:pPr>
        <w:pStyle w:val="Heading2"/>
      </w:pPr>
      <w:r>
        <w:t>Webhook local</w:t>
      </w:r>
      <w:bookmarkEnd w:id="11"/>
    </w:p>
    <w:p>
      <w:pPr>
        <w:pStyle w:val="CYNACode"/>
        <w:shd w:fill="F3F1F8"/>
      </w:pPr>
      <w:r>
        <w:t>stripe login</w:t>
      </w:r>
      <w:r>
        <w:br/>
      </w:r>
      <w:r>
        <w:t>stripe listen --forward-to localhost:3000/api/webhooks/stripe</w:t>
      </w:r>
      <w:r>
        <w:br/>
      </w:r>
      <w:r>
        <w:t>npm run dev</w:t>
      </w:r>
    </w:p>
    <w:p>
      <w:r>
        <w:t xml:space="preserve">Copier le secret </w:t>
      </w:r>
      <w:r>
        <w:rPr>
          <w:rFonts w:ascii="Consolas" w:hAnsi="Consolas"/>
          <w:color w:val="4A339E"/>
          <w:sz w:val="18"/>
        </w:rPr>
        <w:t>whsec_…</w:t>
      </w:r>
      <w:r>
        <w:t xml:space="preserve"> fourni par Stripe CLI dans </w:t>
      </w:r>
      <w:r>
        <w:rPr>
          <w:rFonts w:ascii="Consolas" w:hAnsi="Consolas"/>
          <w:color w:val="4A339E"/>
          <w:sz w:val="18"/>
        </w:rPr>
        <w:t>.env.local</w:t>
      </w:r>
      <w:r>
        <w:t xml:space="preserve">, redémarrer Next.js, puis déclencher au minimum </w:t>
      </w:r>
      <w:r>
        <w:rPr>
          <w:rFonts w:ascii="Consolas" w:hAnsi="Consolas"/>
          <w:color w:val="4A339E"/>
          <w:sz w:val="18"/>
        </w:rPr>
        <w:t>checkout.session.completed</w:t>
      </w:r>
      <w:r>
        <w:t>, un événement d'abonnement et un événement de facture. Une signature absente ou invalide doit répondre 400 sans mutation. Une erreur de traitement après signature doit répondre 500 pour provoquer un retry.</w:t>
      </w:r>
    </w:p>
    <w:p>
      <w:bookmarkStart w:id="12" w:name="h_12_Webhook_de_production"/>
      <w:pPr>
        <w:pStyle w:val="Heading2"/>
      </w:pPr>
      <w:r>
        <w:t>Webhook de production</w:t>
      </w:r>
      <w:bookmarkEnd w:id="12"/>
    </w:p>
    <w:p>
      <w:r>
        <w:t xml:space="preserve">Créer un endpoint HTTPS sur </w:t>
      </w:r>
      <w:r>
        <w:rPr>
          <w:rFonts w:ascii="Consolas" w:hAnsi="Consolas"/>
          <w:color w:val="4A339E"/>
          <w:sz w:val="18"/>
        </w:rPr>
        <w:t>https://&lt;domaine&gt;/api/webhooks/stripe</w:t>
      </w:r>
      <w:r>
        <w:t xml:space="preserve"> et abonner uniquement les événements gérés : checkout terminé, mises à jour/suppression d'abonnement, cycle des subscription schedules, finalisation/paiement/échec/annulation de facture. Placer le secret dans le contexte Netlify Production. Conserver la possibilité de rejouer un événement depuis Stripe Dashboard.</w:t>
      </w:r>
    </w:p>
    <w:p>
      <w:bookmarkStart w:id="13" w:name="h_13_Configurer_Gemini_et_CynAI"/>
      <w:pPr>
        <w:pStyle w:val="Heading1"/>
      </w:pPr>
      <w:r>
        <w:t>Configurer Gemini et CynAI</w:t>
      </w:r>
      <w:bookmarkEnd w:id="13"/>
    </w:p>
    <w:p>
      <w:r>
        <w:t xml:space="preserve">Créer une clé Google AI affectée au projet CYNA, limiter son accès autant que la plateforme le permet et la placer dans </w:t>
      </w:r>
      <w:r>
        <w:rPr>
          <w:rFonts w:ascii="Consolas" w:hAnsi="Consolas"/>
          <w:color w:val="4A339E"/>
          <w:sz w:val="18"/>
        </w:rPr>
        <w:t>GEMINI_API_KEY</w:t>
      </w:r>
      <w:r>
        <w:t xml:space="preserve">. L'application fixe le modèle </w:t>
      </w:r>
      <w:r>
        <w:rPr>
          <w:rFonts w:ascii="Consolas" w:hAnsi="Consolas"/>
          <w:color w:val="4A339E"/>
          <w:sz w:val="18"/>
        </w:rPr>
        <w:t>gemini-3.1-flash-lite</w:t>
      </w:r>
      <w:r>
        <w:t>. Un test fonctionnel doit couvrir une réponse textuelle, une recherche de produit, la liste des catégories, le lien support et le formulaire de ticket.</w:t>
      </w:r>
    </w:p>
    <w:p>
      <w:r>
        <w:t>Ne placer aucune donnée réelle de production dans un prompt de test. Le cookie invité n'est jamais transmis en clair à Gemini. La durée de conservation locale est 90 jours ; prévoir l'exécution régulière de la fonction de purge documentée dans le plan de maintenance.</w:t>
      </w:r>
    </w:p>
    <w:p>
      <w:bookmarkStart w:id="14" w:name="h_14_Configurer_Sentry"/>
      <w:pPr>
        <w:pStyle w:val="Heading1"/>
      </w:pPr>
      <w:r>
        <w:t>Configurer Sentry</w:t>
      </w:r>
      <w:bookmarkEnd w:id="14"/>
    </w:p>
    <w:p>
      <w:r>
        <w:t xml:space="preserve">Créer manuellement un projet JavaScript/Next.js nommé CYNA dans l'organisation choisie. Reporter le DSN dans </w:t>
      </w:r>
      <w:r>
        <w:rPr>
          <w:rFonts w:ascii="Consolas" w:hAnsi="Consolas"/>
          <w:color w:val="4A339E"/>
          <w:sz w:val="18"/>
        </w:rPr>
        <w:t>NEXT_PUBLIC_SENTRY_DSN</w:t>
      </w:r>
      <w:r>
        <w:t xml:space="preserve">. Créer un jeton limité à l'upload des source maps et le stocker uniquement dans Netlify Production avec </w:t>
      </w:r>
      <w:r>
        <w:rPr>
          <w:rFonts w:ascii="Consolas" w:hAnsi="Consolas"/>
          <w:color w:val="4A339E"/>
          <w:sz w:val="18"/>
        </w:rPr>
        <w:t>SENTRY_ORG</w:t>
      </w:r>
      <w:r>
        <w:t xml:space="preserve"> et </w:t>
      </w:r>
      <w:r>
        <w:rPr>
          <w:rFonts w:ascii="Consolas" w:hAnsi="Consolas"/>
          <w:color w:val="4A339E"/>
          <w:sz w:val="18"/>
        </w:rPr>
        <w:t>SENTRY_PROJECT</w:t>
      </w:r>
      <w:r>
        <w:t>. Configurer une alerte e-mail pour une nouvelle erreur et une régression.</w:t>
      </w:r>
    </w:p>
    <w:p>
      <w:r>
        <w:t xml:space="preserve">L'intégration est en mode erreurs seules : aucun Session Replay, aucune trace de performance, aucun log et </w:t>
      </w:r>
      <w:r>
        <w:rPr>
          <w:rFonts w:ascii="Consolas" w:hAnsi="Consolas"/>
          <w:color w:val="4A339E"/>
          <w:sz w:val="18"/>
        </w:rPr>
        <w:t>sendDefaultPii: false</w:t>
      </w:r>
      <w:r>
        <w:t xml:space="preserve">. Le filtre </w:t>
      </w:r>
      <w:r>
        <w:rPr>
          <w:rFonts w:ascii="Consolas" w:hAnsi="Consolas"/>
          <w:color w:val="4A339E"/>
          <w:sz w:val="18"/>
        </w:rPr>
        <w:t>beforeSend</w:t>
      </w:r>
      <w:r>
        <w:t xml:space="preserve"> supprime utilisateur, corps de requête, cookies, </w:t>
      </w:r>
      <w:r>
        <w:rPr>
          <w:rFonts w:ascii="Consolas" w:hAnsi="Consolas"/>
          <w:color w:val="4A339E"/>
          <w:sz w:val="18"/>
        </w:rPr>
        <w:t>Authorization</w:t>
      </w:r>
      <w:r>
        <w:t xml:space="preserve">, </w:t>
      </w:r>
      <w:r>
        <w:rPr>
          <w:rFonts w:ascii="Consolas" w:hAnsi="Consolas"/>
          <w:color w:val="4A339E"/>
          <w:sz w:val="18"/>
        </w:rPr>
        <w:t>Cookie</w:t>
      </w:r>
      <w:r>
        <w:t xml:space="preserve">, </w:t>
      </w:r>
      <w:r>
        <w:rPr>
          <w:rFonts w:ascii="Consolas" w:hAnsi="Consolas"/>
          <w:color w:val="4A339E"/>
          <w:sz w:val="18"/>
        </w:rPr>
        <w:t>Set-Cookie</w:t>
      </w:r>
      <w:r>
        <w:t>, clés API et en-têtes privés. Déclencher une erreur contrôlée non sensible sur une preview ou production autorisée, vérifier son événement, ses tags et une stack trace lisible grâce aux source maps, puis retirer le déclencheur.</w:t>
      </w:r>
    </w:p>
    <w:p>
      <w:bookmarkStart w:id="15" w:name="h_15_Ex_cuter_et_v_rifier_localem"/>
      <w:pPr>
        <w:pStyle w:val="Heading1"/>
      </w:pPr>
      <w:r>
        <w:t>Exécuter et vérifier localement</w:t>
      </w:r>
      <w:bookmarkEnd w:id="15"/>
    </w:p>
    <w:p>
      <w:pPr>
        <w:pStyle w:val="CYNACode"/>
        <w:shd w:fill="F3F1F8"/>
      </w:pPr>
      <w:r>
        <w:t>npm run dev</w:t>
      </w:r>
      <w:r>
        <w:br/>
      </w:r>
      <w:r>
        <w:t>npm run lint</w:t>
      </w:r>
      <w:r>
        <w:br/>
      </w:r>
      <w:r>
        <w:t>npm test -- --run</w:t>
      </w:r>
      <w:r>
        <w:br/>
      </w:r>
      <w:r>
        <w:t>npm audit --omit=dev --audit-level=high</w:t>
      </w:r>
      <w:r>
        <w:br/>
      </w:r>
      <w:r>
        <w:t>npm run build</w:t>
      </w:r>
      <w:r>
        <w:br/>
      </w:r>
      <w:r>
        <w:t>npm start</w:t>
      </w:r>
    </w:p>
    <w:p>
      <w:r>
        <w:t>Le lint doit terminer sans avertissement. La suite de référence contient au moins 112 tests. L'audit bloquant interdit toute vulnérabilité haute ou critique en dépendances de production ; des avis modérés peuvent rester documentés lorsque leur correction dépend d'une mise à niveau amont non sûre. Le build doit réussir sans DSN Sentry.</w:t>
      </w:r>
    </w:p>
    <w:p>
      <w:bookmarkStart w:id="16" w:name="h_16_D_ployer_sur_Netlify"/>
      <w:pPr>
        <w:pStyle w:val="Heading1"/>
      </w:pPr>
      <w:r>
        <w:t>Déployer sur Netlify</w:t>
      </w:r>
      <w:bookmarkEnd w:id="16"/>
    </w:p>
    <w:p>
      <w:pPr>
        <w:keepNext/>
        <w:jc w:val="center"/>
      </w:pPr>
      <w:r>
        <w:drawing>
          <wp:inline xmlns:a="http://schemas.openxmlformats.org/drawingml/2006/main" xmlns:pic="http://schemas.openxmlformats.org/drawingml/2006/picture">
            <wp:extent cx="5652000" cy="3496326"/>
            <wp:docPr id="2" name="Picture 2" descr="Topologie de déploiement" title="Topologie de déploiement"/>
            <wp:cNvGraphicFramePr>
              <a:graphicFrameLocks noChangeAspect="1"/>
            </wp:cNvGraphicFramePr>
            <a:graphic>
              <a:graphicData uri="http://schemas.openxmlformats.org/drawingml/2006/picture">
                <pic:pic>
                  <pic:nvPicPr>
                    <pic:cNvPr id="0" name="02-deploiement.png"/>
                    <pic:cNvPicPr/>
                  </pic:nvPicPr>
                  <pic:blipFill>
                    <a:blip r:embed="rId10"/>
                    <a:stretch>
                      <a:fillRect/>
                    </a:stretch>
                  </pic:blipFill>
                  <pic:spPr>
                    <a:xfrm>
                      <a:off x="0" y="0"/>
                      <a:ext cx="5652000" cy="3496326"/>
                    </a:xfrm>
                    <a:prstGeom prst="rect"/>
                  </pic:spPr>
                </pic:pic>
              </a:graphicData>
            </a:graphic>
          </wp:inline>
        </w:drawing>
      </w:r>
    </w:p>
    <w:p>
      <w:pPr>
        <w:pStyle w:val="CYNACaption"/>
      </w:pPr>
      <w:r>
        <w:t>Topologie de déploiement</w:t>
      </w:r>
    </w:p>
    <w:p>
      <w:pPr>
        <w:pStyle w:val="ListNumber"/>
      </w:pPr>
      <w:r>
        <w:t xml:space="preserve">Relier le dépôt au site Netlify et laisser </w:t>
      </w:r>
      <w:r>
        <w:rPr>
          <w:rFonts w:ascii="Consolas" w:hAnsi="Consolas"/>
          <w:color w:val="4A339E"/>
          <w:sz w:val="18"/>
        </w:rPr>
        <w:t>netlify.toml</w:t>
      </w:r>
      <w:r>
        <w:t xml:space="preserve"> définir la base </w:t>
      </w:r>
      <w:r>
        <w:rPr>
          <w:rFonts w:ascii="Consolas" w:hAnsi="Consolas"/>
          <w:color w:val="4A339E"/>
          <w:sz w:val="18"/>
        </w:rPr>
        <w:t>webapp-cyna</w:t>
      </w:r>
      <w:r>
        <w:t>, la commande, la publication, Node 22 et le plugin Next.js.</w:t>
      </w:r>
    </w:p>
    <w:p>
      <w:pPr>
        <w:pStyle w:val="ListNumber"/>
      </w:pPr>
      <w:r>
        <w:t>Déclarer les variables par contexte. Utiliser des services de test pour Preview ; réserver clés live, DSN production et jeton Sentry au contexte Production.</w:t>
      </w:r>
    </w:p>
    <w:p>
      <w:pPr>
        <w:pStyle w:val="ListNumber"/>
      </w:pPr>
      <w:r>
        <w:t xml:space="preserve">Ouvrir un PR vers </w:t>
      </w:r>
      <w:r>
        <w:rPr>
          <w:rFonts w:ascii="Consolas" w:hAnsi="Consolas"/>
          <w:color w:val="4A339E"/>
          <w:sz w:val="18"/>
        </w:rPr>
        <w:t>dev</w:t>
      </w:r>
      <w:r>
        <w:t xml:space="preserve">, attendre </w:t>
      </w:r>
      <w:r>
        <w:rPr>
          <w:rFonts w:ascii="Consolas" w:hAnsi="Consolas"/>
          <w:color w:val="4A339E"/>
          <w:sz w:val="18"/>
        </w:rPr>
        <w:t>CI / quality</w:t>
      </w:r>
      <w:r>
        <w:t xml:space="preserve"> et la preview verte, puis exécuter les tests fumée.</w:t>
      </w:r>
    </w:p>
    <w:p>
      <w:pPr>
        <w:pStyle w:val="ListNumber"/>
      </w:pPr>
      <w:r>
        <w:t xml:space="preserve">Après intégration et validation globale, ouvrir le PR contrôlé </w:t>
      </w:r>
      <w:r>
        <w:rPr>
          <w:rFonts w:ascii="Consolas" w:hAnsi="Consolas"/>
          <w:color w:val="4A339E"/>
          <w:sz w:val="18"/>
        </w:rPr>
        <w:t>dev → prod</w:t>
      </w:r>
      <w:r>
        <w:t>. Ne pas activer de fusion automatique.</w:t>
      </w:r>
    </w:p>
    <w:p>
      <w:pPr>
        <w:pStyle w:val="ListNumber"/>
      </w:pPr>
      <w:r>
        <w:t>Vérifier le déploiement production, le webhook Stripe et Sentry. En cas d'échec, restaurer le déploiement Netlify précédent.</w:t>
      </w:r>
    </w:p>
    <w:p>
      <w:bookmarkStart w:id="17" w:name="h_17_Tests_fum_e_de_preview"/>
      <w:pPr>
        <w:pStyle w:val="Heading2"/>
      </w:pPr>
      <w:r>
        <w:t>Tests fumée de preview</w:t>
      </w:r>
      <w:bookmarkEnd w:id="17"/>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169"/>
        <w:gridCol w:w="7010"/>
      </w:tblGrid>
      <w:tr>
        <w:trPr>
          <w:tblHeader w:val="true"/>
        </w:trPr>
        <w:tc>
          <w:tcPr>
            <w:tcW w:type="dxa" w:w="2169"/>
            <w:tcMar>
              <w:top w:w="80" w:type="dxa"/>
              <w:start w:w="110" w:type="dxa"/>
              <w:bottom w:w="80" w:type="dxa"/>
              <w:end w:w="110" w:type="dxa"/>
            </w:tcMar>
            <w:vAlign w:val="center"/>
            <w:shd w:fill="E8EEF5"/>
          </w:tcPr>
          <w:p>
            <w:pPr>
              <w:spacing w:after="0" w:line="240" w:lineRule="auto"/>
            </w:pPr>
            <w:r>
              <w:rPr>
                <w:b/>
                <w:color w:val="302082"/>
                <w:sz w:val="17"/>
              </w:rPr>
              <w:t>Zone</w:t>
            </w:r>
          </w:p>
        </w:tc>
        <w:tc>
          <w:tcPr>
            <w:tcW w:type="dxa" w:w="7010"/>
            <w:tcMar>
              <w:top w:w="80" w:type="dxa"/>
              <w:start w:w="110" w:type="dxa"/>
              <w:bottom w:w="80" w:type="dxa"/>
              <w:end w:w="110" w:type="dxa"/>
            </w:tcMar>
            <w:vAlign w:val="center"/>
            <w:shd w:fill="E8EEF5"/>
          </w:tcPr>
          <w:p>
            <w:pPr>
              <w:spacing w:after="0" w:line="240" w:lineRule="auto"/>
            </w:pPr>
            <w:r>
              <w:rPr>
                <w:b/>
                <w:color w:val="302082"/>
                <w:sz w:val="17"/>
              </w:rPr>
              <w:t>Vérification</w:t>
            </w:r>
          </w:p>
        </w:tc>
      </w:tr>
      <w:tr>
        <w:tc>
          <w:tcPr>
            <w:tcW w:type="dxa" w:w="2169"/>
            <w:tcMar>
              <w:top w:w="80" w:type="dxa"/>
              <w:start w:w="110" w:type="dxa"/>
              <w:bottom w:w="80" w:type="dxa"/>
              <w:end w:w="110" w:type="dxa"/>
            </w:tcMar>
            <w:vAlign w:val="center"/>
          </w:tcPr>
          <w:p>
            <w:pPr>
              <w:spacing w:after="0" w:line="240" w:lineRule="auto"/>
            </w:pPr>
            <w:r>
              <w:rPr>
                <w:sz w:val="17"/>
              </w:rPr>
              <w:t>Public</w:t>
            </w:r>
          </w:p>
        </w:tc>
        <w:tc>
          <w:tcPr>
            <w:tcW w:type="dxa" w:w="7010"/>
            <w:tcMar>
              <w:top w:w="80" w:type="dxa"/>
              <w:start w:w="110" w:type="dxa"/>
              <w:bottom w:w="80" w:type="dxa"/>
              <w:end w:w="110" w:type="dxa"/>
            </w:tcMar>
            <w:vAlign w:val="center"/>
          </w:tcPr>
          <w:p>
            <w:pPr>
              <w:spacing w:after="0" w:line="240" w:lineRule="auto"/>
            </w:pPr>
            <w:r>
              <w:rPr>
                <w:sz w:val="17"/>
              </w:rPr>
              <w:t>accueil FR/EN, catalogue, recherche et fiche produit</w:t>
            </w:r>
          </w:p>
        </w:tc>
      </w:tr>
      <w:tr>
        <w:tc>
          <w:tcPr>
            <w:tcW w:type="dxa" w:w="2169"/>
            <w:tcMar>
              <w:top w:w="80" w:type="dxa"/>
              <w:start w:w="110" w:type="dxa"/>
              <w:bottom w:w="80" w:type="dxa"/>
              <w:end w:w="110" w:type="dxa"/>
            </w:tcMar>
            <w:vAlign w:val="center"/>
            <w:shd w:fill="F8F7FC"/>
          </w:tcPr>
          <w:p>
            <w:pPr>
              <w:spacing w:after="0" w:line="240" w:lineRule="auto"/>
            </w:pPr>
            <w:r>
              <w:rPr>
                <w:sz w:val="17"/>
              </w:rPr>
              <w:t>Auth</w:t>
            </w:r>
          </w:p>
        </w:tc>
        <w:tc>
          <w:tcPr>
            <w:tcW w:type="dxa" w:w="7010"/>
            <w:tcMar>
              <w:top w:w="80" w:type="dxa"/>
              <w:start w:w="110" w:type="dxa"/>
              <w:bottom w:w="80" w:type="dxa"/>
              <w:end w:w="110" w:type="dxa"/>
            </w:tcMar>
            <w:vAlign w:val="center"/>
            <w:shd w:fill="F8F7FC"/>
          </w:tcPr>
          <w:p>
            <w:pPr>
              <w:spacing w:after="0" w:line="240" w:lineRule="auto"/>
            </w:pPr>
            <w:r>
              <w:rPr>
                <w:sz w:val="17"/>
              </w:rPr>
              <w:t>inscription ou compte de test, callback, connexion/déconnexion</w:t>
            </w:r>
          </w:p>
        </w:tc>
      </w:tr>
      <w:tr>
        <w:tc>
          <w:tcPr>
            <w:tcW w:type="dxa" w:w="2169"/>
            <w:tcMar>
              <w:top w:w="80" w:type="dxa"/>
              <w:start w:w="110" w:type="dxa"/>
              <w:bottom w:w="80" w:type="dxa"/>
              <w:end w:w="110" w:type="dxa"/>
            </w:tcMar>
            <w:vAlign w:val="center"/>
          </w:tcPr>
          <w:p>
            <w:pPr>
              <w:spacing w:after="0" w:line="240" w:lineRule="auto"/>
            </w:pPr>
            <w:r>
              <w:rPr>
                <w:sz w:val="17"/>
              </w:rPr>
              <w:t>Client</w:t>
            </w:r>
          </w:p>
        </w:tc>
        <w:tc>
          <w:tcPr>
            <w:tcW w:type="dxa" w:w="7010"/>
            <w:tcMar>
              <w:top w:w="80" w:type="dxa"/>
              <w:start w:w="110" w:type="dxa"/>
              <w:bottom w:w="80" w:type="dxa"/>
              <w:end w:w="110" w:type="dxa"/>
            </w:tcMar>
            <w:vAlign w:val="center"/>
          </w:tcPr>
          <w:p>
            <w:pPr>
              <w:spacing w:after="0" w:line="240" w:lineRule="auto"/>
            </w:pPr>
            <w:r>
              <w:rPr>
                <w:sz w:val="17"/>
              </w:rPr>
              <w:t>compte, adresses, commandes, abonnements et factures</w:t>
            </w:r>
          </w:p>
        </w:tc>
      </w:tr>
      <w:tr>
        <w:tc>
          <w:tcPr>
            <w:tcW w:type="dxa" w:w="2169"/>
            <w:tcMar>
              <w:top w:w="80" w:type="dxa"/>
              <w:start w:w="110" w:type="dxa"/>
              <w:bottom w:w="80" w:type="dxa"/>
              <w:end w:w="110" w:type="dxa"/>
            </w:tcMar>
            <w:vAlign w:val="center"/>
            <w:shd w:fill="F8F7FC"/>
          </w:tcPr>
          <w:p>
            <w:pPr>
              <w:spacing w:after="0" w:line="240" w:lineRule="auto"/>
            </w:pPr>
            <w:r>
              <w:rPr>
                <w:sz w:val="17"/>
              </w:rPr>
              <w:t>CynAI</w:t>
            </w:r>
          </w:p>
        </w:tc>
        <w:tc>
          <w:tcPr>
            <w:tcW w:type="dxa" w:w="7010"/>
            <w:tcMar>
              <w:top w:w="80" w:type="dxa"/>
              <w:start w:w="110" w:type="dxa"/>
              <w:bottom w:w="80" w:type="dxa"/>
              <w:end w:w="110" w:type="dxa"/>
            </w:tcMar>
            <w:vAlign w:val="center"/>
            <w:shd w:fill="F8F7FC"/>
          </w:tcPr>
          <w:p>
            <w:pPr>
              <w:spacing w:after="0" w:line="240" w:lineRule="auto"/>
            </w:pPr>
            <w:r>
              <w:rPr>
                <w:sz w:val="17"/>
              </w:rPr>
              <w:t>texte, produit, catégorie, support, ticket et NDJSON terminé</w:t>
            </w:r>
          </w:p>
        </w:tc>
      </w:tr>
      <w:tr>
        <w:tc>
          <w:tcPr>
            <w:tcW w:type="dxa" w:w="2169"/>
            <w:tcMar>
              <w:top w:w="80" w:type="dxa"/>
              <w:start w:w="110" w:type="dxa"/>
              <w:bottom w:w="80" w:type="dxa"/>
              <w:end w:w="110" w:type="dxa"/>
            </w:tcMar>
            <w:vAlign w:val="center"/>
          </w:tcPr>
          <w:p>
            <w:pPr>
              <w:spacing w:after="0" w:line="240" w:lineRule="auto"/>
            </w:pPr>
            <w:r>
              <w:rPr>
                <w:sz w:val="17"/>
              </w:rPr>
              <w:t>Stripe test</w:t>
            </w:r>
          </w:p>
        </w:tc>
        <w:tc>
          <w:tcPr>
            <w:tcW w:type="dxa" w:w="7010"/>
            <w:tcMar>
              <w:top w:w="80" w:type="dxa"/>
              <w:start w:w="110" w:type="dxa"/>
              <w:bottom w:w="80" w:type="dxa"/>
              <w:end w:w="110" w:type="dxa"/>
            </w:tcMar>
            <w:vAlign w:val="center"/>
          </w:tcPr>
          <w:p>
            <w:pPr>
              <w:spacing w:after="0" w:line="240" w:lineRule="auto"/>
            </w:pPr>
            <w:r>
              <w:rPr>
                <w:sz w:val="17"/>
              </w:rPr>
              <w:t>Checkout, retour, webhook, commande et facture</w:t>
            </w:r>
          </w:p>
        </w:tc>
      </w:tr>
      <w:tr>
        <w:tc>
          <w:tcPr>
            <w:tcW w:type="dxa" w:w="2169"/>
            <w:tcMar>
              <w:top w:w="80" w:type="dxa"/>
              <w:start w:w="110" w:type="dxa"/>
              <w:bottom w:w="80" w:type="dxa"/>
              <w:end w:w="110" w:type="dxa"/>
            </w:tcMar>
            <w:vAlign w:val="center"/>
            <w:shd w:fill="F8F7FC"/>
          </w:tcPr>
          <w:p>
            <w:pPr>
              <w:spacing w:after="0" w:line="240" w:lineRule="auto"/>
            </w:pPr>
            <w:r>
              <w:rPr>
                <w:sz w:val="17"/>
              </w:rPr>
              <w:t>BackOffice</w:t>
            </w:r>
          </w:p>
        </w:tc>
        <w:tc>
          <w:tcPr>
            <w:tcW w:type="dxa" w:w="7010"/>
            <w:tcMar>
              <w:top w:w="80" w:type="dxa"/>
              <w:start w:w="110" w:type="dxa"/>
              <w:bottom w:w="80" w:type="dxa"/>
              <w:end w:w="110" w:type="dxa"/>
            </w:tcMar>
            <w:vAlign w:val="center"/>
            <w:shd w:fill="F8F7FC"/>
          </w:tcPr>
          <w:p>
            <w:pPr>
              <w:spacing w:after="0" w:line="240" w:lineRule="auto"/>
            </w:pPr>
            <w:r>
              <w:rPr>
                <w:sz w:val="17"/>
              </w:rPr>
              <w:t>refus AAL1, accès AAL2, catalogue, ticket et rapport PDF</w:t>
            </w:r>
          </w:p>
        </w:tc>
      </w:tr>
      <w:tr>
        <w:tc>
          <w:tcPr>
            <w:tcW w:type="dxa" w:w="2169"/>
            <w:tcMar>
              <w:top w:w="80" w:type="dxa"/>
              <w:start w:w="110" w:type="dxa"/>
              <w:bottom w:w="80" w:type="dxa"/>
              <w:end w:w="110" w:type="dxa"/>
            </w:tcMar>
            <w:vAlign w:val="center"/>
          </w:tcPr>
          <w:p>
            <w:pPr>
              <w:spacing w:after="0" w:line="240" w:lineRule="auto"/>
            </w:pPr>
            <w:r>
              <w:rPr>
                <w:sz w:val="17"/>
              </w:rPr>
              <w:t>Observabilité</w:t>
            </w:r>
          </w:p>
        </w:tc>
        <w:tc>
          <w:tcPr>
            <w:tcW w:type="dxa" w:w="7010"/>
            <w:tcMar>
              <w:top w:w="80" w:type="dxa"/>
              <w:start w:w="110" w:type="dxa"/>
              <w:bottom w:w="80" w:type="dxa"/>
              <w:end w:w="110" w:type="dxa"/>
            </w:tcMar>
            <w:vAlign w:val="center"/>
          </w:tcPr>
          <w:p>
            <w:pPr>
              <w:spacing w:after="0" w:line="240" w:lineRule="auto"/>
            </w:pPr>
            <w:r>
              <w:rPr>
                <w:sz w:val="17"/>
              </w:rPr>
              <w:t>erreur contrôlée filtrée et source map lisible</w:t>
            </w:r>
          </w:p>
        </w:tc>
      </w:tr>
    </w:tbl>
    <w:p>
      <w:pPr>
        <w:spacing w:after="0"/>
      </w:pPr>
    </w:p>
    <w:p>
      <w:bookmarkStart w:id="18" w:name="h_18_D_pannage_et_retour_arri_re"/>
      <w:pPr>
        <w:pStyle w:val="Heading1"/>
      </w:pPr>
      <w:r>
        <w:t>Dépannage et retour arrière</w:t>
      </w:r>
      <w:bookmarkEnd w:id="18"/>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3011"/>
        <w:gridCol w:w="3084"/>
        <w:gridCol w:w="3084"/>
      </w:tblGrid>
      <w:tr>
        <w:trPr>
          <w:tblHeader w:val="true"/>
        </w:trPr>
        <w:tc>
          <w:tcPr>
            <w:tcW w:type="dxa" w:w="3011"/>
            <w:tcMar>
              <w:top w:w="80" w:type="dxa"/>
              <w:start w:w="110" w:type="dxa"/>
              <w:bottom w:w="80" w:type="dxa"/>
              <w:end w:w="110" w:type="dxa"/>
            </w:tcMar>
            <w:vAlign w:val="center"/>
            <w:shd w:fill="E8EEF5"/>
          </w:tcPr>
          <w:p>
            <w:pPr>
              <w:spacing w:after="0" w:line="240" w:lineRule="auto"/>
            </w:pPr>
            <w:r>
              <w:rPr>
                <w:b/>
                <w:color w:val="302082"/>
                <w:sz w:val="17"/>
              </w:rPr>
              <w:t>Symptôme</w:t>
            </w:r>
          </w:p>
        </w:tc>
        <w:tc>
          <w:tcPr>
            <w:tcW w:type="dxa" w:w="3084"/>
            <w:tcMar>
              <w:top w:w="80" w:type="dxa"/>
              <w:start w:w="110" w:type="dxa"/>
              <w:bottom w:w="80" w:type="dxa"/>
              <w:end w:w="110" w:type="dxa"/>
            </w:tcMar>
            <w:vAlign w:val="center"/>
            <w:shd w:fill="E8EEF5"/>
          </w:tcPr>
          <w:p>
            <w:pPr>
              <w:spacing w:after="0" w:line="240" w:lineRule="auto"/>
            </w:pPr>
            <w:r>
              <w:rPr>
                <w:b/>
                <w:color w:val="302082"/>
                <w:sz w:val="17"/>
              </w:rPr>
              <w:t>Diagnostic</w:t>
            </w:r>
          </w:p>
        </w:tc>
        <w:tc>
          <w:tcPr>
            <w:tcW w:type="dxa" w:w="3084"/>
            <w:tcMar>
              <w:top w:w="80" w:type="dxa"/>
              <w:start w:w="110" w:type="dxa"/>
              <w:bottom w:w="80" w:type="dxa"/>
              <w:end w:w="110" w:type="dxa"/>
            </w:tcMar>
            <w:vAlign w:val="center"/>
            <w:shd w:fill="E8EEF5"/>
          </w:tcPr>
          <w:p>
            <w:pPr>
              <w:spacing w:after="0" w:line="240" w:lineRule="auto"/>
            </w:pPr>
            <w:r>
              <w:rPr>
                <w:b/>
                <w:color w:val="302082"/>
                <w:sz w:val="17"/>
              </w:rPr>
              <w:t>Action sûre</w:t>
            </w:r>
          </w:p>
        </w:tc>
      </w:tr>
      <w:tr>
        <w:tc>
          <w:tcPr>
            <w:tcW w:type="dxa" w:w="3011"/>
            <w:tcMar>
              <w:top w:w="80" w:type="dxa"/>
              <w:start w:w="110" w:type="dxa"/>
              <w:bottom w:w="80" w:type="dxa"/>
              <w:end w:w="110" w:type="dxa"/>
            </w:tcMar>
            <w:vAlign w:val="center"/>
          </w:tcPr>
          <w:p>
            <w:pPr>
              <w:spacing w:after="0" w:line="240" w:lineRule="auto"/>
            </w:pPr>
            <w:r>
              <w:rPr>
                <w:sz w:val="17"/>
              </w:rPr>
              <w:t>Build refuse une variable</w:t>
            </w:r>
          </w:p>
        </w:tc>
        <w:tc>
          <w:tcPr>
            <w:tcW w:type="dxa" w:w="3084"/>
            <w:tcMar>
              <w:top w:w="80" w:type="dxa"/>
              <w:start w:w="110" w:type="dxa"/>
              <w:bottom w:w="80" w:type="dxa"/>
              <w:end w:w="110" w:type="dxa"/>
            </w:tcMar>
            <w:vAlign w:val="center"/>
          </w:tcPr>
          <w:p>
            <w:pPr>
              <w:spacing w:after="0" w:line="240" w:lineRule="auto"/>
            </w:pPr>
            <w:r>
              <w:rPr>
                <w:sz w:val="17"/>
              </w:rPr>
              <w:t>Lire la première exception serveur</w:t>
            </w:r>
          </w:p>
        </w:tc>
        <w:tc>
          <w:tcPr>
            <w:tcW w:type="dxa" w:w="3084"/>
            <w:tcMar>
              <w:top w:w="80" w:type="dxa"/>
              <w:start w:w="110" w:type="dxa"/>
              <w:bottom w:w="80" w:type="dxa"/>
              <w:end w:w="110" w:type="dxa"/>
            </w:tcMar>
            <w:vAlign w:val="center"/>
          </w:tcPr>
          <w:p>
            <w:pPr>
              <w:spacing w:after="0" w:line="240" w:lineRule="auto"/>
            </w:pPr>
            <w:r>
              <w:rPr>
                <w:sz w:val="17"/>
              </w:rPr>
              <w:t>Ajouter la valeur au bon contexte, jamais au dépôt</w:t>
            </w:r>
          </w:p>
        </w:tc>
      </w:tr>
      <w:tr>
        <w:tc>
          <w:tcPr>
            <w:tcW w:type="dxa" w:w="3011"/>
            <w:tcMar>
              <w:top w:w="80" w:type="dxa"/>
              <w:start w:w="110" w:type="dxa"/>
              <w:bottom w:w="80" w:type="dxa"/>
              <w:end w:w="110" w:type="dxa"/>
            </w:tcMar>
            <w:vAlign w:val="center"/>
            <w:shd w:fill="F8F7FC"/>
          </w:tcPr>
          <w:p>
            <w:pPr>
              <w:spacing w:after="0" w:line="240" w:lineRule="auto"/>
            </w:pPr>
            <w:r>
              <w:rPr>
                <w:sz w:val="17"/>
              </w:rPr>
              <w:t>Callback revient au login</w:t>
            </w:r>
          </w:p>
        </w:tc>
        <w:tc>
          <w:tcPr>
            <w:tcW w:type="dxa" w:w="3084"/>
            <w:tcMar>
              <w:top w:w="80" w:type="dxa"/>
              <w:start w:w="110" w:type="dxa"/>
              <w:bottom w:w="80" w:type="dxa"/>
              <w:end w:w="110" w:type="dxa"/>
            </w:tcMar>
            <w:vAlign w:val="center"/>
            <w:shd w:fill="F8F7FC"/>
          </w:tcPr>
          <w:p>
            <w:pPr>
              <w:spacing w:after="0" w:line="240" w:lineRule="auto"/>
            </w:pPr>
            <w:r>
              <w:rPr>
                <w:sz w:val="17"/>
              </w:rPr>
              <w:t>Vérifier URL, code expiré et redirects Supabase</w:t>
            </w:r>
          </w:p>
        </w:tc>
        <w:tc>
          <w:tcPr>
            <w:tcW w:type="dxa" w:w="3084"/>
            <w:tcMar>
              <w:top w:w="80" w:type="dxa"/>
              <w:start w:w="110" w:type="dxa"/>
              <w:bottom w:w="80" w:type="dxa"/>
              <w:end w:w="110" w:type="dxa"/>
            </w:tcMar>
            <w:vAlign w:val="center"/>
            <w:shd w:fill="F8F7FC"/>
          </w:tcPr>
          <w:p>
            <w:pPr>
              <w:spacing w:after="0" w:line="240" w:lineRule="auto"/>
            </w:pPr>
            <w:r>
              <w:rPr>
                <w:sz w:val="17"/>
              </w:rPr>
              <w:t>Corriger la liste d'URLs puis relancer un nouveau lien</w:t>
            </w:r>
          </w:p>
        </w:tc>
      </w:tr>
      <w:tr>
        <w:tc>
          <w:tcPr>
            <w:tcW w:type="dxa" w:w="3011"/>
            <w:tcMar>
              <w:top w:w="80" w:type="dxa"/>
              <w:start w:w="110" w:type="dxa"/>
              <w:bottom w:w="80" w:type="dxa"/>
              <w:end w:w="110" w:type="dxa"/>
            </w:tcMar>
            <w:vAlign w:val="center"/>
          </w:tcPr>
          <w:p>
            <w:pPr>
              <w:spacing w:after="0" w:line="240" w:lineRule="auto"/>
            </w:pPr>
            <w:r>
              <w:rPr>
                <w:sz w:val="17"/>
              </w:rPr>
              <w:t>Checkout créé mais commande non finalisée</w:t>
            </w:r>
          </w:p>
        </w:tc>
        <w:tc>
          <w:tcPr>
            <w:tcW w:type="dxa" w:w="3084"/>
            <w:tcMar>
              <w:top w:w="80" w:type="dxa"/>
              <w:start w:w="110" w:type="dxa"/>
              <w:bottom w:w="80" w:type="dxa"/>
              <w:end w:w="110" w:type="dxa"/>
            </w:tcMar>
            <w:vAlign w:val="center"/>
          </w:tcPr>
          <w:p>
            <w:pPr>
              <w:spacing w:after="0" w:line="240" w:lineRule="auto"/>
            </w:pPr>
            <w:r>
              <w:rPr>
                <w:sz w:val="17"/>
              </w:rPr>
              <w:t>Examiner événements et réponses webhook Stripe</w:t>
            </w:r>
          </w:p>
        </w:tc>
        <w:tc>
          <w:tcPr>
            <w:tcW w:type="dxa" w:w="3084"/>
            <w:tcMar>
              <w:top w:w="80" w:type="dxa"/>
              <w:start w:w="110" w:type="dxa"/>
              <w:bottom w:w="80" w:type="dxa"/>
              <w:end w:w="110" w:type="dxa"/>
            </w:tcMar>
            <w:vAlign w:val="center"/>
          </w:tcPr>
          <w:p>
            <w:pPr>
              <w:spacing w:after="0" w:line="240" w:lineRule="auto"/>
            </w:pPr>
            <w:r>
              <w:rPr>
                <w:sz w:val="17"/>
              </w:rPr>
              <w:t>Corriger la cause puis rejouer l'événement signé</w:t>
            </w:r>
          </w:p>
        </w:tc>
      </w:tr>
      <w:tr>
        <w:tc>
          <w:tcPr>
            <w:tcW w:type="dxa" w:w="3011"/>
            <w:tcMar>
              <w:top w:w="80" w:type="dxa"/>
              <w:start w:w="110" w:type="dxa"/>
              <w:bottom w:w="80" w:type="dxa"/>
              <w:end w:w="110" w:type="dxa"/>
            </w:tcMar>
            <w:vAlign w:val="center"/>
            <w:shd w:fill="F8F7FC"/>
          </w:tcPr>
          <w:p>
            <w:pPr>
              <w:spacing w:after="0" w:line="240" w:lineRule="auto"/>
            </w:pPr>
            <w:r>
              <w:rPr>
                <w:sz w:val="17"/>
              </w:rPr>
              <w:t>Facture sans PDF</w:t>
            </w:r>
          </w:p>
        </w:tc>
        <w:tc>
          <w:tcPr>
            <w:tcW w:type="dxa" w:w="3084"/>
            <w:tcMar>
              <w:top w:w="80" w:type="dxa"/>
              <w:start w:w="110" w:type="dxa"/>
              <w:bottom w:w="80" w:type="dxa"/>
              <w:end w:w="110" w:type="dxa"/>
            </w:tcMar>
            <w:vAlign w:val="center"/>
            <w:shd w:fill="F8F7FC"/>
          </w:tcPr>
          <w:p>
            <w:pPr>
              <w:spacing w:after="0" w:line="240" w:lineRule="auto"/>
            </w:pPr>
            <w:r>
              <w:rPr>
                <w:sz w:val="17"/>
              </w:rPr>
              <w:t xml:space="preserve">Vérifier </w:t>
            </w:r>
            <w:r>
              <w:rPr>
                <w:rFonts w:ascii="Consolas" w:hAnsi="Consolas"/>
                <w:color w:val="4A339E"/>
                <w:sz w:val="17"/>
              </w:rPr>
              <w:t>invoice_pdf</w:t>
            </w:r>
            <w:r>
              <w:rPr>
                <w:sz w:val="17"/>
              </w:rPr>
              <w:t>, bucket et service role</w:t>
            </w:r>
          </w:p>
        </w:tc>
        <w:tc>
          <w:tcPr>
            <w:tcW w:type="dxa" w:w="3084"/>
            <w:tcMar>
              <w:top w:w="80" w:type="dxa"/>
              <w:start w:w="110" w:type="dxa"/>
              <w:bottom w:w="80" w:type="dxa"/>
              <w:end w:w="110" w:type="dxa"/>
            </w:tcMar>
            <w:vAlign w:val="center"/>
            <w:shd w:fill="F8F7FC"/>
          </w:tcPr>
          <w:p>
            <w:pPr>
              <w:spacing w:after="0" w:line="240" w:lineRule="auto"/>
            </w:pPr>
            <w:r>
              <w:rPr>
                <w:sz w:val="17"/>
              </w:rPr>
              <w:t>Réconcilier l'événement après correction Storage</w:t>
            </w:r>
          </w:p>
        </w:tc>
      </w:tr>
      <w:tr>
        <w:tc>
          <w:tcPr>
            <w:tcW w:type="dxa" w:w="3011"/>
            <w:tcMar>
              <w:top w:w="80" w:type="dxa"/>
              <w:start w:w="110" w:type="dxa"/>
              <w:bottom w:w="80" w:type="dxa"/>
              <w:end w:w="110" w:type="dxa"/>
            </w:tcMar>
            <w:vAlign w:val="center"/>
          </w:tcPr>
          <w:p>
            <w:pPr>
              <w:spacing w:after="0" w:line="240" w:lineRule="auto"/>
            </w:pPr>
            <w:r>
              <w:rPr>
                <w:sz w:val="17"/>
              </w:rPr>
              <w:t>BackOffice redirige</w:t>
            </w:r>
          </w:p>
        </w:tc>
        <w:tc>
          <w:tcPr>
            <w:tcW w:type="dxa" w:w="3084"/>
            <w:tcMar>
              <w:top w:w="80" w:type="dxa"/>
              <w:start w:w="110" w:type="dxa"/>
              <w:bottom w:w="80" w:type="dxa"/>
              <w:end w:w="110" w:type="dxa"/>
            </w:tcMar>
            <w:vAlign w:val="center"/>
          </w:tcPr>
          <w:p>
            <w:pPr>
              <w:spacing w:after="0" w:line="240" w:lineRule="auto"/>
            </w:pPr>
            <w:r>
              <w:rPr>
                <w:sz w:val="17"/>
              </w:rPr>
              <w:t>Vérifier session, profil actif, rôle et AAL</w:t>
            </w:r>
          </w:p>
        </w:tc>
        <w:tc>
          <w:tcPr>
            <w:tcW w:type="dxa" w:w="3084"/>
            <w:tcMar>
              <w:top w:w="80" w:type="dxa"/>
              <w:start w:w="110" w:type="dxa"/>
              <w:bottom w:w="80" w:type="dxa"/>
              <w:end w:w="110" w:type="dxa"/>
            </w:tcMar>
            <w:vAlign w:val="center"/>
          </w:tcPr>
          <w:p>
            <w:pPr>
              <w:spacing w:after="0" w:line="240" w:lineRule="auto"/>
            </w:pPr>
            <w:r>
              <w:rPr>
                <w:sz w:val="17"/>
              </w:rPr>
              <w:t>Réenrôler TOTP ou corriger le profil par procédure</w:t>
            </w:r>
          </w:p>
        </w:tc>
      </w:tr>
      <w:tr>
        <w:tc>
          <w:tcPr>
            <w:tcW w:type="dxa" w:w="3011"/>
            <w:tcMar>
              <w:top w:w="80" w:type="dxa"/>
              <w:start w:w="110" w:type="dxa"/>
              <w:bottom w:w="80" w:type="dxa"/>
              <w:end w:w="110" w:type="dxa"/>
            </w:tcMar>
            <w:vAlign w:val="center"/>
            <w:shd w:fill="F8F7FC"/>
          </w:tcPr>
          <w:p>
            <w:pPr>
              <w:spacing w:after="0" w:line="240" w:lineRule="auto"/>
            </w:pPr>
            <w:r>
              <w:rPr>
                <w:sz w:val="17"/>
              </w:rPr>
              <w:t>CynAI répond 503</w:t>
            </w:r>
          </w:p>
        </w:tc>
        <w:tc>
          <w:tcPr>
            <w:tcW w:type="dxa" w:w="3084"/>
            <w:tcMar>
              <w:top w:w="80" w:type="dxa"/>
              <w:start w:w="110" w:type="dxa"/>
              <w:bottom w:w="80" w:type="dxa"/>
              <w:end w:w="110" w:type="dxa"/>
            </w:tcMar>
            <w:vAlign w:val="center"/>
            <w:shd w:fill="F8F7FC"/>
          </w:tcPr>
          <w:p>
            <w:pPr>
              <w:spacing w:after="0" w:line="240" w:lineRule="auto"/>
            </w:pPr>
            <w:r>
              <w:rPr>
                <w:sz w:val="17"/>
              </w:rPr>
              <w:t>Persistance conversation indisponible</w:t>
            </w:r>
          </w:p>
        </w:tc>
        <w:tc>
          <w:tcPr>
            <w:tcW w:type="dxa" w:w="3084"/>
            <w:tcMar>
              <w:top w:w="80" w:type="dxa"/>
              <w:start w:w="110" w:type="dxa"/>
              <w:bottom w:w="80" w:type="dxa"/>
              <w:end w:w="110" w:type="dxa"/>
            </w:tcMar>
            <w:vAlign w:val="center"/>
            <w:shd w:fill="F8F7FC"/>
          </w:tcPr>
          <w:p>
            <w:pPr>
              <w:spacing w:after="0" w:line="240" w:lineRule="auto"/>
            </w:pPr>
            <w:r>
              <w:rPr>
                <w:sz w:val="17"/>
              </w:rPr>
              <w:t>Vérifier migrations, service role et RLS/RPC</w:t>
            </w:r>
          </w:p>
        </w:tc>
      </w:tr>
      <w:tr>
        <w:tc>
          <w:tcPr>
            <w:tcW w:type="dxa" w:w="3011"/>
            <w:tcMar>
              <w:top w:w="80" w:type="dxa"/>
              <w:start w:w="110" w:type="dxa"/>
              <w:bottom w:w="80" w:type="dxa"/>
              <w:end w:w="110" w:type="dxa"/>
            </w:tcMar>
            <w:vAlign w:val="center"/>
          </w:tcPr>
          <w:p>
            <w:pPr>
              <w:spacing w:after="0" w:line="240" w:lineRule="auto"/>
            </w:pPr>
            <w:r>
              <w:rPr>
                <w:sz w:val="17"/>
              </w:rPr>
              <w:t xml:space="preserve">CynAI émet </w:t>
            </w:r>
            <w:r>
              <w:rPr>
                <w:rFonts w:ascii="Consolas" w:hAnsi="Consolas"/>
                <w:color w:val="4A339E"/>
                <w:sz w:val="17"/>
              </w:rPr>
              <w:t>error</w:t>
            </w:r>
          </w:p>
        </w:tc>
        <w:tc>
          <w:tcPr>
            <w:tcW w:type="dxa" w:w="3084"/>
            <w:tcMar>
              <w:top w:w="80" w:type="dxa"/>
              <w:start w:w="110" w:type="dxa"/>
              <w:bottom w:w="80" w:type="dxa"/>
              <w:end w:w="110" w:type="dxa"/>
            </w:tcMar>
            <w:vAlign w:val="center"/>
          </w:tcPr>
          <w:p>
            <w:pPr>
              <w:spacing w:after="0" w:line="240" w:lineRule="auto"/>
            </w:pPr>
            <w:r>
              <w:rPr>
                <w:sz w:val="17"/>
              </w:rPr>
              <w:t xml:space="preserve">Examiner Sentry </w:t>
            </w:r>
            <w:r>
              <w:rPr>
                <w:rFonts w:ascii="Consolas" w:hAnsi="Consolas"/>
                <w:color w:val="4A339E"/>
                <w:sz w:val="17"/>
              </w:rPr>
              <w:t>area=chat</w:t>
            </w:r>
            <w:r>
              <w:rPr>
                <w:sz w:val="17"/>
              </w:rPr>
              <w:t xml:space="preserve"> et disponibilité Gemini</w:t>
            </w:r>
          </w:p>
        </w:tc>
        <w:tc>
          <w:tcPr>
            <w:tcW w:type="dxa" w:w="3084"/>
            <w:tcMar>
              <w:top w:w="80" w:type="dxa"/>
              <w:start w:w="110" w:type="dxa"/>
              <w:bottom w:w="80" w:type="dxa"/>
              <w:end w:w="110" w:type="dxa"/>
            </w:tcMar>
            <w:vAlign w:val="center"/>
          </w:tcPr>
          <w:p>
            <w:pPr>
              <w:spacing w:after="0" w:line="240" w:lineRule="auto"/>
            </w:pPr>
            <w:r>
              <w:rPr>
                <w:sz w:val="17"/>
              </w:rPr>
              <w:t>Corriger quota/clé/réseau, ne pas exposer l'exception</w:t>
            </w:r>
          </w:p>
        </w:tc>
      </w:tr>
      <w:tr>
        <w:tc>
          <w:tcPr>
            <w:tcW w:type="dxa" w:w="3011"/>
            <w:tcMar>
              <w:top w:w="80" w:type="dxa"/>
              <w:start w:w="110" w:type="dxa"/>
              <w:bottom w:w="80" w:type="dxa"/>
              <w:end w:w="110" w:type="dxa"/>
            </w:tcMar>
            <w:vAlign w:val="center"/>
            <w:shd w:fill="F8F7FC"/>
          </w:tcPr>
          <w:p>
            <w:pPr>
              <w:spacing w:after="0" w:line="240" w:lineRule="auto"/>
            </w:pPr>
            <w:r>
              <w:rPr>
                <w:sz w:val="17"/>
              </w:rPr>
              <w:t>Sentry reste vide</w:t>
            </w:r>
          </w:p>
        </w:tc>
        <w:tc>
          <w:tcPr>
            <w:tcW w:type="dxa" w:w="3084"/>
            <w:tcMar>
              <w:top w:w="80" w:type="dxa"/>
              <w:start w:w="110" w:type="dxa"/>
              <w:bottom w:w="80" w:type="dxa"/>
              <w:end w:w="110" w:type="dxa"/>
            </w:tcMar>
            <w:vAlign w:val="center"/>
            <w:shd w:fill="F8F7FC"/>
          </w:tcPr>
          <w:p>
            <w:pPr>
              <w:spacing w:after="0" w:line="240" w:lineRule="auto"/>
            </w:pPr>
            <w:r>
              <w:rPr>
                <w:sz w:val="17"/>
              </w:rPr>
              <w:t>Vérifier DSN, contexte et filtre</w:t>
            </w:r>
          </w:p>
        </w:tc>
        <w:tc>
          <w:tcPr>
            <w:tcW w:type="dxa" w:w="3084"/>
            <w:tcMar>
              <w:top w:w="80" w:type="dxa"/>
              <w:start w:w="110" w:type="dxa"/>
              <w:bottom w:w="80" w:type="dxa"/>
              <w:end w:w="110" w:type="dxa"/>
            </w:tcMar>
            <w:vAlign w:val="center"/>
            <w:shd w:fill="F8F7FC"/>
          </w:tcPr>
          <w:p>
            <w:pPr>
              <w:spacing w:after="0" w:line="240" w:lineRule="auto"/>
            </w:pPr>
            <w:r>
              <w:rPr>
                <w:sz w:val="17"/>
              </w:rPr>
              <w:t>Déclencher une erreur contrôlée sans PII</w:t>
            </w:r>
          </w:p>
        </w:tc>
      </w:tr>
    </w:tbl>
    <w:p>
      <w:pPr>
        <w:spacing w:after="0"/>
      </w:pPr>
    </w:p>
    <w:p>
      <w:r>
        <w:t>Un rollback applicatif consiste à restaurer le dernier déploiement Netlify sain. Un rollback de données n'est jamais implicite : une migration déjà appliquée exige une stratégie corrective ou une restauration testée, validée avec son impact sur Stripe. Après rollback, rejouer le smoke test et vérifier les événements Stripe en attente avant de rouvrir le trafic normal.</w:t>
      </w:r>
    </w:p>
    <w:sectPr w:rsidR="00FC693F" w:rsidRPr="0006063C" w:rsidSect="00034616">
      <w:headerReference w:type="default" r:id="rId15"/>
      <w:footerReference w:type="default" r:id="rId16"/>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CYNA-INS-001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CYNA-INS-001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CYNA-INS-001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d'installation et de déploiement</dc:title>
  <dc:subject>Environnements locaux, services managés et exploitation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