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pPr>
    </w:p>
    <w:p>
      <w:pPr>
        <w:jc w:val="center"/>
      </w:pPr>
      <w:r>
        <w:drawing>
          <wp:inline xmlns:a="http://schemas.openxmlformats.org/drawingml/2006/main" xmlns:pic="http://schemas.openxmlformats.org/drawingml/2006/picture">
            <wp:extent cx="1655999" cy="450224"/>
            <wp:docPr id="1" name="Picture 1" descr="Logo CYNA" title="Logo CYNA"/>
            <wp:cNvGraphicFramePr>
              <a:graphicFrameLocks noChangeAspect="1"/>
            </wp:cNvGraphicFramePr>
            <a:graphic>
              <a:graphicData uri="http://schemas.openxmlformats.org/drawingml/2006/picture">
                <pic:pic>
                  <pic:nvPicPr>
                    <pic:cNvPr id="0" name="cyna-logo.png"/>
                    <pic:cNvPicPr/>
                  </pic:nvPicPr>
                  <pic:blipFill>
                    <a:blip r:embed="rId9"/>
                    <a:stretch>
                      <a:fillRect/>
                    </a:stretch>
                  </pic:blipFill>
                  <pic:spPr>
                    <a:xfrm>
                      <a:off x="0" y="0"/>
                      <a:ext cx="1655999" cy="450224"/>
                    </a:xfrm>
                    <a:prstGeom prst="rect"/>
                  </pic:spPr>
                </pic:pic>
              </a:graphicData>
            </a:graphic>
          </wp:inline>
        </w:drawing>
      </w:r>
    </w:p>
    <w:p/>
    <w:p/>
    <w:p>
      <w:pPr>
        <w:pStyle w:val="Title"/>
        <w:jc w:val="center"/>
      </w:pPr>
      <w:r>
        <w:t>Plan de maintenance et d'exploitation</w:t>
      </w:r>
    </w:p>
    <w:p>
      <w:pPr>
        <w:pStyle w:val="CYNASubtitle"/>
        <w:jc w:val="center"/>
      </w:pPr>
      <w:r>
        <w:t>Branches, déploiements, alertes, données et runbooks CYNA</w:t>
      </w:r>
    </w:p>
    <w:tbl>
      <w:tblPr>
        <w:tblW w:type="auto" w:w="0"/>
        <w:jc w:val="center"/>
        <w:tblLayout w:type="fixed"/>
        <w:tblLook w:firstColumn="1" w:firstRow="1" w:lastColumn="0" w:lastRow="0" w:noHBand="0" w:noVBand="1" w:val="04A0"/>
      </w:tblPr>
      <w:tblGrid>
        <w:gridCol w:w="9184"/>
      </w:tblGrid>
      <w:tr>
        <w:trPr>
          <w:tblHeader w:val="true"/>
        </w:trPr>
        <w:tc>
          <w:tcPr>
            <w:tcW w:type="dxa" w:w="5200"/>
            <w:shd w:fill="302082"/>
          </w:tcPr>
          <w:p>
            <w:r/>
          </w:p>
        </w:tc>
      </w:tr>
    </w:tbl>
    <w:p/>
    <w:tbl>
      <w:tblPr>
        <w:tblW w:type="auto" w:w="0"/>
        <w:jc w:val="center"/>
        <w:tblLayout w:type="fixed"/>
        <w:tblLook w:firstColumn="1" w:firstRow="1" w:lastColumn="0" w:lastRow="0" w:noHBand="0" w:noVBand="1" w:val="04A0"/>
        <w:tblBorders>
          <w:top w:val="single" w:sz="5" w:color="C9C5DB"/>
          <w:left w:val="single" w:sz="5" w:color="C9C5DB"/>
          <w:bottom w:val="single" w:sz="5" w:color="C9C5DB"/>
          <w:right w:val="single" w:sz="5" w:color="C9C5DB"/>
          <w:insideH w:val="single" w:sz="5" w:color="C9C5DB"/>
          <w:insideV w:val="single" w:sz="5" w:color="C9C5DB"/>
        </w:tblBorders>
      </w:tblPr>
      <w:tblGrid>
        <w:gridCol w:w="4592"/>
        <w:gridCol w:w="4592"/>
      </w:tblGrid>
      <w:tr>
        <w:trPr>
          <w:tblHeader w:val="true"/>
        </w:trPr>
        <w:tc>
          <w:tcPr>
            <w:tcW w:type="dxa" w:w="1800"/>
            <w:tcMar>
              <w:top w:w="90" w:type="dxa"/>
              <w:start w:w="130" w:type="dxa"/>
              <w:bottom w:w="90" w:type="dxa"/>
              <w:end w:w="130" w:type="dxa"/>
            </w:tcMar>
            <w:shd w:fill="E8EEF5"/>
          </w:tcPr>
          <w:p>
            <w:r>
              <w:rPr>
                <w:b/>
                <w:color w:val="302082"/>
              </w:rPr>
              <w:t>Référence</w:t>
            </w:r>
          </w:p>
        </w:tc>
        <w:tc>
          <w:tcPr>
            <w:tcW w:type="dxa" w:w="4200"/>
            <w:tcMar>
              <w:top w:w="90" w:type="dxa"/>
              <w:start w:w="130" w:type="dxa"/>
              <w:bottom w:w="90" w:type="dxa"/>
              <w:end w:w="130" w:type="dxa"/>
            </w:tcMar>
            <w:shd w:fill="F8F7FC"/>
          </w:tcPr>
          <w:p>
            <w:r>
              <w:t>CYNA-MNT-001</w:t>
            </w:r>
          </w:p>
        </w:tc>
      </w:tr>
      <w:tr>
        <w:tc>
          <w:tcPr>
            <w:tcW w:type="dxa" w:w="1800"/>
            <w:tcMar>
              <w:top w:w="90" w:type="dxa"/>
              <w:start w:w="130" w:type="dxa"/>
              <w:bottom w:w="90" w:type="dxa"/>
              <w:end w:w="130" w:type="dxa"/>
            </w:tcMar>
          </w:tcPr>
          <w:p>
            <w:r>
              <w:rPr>
                <w:b/>
                <w:color w:val="302082"/>
              </w:rPr>
              <w:t>Version</w:t>
            </w:r>
          </w:p>
        </w:tc>
        <w:tc>
          <w:tcPr>
            <w:tcW w:type="dxa" w:w="4200"/>
            <w:tcMar>
              <w:top w:w="90" w:type="dxa"/>
              <w:start w:w="130" w:type="dxa"/>
              <w:bottom w:w="90" w:type="dxa"/>
              <w:end w:w="130" w:type="dxa"/>
            </w:tcMar>
          </w:tcPr>
          <w:p>
            <w:r>
              <w:t>1.0</w:t>
            </w:r>
          </w:p>
        </w:tc>
      </w:tr>
      <w:tr>
        <w:tc>
          <w:tcPr>
            <w:tcW w:type="dxa" w:w="1800"/>
            <w:tcMar>
              <w:top w:w="90" w:type="dxa"/>
              <w:start w:w="130" w:type="dxa"/>
              <w:bottom w:w="90" w:type="dxa"/>
              <w:end w:w="130" w:type="dxa"/>
            </w:tcMar>
            <w:shd w:fill="E8EEF5"/>
          </w:tcPr>
          <w:p>
            <w:r>
              <w:rPr>
                <w:b/>
                <w:color w:val="302082"/>
              </w:rPr>
              <w:t>Date</w:t>
            </w:r>
          </w:p>
        </w:tc>
        <w:tc>
          <w:tcPr>
            <w:tcW w:type="dxa" w:w="4200"/>
            <w:tcMar>
              <w:top w:w="90" w:type="dxa"/>
              <w:start w:w="130" w:type="dxa"/>
              <w:bottom w:w="90" w:type="dxa"/>
              <w:end w:w="130" w:type="dxa"/>
            </w:tcMar>
            <w:shd w:fill="F8F7FC"/>
          </w:tcPr>
          <w:p>
            <w:r>
              <w:t>15 juillet 2026</w:t>
            </w:r>
          </w:p>
        </w:tc>
      </w:tr>
      <w:tr>
        <w:tc>
          <w:tcPr>
            <w:tcW w:type="dxa" w:w="1800"/>
            <w:tcMar>
              <w:top w:w="90" w:type="dxa"/>
              <w:start w:w="130" w:type="dxa"/>
              <w:bottom w:w="90" w:type="dxa"/>
              <w:end w:w="130" w:type="dxa"/>
            </w:tcMar>
          </w:tcPr>
          <w:p>
            <w:r>
              <w:rPr>
                <w:b/>
                <w:color w:val="302082"/>
              </w:rPr>
              <w:t>Statut</w:t>
            </w:r>
          </w:p>
        </w:tc>
        <w:tc>
          <w:tcPr>
            <w:tcW w:type="dxa" w:w="4200"/>
            <w:tcMar>
              <w:top w:w="90" w:type="dxa"/>
              <w:start w:w="130" w:type="dxa"/>
              <w:bottom w:w="90" w:type="dxa"/>
              <w:end w:w="130" w:type="dxa"/>
            </w:tcMar>
          </w:tcPr>
          <w:p>
            <w:r>
              <w:t>Procédure opérationnelle</w:t>
            </w:r>
          </w:p>
        </w:tc>
      </w:tr>
    </w:tbl>
    <w:p>
      <w:pPr>
        <w:spacing w:before="360"/>
        <w:jc w:val="center"/>
      </w:pPr>
      <w:r>
        <w:rPr>
          <w:i/>
          <w:color w:val="626273"/>
        </w:rPr>
        <w:t>Audience : Mainteneurs, exploitants, développeurs et responsable produit</w:t>
      </w:r>
    </w:p>
    <w:p>
      <w:pPr>
        <w:spacing w:before="160" w:after="0"/>
        <w:jc w:val="center"/>
      </w:pPr>
      <w:r>
        <w:rPr>
          <w:b/>
          <w:color w:val="302082"/>
        </w:rPr>
        <w:t>Groupe 1 - Équipe projet</w:t>
      </w:r>
    </w:p>
    <w:p>
      <w:pPr>
        <w:spacing w:after="0"/>
        <w:jc w:val="center"/>
      </w:pPr>
      <w:r>
        <w:rPr>
          <w:color w:val="626273"/>
          <w:sz w:val="18"/>
        </w:rPr>
        <w:t>Hugo FAURE  ·  Samuel KAKEZ  ·  Mathieu FRAUX  ·  Florian BELLOC</w:t>
      </w:r>
    </w:p>
    <w:p>
      <w:r>
        <w:br w:type="page"/>
      </w:r>
    </w:p>
    <w:p>
      <w:bookmarkStart w:id="9990" w:name="toc"/>
      <w:pPr>
        <w:pStyle w:val="Heading1"/>
      </w:pPr>
      <w:r>
        <w:t>Sommaire</w:t>
      </w:r>
      <w:bookmarkEnd w:id="9990"/>
    </w:p>
    <w:p>
      <w:pPr>
        <w:tabs>
          <w:tab w:pos="8674" w:val="right" w:leader="dot"/>
        </w:tabs>
        <w:spacing w:after="40" w:line="240" w:lineRule="auto"/>
        <w:ind w:left="0"/>
      </w:pPr>
      <w:hyperlink w:anchor="h_1_Mod_le_d_exploitation" w:history="1">
        <w:r>
          <w:rPr>
            <w:rStyle w:val="Hyperlink"/>
            <w:color w:val="302082"/>
            <w:sz w:val="21"/>
            <w:szCs w:val="21"/>
          </w:rPr>
          <w:t>Modèle d'exploitation</w:t>
        </w:r>
      </w:hyperlink>
      <w:r>
        <w:rPr>
          <w:sz w:val="21"/>
        </w:rPr>
        <w:tab/>
      </w:r>
      <w:r>
        <w:rPr>
          <w:sz w:val="21"/>
        </w:rPr>
        <w:t>3</w:t>
      </w:r>
    </w:p>
    <w:p>
      <w:pPr>
        <w:tabs>
          <w:tab w:pos="8674" w:val="right" w:leader="dot"/>
        </w:tabs>
        <w:spacing w:after="40" w:line="240" w:lineRule="auto"/>
        <w:ind w:left="0"/>
      </w:pPr>
      <w:hyperlink w:anchor="h_2_Branches__CI_et_releases" w:history="1">
        <w:r>
          <w:rPr>
            <w:rStyle w:val="Hyperlink"/>
            <w:color w:val="302082"/>
            <w:sz w:val="21"/>
            <w:szCs w:val="21"/>
          </w:rPr>
          <w:t>Branches, CI et releases</w:t>
        </w:r>
      </w:hyperlink>
      <w:r>
        <w:rPr>
          <w:sz w:val="21"/>
        </w:rPr>
        <w:tab/>
      </w:r>
      <w:r>
        <w:rPr>
          <w:sz w:val="21"/>
        </w:rPr>
        <w:t>3</w:t>
      </w:r>
    </w:p>
    <w:p>
      <w:pPr>
        <w:tabs>
          <w:tab w:pos="8674" w:val="right" w:leader="dot"/>
        </w:tabs>
        <w:spacing w:after="40" w:line="240" w:lineRule="auto"/>
        <w:ind w:left="255"/>
      </w:pPr>
      <w:hyperlink w:anchor="h_3_Flux_Git" w:history="1">
        <w:r>
          <w:rPr>
            <w:rStyle w:val="Hyperlink"/>
            <w:color w:val="302082"/>
            <w:sz w:val="21"/>
            <w:szCs w:val="21"/>
          </w:rPr>
          <w:t>Flux Git</w:t>
        </w:r>
      </w:hyperlink>
      <w:r>
        <w:rPr>
          <w:sz w:val="21"/>
        </w:rPr>
        <w:tab/>
      </w:r>
      <w:r>
        <w:rPr>
          <w:sz w:val="21"/>
        </w:rPr>
        <w:t>3</w:t>
      </w:r>
    </w:p>
    <w:p>
      <w:pPr>
        <w:tabs>
          <w:tab w:pos="8674" w:val="right" w:leader="dot"/>
        </w:tabs>
        <w:spacing w:after="40" w:line="240" w:lineRule="auto"/>
        <w:ind w:left="255"/>
      </w:pPr>
      <w:hyperlink w:anchor="h_4_Contr_le_CI" w:history="1">
        <w:r>
          <w:rPr>
            <w:rStyle w:val="Hyperlink"/>
            <w:color w:val="302082"/>
            <w:sz w:val="21"/>
            <w:szCs w:val="21"/>
          </w:rPr>
          <w:t>Contrôle CI</w:t>
        </w:r>
      </w:hyperlink>
      <w:r>
        <w:rPr>
          <w:sz w:val="21"/>
        </w:rPr>
        <w:tab/>
      </w:r>
      <w:r>
        <w:rPr>
          <w:sz w:val="21"/>
        </w:rPr>
        <w:t>3</w:t>
      </w:r>
    </w:p>
    <w:p>
      <w:pPr>
        <w:tabs>
          <w:tab w:pos="8674" w:val="right" w:leader="dot"/>
        </w:tabs>
        <w:spacing w:after="40" w:line="240" w:lineRule="auto"/>
        <w:ind w:left="255"/>
      </w:pPr>
      <w:hyperlink w:anchor="h_5_Checklist_de_release" w:history="1">
        <w:r>
          <w:rPr>
            <w:rStyle w:val="Hyperlink"/>
            <w:color w:val="302082"/>
            <w:sz w:val="21"/>
            <w:szCs w:val="21"/>
          </w:rPr>
          <w:t>Checklist de release</w:t>
        </w:r>
      </w:hyperlink>
      <w:r>
        <w:rPr>
          <w:sz w:val="21"/>
        </w:rPr>
        <w:tab/>
      </w:r>
      <w:r>
        <w:rPr>
          <w:sz w:val="21"/>
        </w:rPr>
        <w:t>4</w:t>
      </w:r>
    </w:p>
    <w:p>
      <w:pPr>
        <w:tabs>
          <w:tab w:pos="8674" w:val="right" w:leader="dot"/>
        </w:tabs>
        <w:spacing w:after="40" w:line="240" w:lineRule="auto"/>
        <w:ind w:left="0"/>
      </w:pPr>
      <w:hyperlink w:anchor="h_6_D_ploiement_Netlify_et_rollb" w:history="1">
        <w:r>
          <w:rPr>
            <w:rStyle w:val="Hyperlink"/>
            <w:color w:val="302082"/>
            <w:sz w:val="21"/>
            <w:szCs w:val="21"/>
          </w:rPr>
          <w:t>Déploiement Netlify et rollback</w:t>
        </w:r>
      </w:hyperlink>
      <w:r>
        <w:rPr>
          <w:sz w:val="21"/>
        </w:rPr>
        <w:tab/>
      </w:r>
      <w:r>
        <w:rPr>
          <w:sz w:val="21"/>
        </w:rPr>
        <w:t>4</w:t>
      </w:r>
    </w:p>
    <w:p>
      <w:pPr>
        <w:tabs>
          <w:tab w:pos="8674" w:val="right" w:leader="dot"/>
        </w:tabs>
        <w:spacing w:after="40" w:line="240" w:lineRule="auto"/>
        <w:ind w:left="255"/>
      </w:pPr>
      <w:hyperlink w:anchor="h_7_Smoke_test" w:history="1">
        <w:r>
          <w:rPr>
            <w:rStyle w:val="Hyperlink"/>
            <w:color w:val="302082"/>
            <w:sz w:val="21"/>
            <w:szCs w:val="21"/>
          </w:rPr>
          <w:t>Smoke test</w:t>
        </w:r>
      </w:hyperlink>
      <w:r>
        <w:rPr>
          <w:sz w:val="21"/>
        </w:rPr>
        <w:tab/>
      </w:r>
      <w:r>
        <w:rPr>
          <w:sz w:val="21"/>
        </w:rPr>
        <w:t>4</w:t>
      </w:r>
    </w:p>
    <w:p>
      <w:pPr>
        <w:tabs>
          <w:tab w:pos="8674" w:val="right" w:leader="dot"/>
        </w:tabs>
        <w:spacing w:after="40" w:line="240" w:lineRule="auto"/>
        <w:ind w:left="255"/>
      </w:pPr>
      <w:hyperlink w:anchor="h_8_Retour_arri_re" w:history="1">
        <w:r>
          <w:rPr>
            <w:rStyle w:val="Hyperlink"/>
            <w:color w:val="302082"/>
            <w:sz w:val="21"/>
            <w:szCs w:val="21"/>
          </w:rPr>
          <w:t>Retour arrière</w:t>
        </w:r>
      </w:hyperlink>
      <w:r>
        <w:rPr>
          <w:sz w:val="21"/>
        </w:rPr>
        <w:tab/>
      </w:r>
      <w:r>
        <w:rPr>
          <w:sz w:val="21"/>
        </w:rPr>
        <w:t>5</w:t>
      </w:r>
    </w:p>
    <w:p>
      <w:pPr>
        <w:tabs>
          <w:tab w:pos="8674" w:val="right" w:leader="dot"/>
        </w:tabs>
        <w:spacing w:after="40" w:line="240" w:lineRule="auto"/>
        <w:ind w:left="0"/>
      </w:pPr>
      <w:hyperlink w:anchor="h_9_Supervision_et_alertes" w:history="1">
        <w:r>
          <w:rPr>
            <w:rStyle w:val="Hyperlink"/>
            <w:color w:val="302082"/>
            <w:sz w:val="21"/>
            <w:szCs w:val="21"/>
          </w:rPr>
          <w:t>Supervision et alertes</w:t>
        </w:r>
      </w:hyperlink>
      <w:r>
        <w:rPr>
          <w:sz w:val="21"/>
        </w:rPr>
        <w:tab/>
      </w:r>
      <w:r>
        <w:rPr>
          <w:sz w:val="21"/>
        </w:rPr>
        <w:t>5</w:t>
      </w:r>
    </w:p>
    <w:p>
      <w:pPr>
        <w:tabs>
          <w:tab w:pos="8674" w:val="right" w:leader="dot"/>
        </w:tabs>
        <w:spacing w:after="40" w:line="240" w:lineRule="auto"/>
        <w:ind w:left="255"/>
      </w:pPr>
      <w:hyperlink w:anchor="h_10_Sentry" w:history="1">
        <w:r>
          <w:rPr>
            <w:rStyle w:val="Hyperlink"/>
            <w:color w:val="302082"/>
            <w:sz w:val="21"/>
            <w:szCs w:val="21"/>
          </w:rPr>
          <w:t>Sentry</w:t>
        </w:r>
      </w:hyperlink>
      <w:r>
        <w:rPr>
          <w:sz w:val="21"/>
        </w:rPr>
        <w:tab/>
      </w:r>
      <w:r>
        <w:rPr>
          <w:sz w:val="21"/>
        </w:rPr>
        <w:t>5</w:t>
      </w:r>
    </w:p>
    <w:p>
      <w:pPr>
        <w:tabs>
          <w:tab w:pos="8674" w:val="right" w:leader="dot"/>
        </w:tabs>
        <w:spacing w:after="40" w:line="240" w:lineRule="auto"/>
        <w:ind w:left="255"/>
      </w:pPr>
      <w:hyperlink w:anchor="h_11_Fournisseurs" w:history="1">
        <w:r>
          <w:rPr>
            <w:rStyle w:val="Hyperlink"/>
            <w:color w:val="302082"/>
            <w:sz w:val="21"/>
            <w:szCs w:val="21"/>
          </w:rPr>
          <w:t>Fournisseurs</w:t>
        </w:r>
      </w:hyperlink>
      <w:r>
        <w:rPr>
          <w:sz w:val="21"/>
        </w:rPr>
        <w:tab/>
      </w:r>
      <w:r>
        <w:rPr>
          <w:sz w:val="21"/>
        </w:rPr>
        <w:t>5</w:t>
      </w:r>
    </w:p>
    <w:p>
      <w:pPr>
        <w:tabs>
          <w:tab w:pos="8674" w:val="right" w:leader="dot"/>
        </w:tabs>
        <w:spacing w:after="40" w:line="240" w:lineRule="auto"/>
        <w:ind w:left="0"/>
      </w:pPr>
      <w:hyperlink w:anchor="h_12_Calendrier_de_maintenance" w:history="1">
        <w:r>
          <w:rPr>
            <w:rStyle w:val="Hyperlink"/>
            <w:color w:val="302082"/>
            <w:sz w:val="21"/>
            <w:szCs w:val="21"/>
          </w:rPr>
          <w:t>Calendrier de maintenance</w:t>
        </w:r>
      </w:hyperlink>
      <w:r>
        <w:rPr>
          <w:sz w:val="21"/>
        </w:rPr>
        <w:tab/>
      </w:r>
      <w:r>
        <w:rPr>
          <w:sz w:val="21"/>
        </w:rPr>
        <w:t>6</w:t>
      </w:r>
    </w:p>
    <w:p>
      <w:pPr>
        <w:tabs>
          <w:tab w:pos="8674" w:val="right" w:leader="dot"/>
        </w:tabs>
        <w:spacing w:after="40" w:line="240" w:lineRule="auto"/>
        <w:ind w:left="0"/>
      </w:pPr>
      <w:hyperlink w:anchor="h_13_Base_de_donn_es__migrations_" w:history="1">
        <w:r>
          <w:rPr>
            <w:rStyle w:val="Hyperlink"/>
            <w:color w:val="302082"/>
            <w:sz w:val="21"/>
            <w:szCs w:val="21"/>
          </w:rPr>
          <w:t>Base de données, migrations et sauvegardes</w:t>
        </w:r>
      </w:hyperlink>
      <w:r>
        <w:rPr>
          <w:sz w:val="21"/>
        </w:rPr>
        <w:tab/>
      </w:r>
      <w:r>
        <w:rPr>
          <w:sz w:val="21"/>
        </w:rPr>
        <w:t>7</w:t>
      </w:r>
    </w:p>
    <w:p>
      <w:pPr>
        <w:tabs>
          <w:tab w:pos="8674" w:val="right" w:leader="dot"/>
        </w:tabs>
        <w:spacing w:after="40" w:line="240" w:lineRule="auto"/>
        <w:ind w:left="255"/>
      </w:pPr>
      <w:hyperlink w:anchor="h_14_Migration_contr_l_e" w:history="1">
        <w:r>
          <w:rPr>
            <w:rStyle w:val="Hyperlink"/>
            <w:color w:val="302082"/>
            <w:sz w:val="21"/>
            <w:szCs w:val="21"/>
          </w:rPr>
          <w:t>Migration contrôlée</w:t>
        </w:r>
      </w:hyperlink>
      <w:r>
        <w:rPr>
          <w:sz w:val="21"/>
        </w:rPr>
        <w:tab/>
      </w:r>
      <w:r>
        <w:rPr>
          <w:sz w:val="21"/>
        </w:rPr>
        <w:t>7</w:t>
      </w:r>
    </w:p>
    <w:p>
      <w:pPr>
        <w:tabs>
          <w:tab w:pos="8674" w:val="right" w:leader="dot"/>
        </w:tabs>
        <w:spacing w:after="40" w:line="240" w:lineRule="auto"/>
        <w:ind w:left="255"/>
      </w:pPr>
      <w:hyperlink w:anchor="h_15_Sauvegarde_et_restauration" w:history="1">
        <w:r>
          <w:rPr>
            <w:rStyle w:val="Hyperlink"/>
            <w:color w:val="302082"/>
            <w:sz w:val="21"/>
            <w:szCs w:val="21"/>
          </w:rPr>
          <w:t>Sauvegarde et restauration</w:t>
        </w:r>
      </w:hyperlink>
      <w:r>
        <w:rPr>
          <w:sz w:val="21"/>
        </w:rPr>
        <w:tab/>
      </w:r>
      <w:r>
        <w:rPr>
          <w:sz w:val="21"/>
        </w:rPr>
        <w:t>7</w:t>
      </w:r>
    </w:p>
    <w:p>
      <w:pPr>
        <w:tabs>
          <w:tab w:pos="8674" w:val="right" w:leader="dot"/>
        </w:tabs>
        <w:spacing w:after="40" w:line="240" w:lineRule="auto"/>
        <w:ind w:left="0"/>
      </w:pPr>
      <w:hyperlink w:anchor="h_16_Exploitation_Stripe" w:history="1">
        <w:r>
          <w:rPr>
            <w:rStyle w:val="Hyperlink"/>
            <w:color w:val="302082"/>
            <w:sz w:val="21"/>
            <w:szCs w:val="21"/>
          </w:rPr>
          <w:t>Exploitation Stripe</w:t>
        </w:r>
      </w:hyperlink>
      <w:r>
        <w:rPr>
          <w:sz w:val="21"/>
        </w:rPr>
        <w:tab/>
      </w:r>
      <w:r>
        <w:rPr>
          <w:sz w:val="21"/>
        </w:rPr>
        <w:t>7</w:t>
      </w:r>
    </w:p>
    <w:p>
      <w:pPr>
        <w:tabs>
          <w:tab w:pos="8674" w:val="right" w:leader="dot"/>
        </w:tabs>
        <w:spacing w:after="40" w:line="240" w:lineRule="auto"/>
        <w:ind w:left="255"/>
      </w:pPr>
      <w:hyperlink w:anchor="h_17_Runbook_webhook_en__chec" w:history="1">
        <w:r>
          <w:rPr>
            <w:rStyle w:val="Hyperlink"/>
            <w:color w:val="302082"/>
            <w:sz w:val="21"/>
            <w:szCs w:val="21"/>
          </w:rPr>
          <w:t>Runbook webhook en échec</w:t>
        </w:r>
      </w:hyperlink>
      <w:r>
        <w:rPr>
          <w:sz w:val="21"/>
        </w:rPr>
        <w:tab/>
      </w:r>
      <w:r>
        <w:rPr>
          <w:sz w:val="21"/>
        </w:rPr>
        <w:t>7</w:t>
      </w:r>
    </w:p>
    <w:p>
      <w:pPr>
        <w:tabs>
          <w:tab w:pos="8674" w:val="right" w:leader="dot"/>
        </w:tabs>
        <w:spacing w:after="40" w:line="240" w:lineRule="auto"/>
        <w:ind w:left="255"/>
      </w:pPr>
      <w:hyperlink w:anchor="h_18_Runbook_facture_absente" w:history="1">
        <w:r>
          <w:rPr>
            <w:rStyle w:val="Hyperlink"/>
            <w:color w:val="302082"/>
            <w:sz w:val="21"/>
            <w:szCs w:val="21"/>
          </w:rPr>
          <w:t>Runbook facture absente</w:t>
        </w:r>
      </w:hyperlink>
      <w:r>
        <w:rPr>
          <w:sz w:val="21"/>
        </w:rPr>
        <w:tab/>
      </w:r>
      <w:r>
        <w:rPr>
          <w:sz w:val="21"/>
        </w:rPr>
        <w:t>8</w:t>
      </w:r>
    </w:p>
    <w:p>
      <w:pPr>
        <w:tabs>
          <w:tab w:pos="8674" w:val="right" w:leader="dot"/>
        </w:tabs>
        <w:spacing w:after="40" w:line="240" w:lineRule="auto"/>
        <w:ind w:left="0"/>
      </w:pPr>
      <w:hyperlink w:anchor="h_19_Exploitation_CynAI" w:history="1">
        <w:r>
          <w:rPr>
            <w:rStyle w:val="Hyperlink"/>
            <w:color w:val="302082"/>
            <w:sz w:val="21"/>
            <w:szCs w:val="21"/>
          </w:rPr>
          <w:t>Exploitation CynAI</w:t>
        </w:r>
      </w:hyperlink>
      <w:r>
        <w:rPr>
          <w:sz w:val="21"/>
        </w:rPr>
        <w:tab/>
      </w:r>
      <w:r>
        <w:rPr>
          <w:sz w:val="21"/>
        </w:rPr>
        <w:t>8</w:t>
      </w:r>
    </w:p>
    <w:p>
      <w:pPr>
        <w:tabs>
          <w:tab w:pos="8674" w:val="right" w:leader="dot"/>
        </w:tabs>
        <w:spacing w:after="40" w:line="240" w:lineRule="auto"/>
        <w:ind w:left="255"/>
      </w:pPr>
      <w:hyperlink w:anchor="h_20_Runbook_indisponibilit_" w:history="1">
        <w:r>
          <w:rPr>
            <w:rStyle w:val="Hyperlink"/>
            <w:color w:val="302082"/>
            <w:sz w:val="21"/>
            <w:szCs w:val="21"/>
          </w:rPr>
          <w:t>Runbook indisponibilité</w:t>
        </w:r>
      </w:hyperlink>
      <w:r>
        <w:rPr>
          <w:sz w:val="21"/>
        </w:rPr>
        <w:tab/>
      </w:r>
      <w:r>
        <w:rPr>
          <w:sz w:val="21"/>
        </w:rPr>
        <w:t>8</w:t>
      </w:r>
    </w:p>
    <w:p>
      <w:pPr>
        <w:tabs>
          <w:tab w:pos="8674" w:val="right" w:leader="dot"/>
        </w:tabs>
        <w:spacing w:after="40" w:line="240" w:lineRule="auto"/>
        <w:ind w:left="0"/>
      </w:pPr>
      <w:hyperlink w:anchor="h_21_D_pendances_et_obsolescence" w:history="1">
        <w:r>
          <w:rPr>
            <w:rStyle w:val="Hyperlink"/>
            <w:color w:val="302082"/>
            <w:sz w:val="21"/>
            <w:szCs w:val="21"/>
          </w:rPr>
          <w:t>Dépendances et obsolescence</w:t>
        </w:r>
      </w:hyperlink>
      <w:r>
        <w:rPr>
          <w:sz w:val="21"/>
        </w:rPr>
        <w:tab/>
      </w:r>
      <w:r>
        <w:rPr>
          <w:sz w:val="21"/>
        </w:rPr>
        <w:t>8</w:t>
      </w:r>
    </w:p>
    <w:p>
      <w:pPr>
        <w:tabs>
          <w:tab w:pos="8674" w:val="right" w:leader="dot"/>
        </w:tabs>
        <w:spacing w:after="40" w:line="240" w:lineRule="auto"/>
        <w:ind w:left="0"/>
      </w:pPr>
      <w:hyperlink w:anchor="h_22_Runbooks_d_incident" w:history="1">
        <w:r>
          <w:rPr>
            <w:rStyle w:val="Hyperlink"/>
            <w:color w:val="302082"/>
            <w:sz w:val="21"/>
            <w:szCs w:val="21"/>
          </w:rPr>
          <w:t>Runbooks d'incident</w:t>
        </w:r>
      </w:hyperlink>
      <w:r>
        <w:rPr>
          <w:sz w:val="21"/>
        </w:rPr>
        <w:tab/>
      </w:r>
      <w:r>
        <w:rPr>
          <w:sz w:val="21"/>
        </w:rPr>
        <w:t>9</w:t>
      </w:r>
    </w:p>
    <w:p>
      <w:pPr>
        <w:tabs>
          <w:tab w:pos="8674" w:val="right" w:leader="dot"/>
        </w:tabs>
        <w:spacing w:after="40" w:line="240" w:lineRule="auto"/>
        <w:ind w:left="255"/>
      </w:pPr>
      <w:hyperlink w:anchor="h_23_D_ploiement_cass_" w:history="1">
        <w:r>
          <w:rPr>
            <w:rStyle w:val="Hyperlink"/>
            <w:color w:val="302082"/>
            <w:sz w:val="21"/>
            <w:szCs w:val="21"/>
          </w:rPr>
          <w:t>Déploiement cassé</w:t>
        </w:r>
      </w:hyperlink>
      <w:r>
        <w:rPr>
          <w:sz w:val="21"/>
        </w:rPr>
        <w:tab/>
      </w:r>
      <w:r>
        <w:rPr>
          <w:sz w:val="21"/>
        </w:rPr>
        <w:t>9</w:t>
      </w:r>
    </w:p>
    <w:p>
      <w:pPr>
        <w:tabs>
          <w:tab w:pos="8674" w:val="right" w:leader="dot"/>
        </w:tabs>
        <w:spacing w:after="40" w:line="240" w:lineRule="auto"/>
        <w:ind w:left="255"/>
      </w:pPr>
      <w:hyperlink w:anchor="h_24_Secret_compromis" w:history="1">
        <w:r>
          <w:rPr>
            <w:rStyle w:val="Hyperlink"/>
            <w:color w:val="302082"/>
            <w:sz w:val="21"/>
            <w:szCs w:val="21"/>
          </w:rPr>
          <w:t>Secret compromis</w:t>
        </w:r>
      </w:hyperlink>
      <w:r>
        <w:rPr>
          <w:sz w:val="21"/>
        </w:rPr>
        <w:tab/>
      </w:r>
      <w:r>
        <w:rPr>
          <w:sz w:val="21"/>
        </w:rPr>
        <w:t>9</w:t>
      </w:r>
    </w:p>
    <w:p>
      <w:pPr>
        <w:tabs>
          <w:tab w:pos="8674" w:val="right" w:leader="dot"/>
        </w:tabs>
        <w:spacing w:after="40" w:line="240" w:lineRule="auto"/>
        <w:ind w:left="255"/>
      </w:pPr>
      <w:hyperlink w:anchor="h_25_Compte_administrateur_compro" w:history="1">
        <w:r>
          <w:rPr>
            <w:rStyle w:val="Hyperlink"/>
            <w:color w:val="302082"/>
            <w:sz w:val="21"/>
            <w:szCs w:val="21"/>
          </w:rPr>
          <w:t>Compte administrateur compromis</w:t>
        </w:r>
      </w:hyperlink>
      <w:r>
        <w:rPr>
          <w:sz w:val="21"/>
        </w:rPr>
        <w:tab/>
      </w:r>
      <w:r>
        <w:rPr>
          <w:sz w:val="21"/>
        </w:rPr>
        <w:t>9</w:t>
      </w:r>
    </w:p>
    <w:p>
      <w:pPr>
        <w:tabs>
          <w:tab w:pos="8674" w:val="right" w:leader="dot"/>
        </w:tabs>
        <w:spacing w:after="40" w:line="240" w:lineRule="auto"/>
        <w:ind w:left="255"/>
      </w:pPr>
      <w:hyperlink w:anchor="h_26_Incident_de_donn_es_personne" w:history="1">
        <w:r>
          <w:rPr>
            <w:rStyle w:val="Hyperlink"/>
            <w:color w:val="302082"/>
            <w:sz w:val="21"/>
            <w:szCs w:val="21"/>
          </w:rPr>
          <w:t>Incident de données personnelles</w:t>
        </w:r>
      </w:hyperlink>
      <w:r>
        <w:rPr>
          <w:sz w:val="21"/>
        </w:rPr>
        <w:tab/>
      </w:r>
      <w:r>
        <w:rPr>
          <w:sz w:val="21"/>
        </w:rPr>
        <w:t>9</w:t>
      </w:r>
    </w:p>
    <w:p>
      <w:pPr>
        <w:tabs>
          <w:tab w:pos="8674" w:val="right" w:leader="dot"/>
        </w:tabs>
        <w:spacing w:after="40" w:line="240" w:lineRule="auto"/>
        <w:ind w:left="0"/>
      </w:pPr>
      <w:hyperlink w:anchor="h_27_Registre_des_limites_et_am_l" w:history="1">
        <w:r>
          <w:rPr>
            <w:rStyle w:val="Hyperlink"/>
            <w:color w:val="302082"/>
            <w:sz w:val="21"/>
            <w:szCs w:val="21"/>
          </w:rPr>
          <w:t>Registre des limites et améliorations</w:t>
        </w:r>
      </w:hyperlink>
      <w:r>
        <w:rPr>
          <w:sz w:val="21"/>
        </w:rPr>
        <w:tab/>
      </w:r>
      <w:r>
        <w:rPr>
          <w:sz w:val="21"/>
        </w:rPr>
        <w:t>9</w:t>
      </w:r>
    </w:p>
    <w:p>
      <w:r>
        <w:br w:type="page"/>
      </w:r>
    </w:p>
    <w:p>
      <w:bookmarkStart w:id="1" w:name="h_1_Mod_le_d_exploitation"/>
      <w:pPr>
        <w:pStyle w:val="Heading1"/>
      </w:pPr>
      <w:r>
        <w:t>Modèle d'exploitation</w:t>
      </w:r>
      <w:bookmarkEnd w:id="1"/>
    </w:p>
    <w:p>
      <w:r>
        <w:t xml:space="preserve">CYNA s'appuie sur des services managés mais conserve la responsabilité de la configuration, des releases, des secrets, de la supervision, des données et des reprises. Ce plan décrit la maintenance corrective, évolutive, préventive et de sécurité. Il suppose une branche d'intégration </w:t>
      </w:r>
      <w:r>
        <w:rPr>
          <w:rFonts w:ascii="Consolas" w:hAnsi="Consolas"/>
          <w:color w:val="4A339E"/>
          <w:sz w:val="18"/>
        </w:rPr>
        <w:t>dev</w:t>
      </w:r>
      <w:r>
        <w:t xml:space="preserve"> et une branche production </w:t>
      </w:r>
      <w:r>
        <w:rPr>
          <w:rFonts w:ascii="Consolas" w:hAnsi="Consolas"/>
          <w:color w:val="4A339E"/>
          <w:sz w:val="18"/>
        </w:rPr>
        <w:t>prod</w:t>
      </w:r>
      <w:r>
        <w:t xml:space="preserve"> protégées.</w:t>
      </w:r>
    </w:p>
    <w:tbl>
      <w:tblPr>
        <w:tblW w:type="auto" w:w="0"/>
        <w:jc w:val="center"/>
        <w:tblLayout w:type="fixed"/>
        <w:tblLook w:firstColumn="1" w:firstRow="1" w:lastColumn="0" w:lastRow="0" w:noHBand="0" w:noVBand="1" w:val="04A0"/>
        <w:tblBorders>
          <w:top w:val="single" w:sz="5" w:color="C9C5DB"/>
          <w:left w:val="single" w:sz="5" w:color="C9C5DB"/>
          <w:bottom w:val="single" w:sz="5" w:color="C9C5DB"/>
          <w:right w:val="single" w:sz="5" w:color="C9C5DB"/>
          <w:insideH w:val="single" w:sz="5" w:color="C9C5DB"/>
          <w:insideV w:val="single" w:sz="5" w:color="C9C5DB"/>
        </w:tblBorders>
      </w:tblPr>
      <w:tblGrid>
        <w:gridCol w:w="3248"/>
        <w:gridCol w:w="5931"/>
      </w:tblGrid>
      <w:tr>
        <w:trPr>
          <w:tblHeader w:val="true"/>
        </w:trPr>
        <w:tc>
          <w:tcPr>
            <w:tcW w:type="dxa" w:w="3248"/>
            <w:tcMar>
              <w:top w:w="80" w:type="dxa"/>
              <w:start w:w="110" w:type="dxa"/>
              <w:bottom w:w="80" w:type="dxa"/>
              <w:end w:w="110" w:type="dxa"/>
            </w:tcMar>
            <w:vAlign w:val="center"/>
            <w:shd w:fill="E8EEF5"/>
          </w:tcPr>
          <w:p>
            <w:pPr>
              <w:spacing w:after="0" w:line="240" w:lineRule="auto"/>
            </w:pPr>
            <w:r>
              <w:rPr>
                <w:b/>
                <w:color w:val="302082"/>
                <w:sz w:val="17"/>
              </w:rPr>
              <w:t>Rôle</w:t>
            </w:r>
          </w:p>
        </w:tc>
        <w:tc>
          <w:tcPr>
            <w:tcW w:type="dxa" w:w="5931"/>
            <w:tcMar>
              <w:top w:w="80" w:type="dxa"/>
              <w:start w:w="110" w:type="dxa"/>
              <w:bottom w:w="80" w:type="dxa"/>
              <w:end w:w="110" w:type="dxa"/>
            </w:tcMar>
            <w:vAlign w:val="center"/>
            <w:shd w:fill="E8EEF5"/>
          </w:tcPr>
          <w:p>
            <w:pPr>
              <w:spacing w:after="0" w:line="240" w:lineRule="auto"/>
            </w:pPr>
            <w:r>
              <w:rPr>
                <w:b/>
                <w:color w:val="302082"/>
                <w:sz w:val="17"/>
              </w:rPr>
              <w:t>Responsabilités minimales</w:t>
            </w:r>
          </w:p>
        </w:tc>
      </w:tr>
      <w:tr>
        <w:tc>
          <w:tcPr>
            <w:tcW w:type="dxa" w:w="3248"/>
            <w:tcMar>
              <w:top w:w="80" w:type="dxa"/>
              <w:start w:w="110" w:type="dxa"/>
              <w:bottom w:w="80" w:type="dxa"/>
              <w:end w:w="110" w:type="dxa"/>
            </w:tcMar>
            <w:vAlign w:val="center"/>
          </w:tcPr>
          <w:p>
            <w:pPr>
              <w:spacing w:after="0" w:line="240" w:lineRule="auto"/>
            </w:pPr>
            <w:r>
              <w:rPr>
                <w:sz w:val="17"/>
              </w:rPr>
              <w:t>Mainteneur applicatif</w:t>
            </w:r>
          </w:p>
        </w:tc>
        <w:tc>
          <w:tcPr>
            <w:tcW w:type="dxa" w:w="5931"/>
            <w:tcMar>
              <w:top w:w="80" w:type="dxa"/>
              <w:start w:w="110" w:type="dxa"/>
              <w:bottom w:w="80" w:type="dxa"/>
              <w:end w:w="110" w:type="dxa"/>
            </w:tcMar>
            <w:vAlign w:val="center"/>
          </w:tcPr>
          <w:p>
            <w:pPr>
              <w:spacing w:after="0" w:line="240" w:lineRule="auto"/>
            </w:pPr>
            <w:r>
              <w:rPr>
                <w:sz w:val="17"/>
              </w:rPr>
              <w:t>Correctifs, tests, dépendances, documentation et revue</w:t>
            </w:r>
          </w:p>
        </w:tc>
      </w:tr>
      <w:tr>
        <w:tc>
          <w:tcPr>
            <w:tcW w:type="dxa" w:w="3248"/>
            <w:tcMar>
              <w:top w:w="80" w:type="dxa"/>
              <w:start w:w="110" w:type="dxa"/>
              <w:bottom w:w="80" w:type="dxa"/>
              <w:end w:w="110" w:type="dxa"/>
            </w:tcMar>
            <w:vAlign w:val="center"/>
            <w:shd w:fill="F8F7FC"/>
          </w:tcPr>
          <w:p>
            <w:pPr>
              <w:spacing w:after="0" w:line="240" w:lineRule="auto"/>
            </w:pPr>
            <w:r>
              <w:rPr>
                <w:sz w:val="17"/>
              </w:rPr>
              <w:t>Responsable de release</w:t>
            </w:r>
          </w:p>
        </w:tc>
        <w:tc>
          <w:tcPr>
            <w:tcW w:type="dxa" w:w="5931"/>
            <w:tcMar>
              <w:top w:w="80" w:type="dxa"/>
              <w:start w:w="110" w:type="dxa"/>
              <w:bottom w:w="80" w:type="dxa"/>
              <w:end w:w="110" w:type="dxa"/>
            </w:tcMar>
            <w:vAlign w:val="center"/>
            <w:shd w:fill="F8F7FC"/>
          </w:tcPr>
          <w:p>
            <w:pPr>
              <w:spacing w:after="0" w:line="240" w:lineRule="auto"/>
            </w:pPr>
            <w:r>
              <w:rPr>
                <w:sz w:val="17"/>
              </w:rPr>
              <w:t xml:space="preserve">Go/no-go, PR </w:t>
            </w:r>
            <w:r>
              <w:rPr>
                <w:rFonts w:ascii="Consolas" w:hAnsi="Consolas"/>
                <w:color w:val="4A339E"/>
                <w:sz w:val="17"/>
              </w:rPr>
              <w:t>dev → prod</w:t>
            </w:r>
            <w:r>
              <w:rPr>
                <w:sz w:val="17"/>
              </w:rPr>
              <w:t>, preview, rollback</w:t>
            </w:r>
          </w:p>
        </w:tc>
      </w:tr>
      <w:tr>
        <w:tc>
          <w:tcPr>
            <w:tcW w:type="dxa" w:w="3248"/>
            <w:tcMar>
              <w:top w:w="80" w:type="dxa"/>
              <w:start w:w="110" w:type="dxa"/>
              <w:bottom w:w="80" w:type="dxa"/>
              <w:end w:w="110" w:type="dxa"/>
            </w:tcMar>
            <w:vAlign w:val="center"/>
          </w:tcPr>
          <w:p>
            <w:pPr>
              <w:spacing w:after="0" w:line="240" w:lineRule="auto"/>
            </w:pPr>
            <w:r>
              <w:rPr>
                <w:sz w:val="17"/>
              </w:rPr>
              <w:t>Exploitant plateformes</w:t>
            </w:r>
          </w:p>
        </w:tc>
        <w:tc>
          <w:tcPr>
            <w:tcW w:type="dxa" w:w="5931"/>
            <w:tcMar>
              <w:top w:w="80" w:type="dxa"/>
              <w:start w:w="110" w:type="dxa"/>
              <w:bottom w:w="80" w:type="dxa"/>
              <w:end w:w="110" w:type="dxa"/>
            </w:tcMar>
            <w:vAlign w:val="center"/>
          </w:tcPr>
          <w:p>
            <w:pPr>
              <w:spacing w:after="0" w:line="240" w:lineRule="auto"/>
            </w:pPr>
            <w:r>
              <w:rPr>
                <w:sz w:val="17"/>
              </w:rPr>
              <w:t>Netlify, variables, Sentry, Supabase, Stripe et sauvegardes</w:t>
            </w:r>
          </w:p>
        </w:tc>
      </w:tr>
      <w:tr>
        <w:tc>
          <w:tcPr>
            <w:tcW w:type="dxa" w:w="3248"/>
            <w:tcMar>
              <w:top w:w="80" w:type="dxa"/>
              <w:start w:w="110" w:type="dxa"/>
              <w:bottom w:w="80" w:type="dxa"/>
              <w:end w:w="110" w:type="dxa"/>
            </w:tcMar>
            <w:vAlign w:val="center"/>
            <w:shd w:fill="F8F7FC"/>
          </w:tcPr>
          <w:p>
            <w:pPr>
              <w:spacing w:after="0" w:line="240" w:lineRule="auto"/>
            </w:pPr>
            <w:r>
              <w:rPr>
                <w:sz w:val="17"/>
              </w:rPr>
              <w:t>Product Owner</w:t>
            </w:r>
          </w:p>
        </w:tc>
        <w:tc>
          <w:tcPr>
            <w:tcW w:type="dxa" w:w="5931"/>
            <w:tcMar>
              <w:top w:w="80" w:type="dxa"/>
              <w:start w:w="110" w:type="dxa"/>
              <w:bottom w:w="80" w:type="dxa"/>
              <w:end w:w="110" w:type="dxa"/>
            </w:tcMar>
            <w:vAlign w:val="center"/>
            <w:shd w:fill="F8F7FC"/>
          </w:tcPr>
          <w:p>
            <w:pPr>
              <w:spacing w:after="0" w:line="240" w:lineRule="auto"/>
            </w:pPr>
            <w:r>
              <w:rPr>
                <w:sz w:val="17"/>
              </w:rPr>
              <w:t>Priorité fonctionnelle, critères d'acceptation, validation métier</w:t>
            </w:r>
          </w:p>
        </w:tc>
      </w:tr>
      <w:tr>
        <w:tc>
          <w:tcPr>
            <w:tcW w:type="dxa" w:w="3248"/>
            <w:tcMar>
              <w:top w:w="80" w:type="dxa"/>
              <w:start w:w="110" w:type="dxa"/>
              <w:bottom w:w="80" w:type="dxa"/>
              <w:end w:w="110" w:type="dxa"/>
            </w:tcMar>
            <w:vAlign w:val="center"/>
          </w:tcPr>
          <w:p>
            <w:pPr>
              <w:spacing w:after="0" w:line="240" w:lineRule="auto"/>
            </w:pPr>
            <w:r>
              <w:rPr>
                <w:sz w:val="17"/>
              </w:rPr>
              <w:t>Référent sécurité / DPO</w:t>
            </w:r>
          </w:p>
        </w:tc>
        <w:tc>
          <w:tcPr>
            <w:tcW w:type="dxa" w:w="5931"/>
            <w:tcMar>
              <w:top w:w="80" w:type="dxa"/>
              <w:start w:w="110" w:type="dxa"/>
              <w:bottom w:w="80" w:type="dxa"/>
              <w:end w:w="110" w:type="dxa"/>
            </w:tcMar>
            <w:vAlign w:val="center"/>
          </w:tcPr>
          <w:p>
            <w:pPr>
              <w:spacing w:after="0" w:line="240" w:lineRule="auto"/>
            </w:pPr>
            <w:r>
              <w:rPr>
                <w:sz w:val="17"/>
              </w:rPr>
              <w:t>Incidents, accès, secrets, vulnérabilités et données personnelles</w:t>
            </w:r>
          </w:p>
        </w:tc>
      </w:tr>
    </w:tbl>
    <w:p>
      <w:pPr>
        <w:spacing w:after="0"/>
      </w:pPr>
    </w:p>
    <w:p>
      <w:bookmarkStart w:id="2" w:name="h_2_Branches__CI_et_releases"/>
      <w:pPr>
        <w:pStyle w:val="Heading1"/>
      </w:pPr>
      <w:r>
        <w:t>Branches, CI et releases</w:t>
      </w:r>
      <w:bookmarkEnd w:id="2"/>
    </w:p>
    <w:p>
      <w:bookmarkStart w:id="3" w:name="h_3_Flux_Git"/>
      <w:pPr>
        <w:pStyle w:val="Heading2"/>
      </w:pPr>
      <w:r>
        <w:t>Flux Git</w:t>
      </w:r>
      <w:bookmarkEnd w:id="3"/>
    </w:p>
    <w:p>
      <w:r>
        <w:t xml:space="preserve">Une évolution part d'une branche courte </w:t>
      </w:r>
      <w:r>
        <w:rPr>
          <w:rFonts w:ascii="Consolas" w:hAnsi="Consolas"/>
          <w:color w:val="4A339E"/>
          <w:sz w:val="18"/>
        </w:rPr>
        <w:t>feature/...</w:t>
      </w:r>
      <w:r>
        <w:t xml:space="preserve">, </w:t>
      </w:r>
      <w:r>
        <w:rPr>
          <w:rFonts w:ascii="Consolas" w:hAnsi="Consolas"/>
          <w:color w:val="4A339E"/>
          <w:sz w:val="18"/>
        </w:rPr>
        <w:t>bugfix/...</w:t>
      </w:r>
      <w:r>
        <w:t xml:space="preserve"> ou </w:t>
      </w:r>
      <w:r>
        <w:rPr>
          <w:rFonts w:ascii="Consolas" w:hAnsi="Consolas"/>
          <w:color w:val="4A339E"/>
          <w:sz w:val="18"/>
        </w:rPr>
        <w:t>documentation/...</w:t>
      </w:r>
      <w:r>
        <w:t xml:space="preserve"> et ouvre un PR vers </w:t>
      </w:r>
      <w:r>
        <w:rPr>
          <w:rFonts w:ascii="Consolas" w:hAnsi="Consolas"/>
          <w:color w:val="4A339E"/>
          <w:sz w:val="18"/>
        </w:rPr>
        <w:t>dev</w:t>
      </w:r>
      <w:r>
        <w:t xml:space="preserve">. La CI et la preview doivent être vertes avant revue et fusion. </w:t>
      </w:r>
      <w:r>
        <w:rPr>
          <w:rFonts w:ascii="Consolas" w:hAnsi="Consolas"/>
          <w:color w:val="4A339E"/>
          <w:sz w:val="18"/>
        </w:rPr>
        <w:t>dev</w:t>
      </w:r>
      <w:r>
        <w:t xml:space="preserve"> agrège l'état candidat. Une release ouvre ensuite un PR explicite </w:t>
      </w:r>
      <w:r>
        <w:rPr>
          <w:rFonts w:ascii="Consolas" w:hAnsi="Consolas"/>
          <w:color w:val="4A339E"/>
          <w:sz w:val="18"/>
        </w:rPr>
        <w:t>dev → prod</w:t>
      </w:r>
      <w:r>
        <w:t xml:space="preserve">; elle ne se fusionne jamais automatiquement. Une divergence importante de </w:t>
      </w:r>
      <w:r>
        <w:rPr>
          <w:rFonts w:ascii="Consolas" w:hAnsi="Consolas"/>
          <w:color w:val="4A339E"/>
          <w:sz w:val="18"/>
        </w:rPr>
        <w:t>prod</w:t>
      </w:r>
      <w:r>
        <w:t xml:space="preserve"> doit être examinée comme un lot de release et non résolue par un force push.</w:t>
      </w:r>
    </w:p>
    <w:p>
      <w:bookmarkStart w:id="4" w:name="h_4_Contr_le_CI"/>
      <w:pPr>
        <w:pStyle w:val="Heading2"/>
      </w:pPr>
      <w:r>
        <w:t>Contrôle CI</w:t>
      </w:r>
      <w:bookmarkEnd w:id="4"/>
    </w:p>
    <w:p>
      <w:r>
        <w:t xml:space="preserve">Le workflow </w:t>
      </w:r>
      <w:r>
        <w:rPr>
          <w:rFonts w:ascii="Consolas" w:hAnsi="Consolas"/>
          <w:color w:val="4A339E"/>
          <w:sz w:val="18"/>
        </w:rPr>
        <w:t>CI</w:t>
      </w:r>
      <w:r>
        <w:t xml:space="preserve"> s'exécute sur PR et push vers </w:t>
      </w:r>
      <w:r>
        <w:rPr>
          <w:rFonts w:ascii="Consolas" w:hAnsi="Consolas"/>
          <w:color w:val="4A339E"/>
          <w:sz w:val="18"/>
        </w:rPr>
        <w:t>dev</w:t>
      </w:r>
      <w:r>
        <w:t xml:space="preserve"> et </w:t>
      </w:r>
      <w:r>
        <w:rPr>
          <w:rFonts w:ascii="Consolas" w:hAnsi="Consolas"/>
          <w:color w:val="4A339E"/>
          <w:sz w:val="18"/>
        </w:rPr>
        <w:t>prod</w:t>
      </w:r>
      <w:r>
        <w:t xml:space="preserve">. Le job </w:t>
      </w:r>
      <w:r>
        <w:rPr>
          <w:rFonts w:ascii="Consolas" w:hAnsi="Consolas"/>
          <w:color w:val="4A339E"/>
          <w:sz w:val="18"/>
        </w:rPr>
        <w:t>quality</w:t>
      </w:r>
      <w:r>
        <w:t xml:space="preserve"> doit produire le statut stable </w:t>
      </w:r>
      <w:r>
        <w:rPr>
          <w:rFonts w:ascii="Consolas" w:hAnsi="Consolas"/>
          <w:color w:val="4A339E"/>
          <w:sz w:val="18"/>
        </w:rPr>
        <w:t>CI / quality</w:t>
      </w:r>
      <w:r>
        <w:t xml:space="preserve"> et devenir obligatoire dans les règles de branche. Il exécute Node 24 depuis </w:t>
      </w:r>
      <w:r>
        <w:rPr>
          <w:rFonts w:ascii="Consolas" w:hAnsi="Consolas"/>
          <w:color w:val="4A339E"/>
          <w:sz w:val="18"/>
        </w:rPr>
        <w:t>.nvmrc</w:t>
      </w:r>
      <w:r>
        <w:t xml:space="preserve">, </w:t>
      </w:r>
      <w:r>
        <w:rPr>
          <w:rFonts w:ascii="Consolas" w:hAnsi="Consolas"/>
          <w:color w:val="4A339E"/>
          <w:sz w:val="18"/>
        </w:rPr>
        <w:t>npm ci</w:t>
      </w:r>
      <w:r>
        <w:t>, lint, au moins 112 tests Vitest, audit production bloquant au niveau high, puis build avec variables factices.</w:t>
      </w:r>
    </w:p>
    <w:p>
      <w:pPr>
        <w:keepNext/>
        <w:jc w:val="center"/>
      </w:pPr>
      <w:r>
        <w:drawing>
          <wp:inline xmlns:a="http://schemas.openxmlformats.org/drawingml/2006/main" xmlns:pic="http://schemas.openxmlformats.org/drawingml/2006/picture">
            <wp:extent cx="5652000" cy="2779741"/>
            <wp:docPr id="2" name="Picture 2" descr="Pipeline de maintenance, déploiement et supervision" title="Pipeline de maintenance, déploiement et supervision"/>
            <wp:cNvGraphicFramePr>
              <a:graphicFrameLocks noChangeAspect="1"/>
            </wp:cNvGraphicFramePr>
            <a:graphic>
              <a:graphicData uri="http://schemas.openxmlformats.org/drawingml/2006/picture">
                <pic:pic>
                  <pic:nvPicPr>
                    <pic:cNvPr id="0" name="08-ci-observabilite.png"/>
                    <pic:cNvPicPr/>
                  </pic:nvPicPr>
                  <pic:blipFill>
                    <a:blip r:embed="rId10"/>
                    <a:stretch>
                      <a:fillRect/>
                    </a:stretch>
                  </pic:blipFill>
                  <pic:spPr>
                    <a:xfrm>
                      <a:off x="0" y="0"/>
                      <a:ext cx="5652000" cy="2779741"/>
                    </a:xfrm>
                    <a:prstGeom prst="rect"/>
                  </pic:spPr>
                </pic:pic>
              </a:graphicData>
            </a:graphic>
          </wp:inline>
        </w:drawing>
      </w:r>
    </w:p>
    <w:p>
      <w:pPr>
        <w:pStyle w:val="CYNACaption"/>
      </w:pPr>
      <w:r>
        <w:t>Pipeline de maintenance, déploiement et supervision</w:t>
      </w:r>
    </w:p>
    <w:p>
      <w:r>
        <w:t>Les permissions GitHub restent en lecture, et les exécutions obsolètes sont annulées. Une baisse du nombre de tests est expliquée dans le PR. Un audit high/critical ne peut être contourné sans décision de sécurité documentée et mesure compensatoire.</w:t>
      </w:r>
    </w:p>
    <w:p>
      <w:bookmarkStart w:id="5" w:name="h_5_Checklist_de_release"/>
      <w:pPr>
        <w:pStyle w:val="Heading2"/>
      </w:pPr>
      <w:r>
        <w:t>Checklist de release</w:t>
      </w:r>
      <w:bookmarkEnd w:id="5"/>
    </w:p>
    <w:p>
      <w:pPr>
        <w:pStyle w:val="ListNumber"/>
      </w:pPr>
      <w:r>
        <w:t>Confirmer la portée et l'absence de fichiers parasites ou secrets.</w:t>
      </w:r>
    </w:p>
    <w:p>
      <w:pPr>
        <w:pStyle w:val="ListNumber"/>
      </w:pPr>
      <w:r>
        <w:t>Vérifier migration, compatibilité des variables et mise à jour documentaire.</w:t>
      </w:r>
    </w:p>
    <w:p>
      <w:pPr>
        <w:pStyle w:val="ListNumber"/>
      </w:pPr>
      <w:r>
        <w:t xml:space="preserve">Exiger </w:t>
      </w:r>
      <w:r>
        <w:rPr>
          <w:rFonts w:ascii="Consolas" w:hAnsi="Consolas"/>
          <w:color w:val="4A339E"/>
          <w:sz w:val="18"/>
        </w:rPr>
        <w:t>CI / quality</w:t>
      </w:r>
      <w:r>
        <w:t xml:space="preserve"> vert sur le commit exact.</w:t>
      </w:r>
    </w:p>
    <w:p>
      <w:pPr>
        <w:pStyle w:val="ListNumber"/>
      </w:pPr>
      <w:r>
        <w:t>Exécuter le smoke test sur la preview avec services de test.</w:t>
      </w:r>
    </w:p>
    <w:p>
      <w:pPr>
        <w:pStyle w:val="ListNumber"/>
      </w:pPr>
      <w:r>
        <w:t>Vérifier Sentry et les alertes fournisseurs avant le changement.</w:t>
      </w:r>
    </w:p>
    <w:p>
      <w:pPr>
        <w:pStyle w:val="ListNumber"/>
      </w:pPr>
      <w:r>
        <w:t xml:space="preserve">Faire approuver puis fusionner </w:t>
      </w:r>
      <w:r>
        <w:rPr>
          <w:rFonts w:ascii="Consolas" w:hAnsi="Consolas"/>
          <w:color w:val="4A339E"/>
          <w:sz w:val="18"/>
        </w:rPr>
        <w:t>dev → prod</w:t>
      </w:r>
      <w:r>
        <w:t xml:space="preserve"> manuellement.</w:t>
      </w:r>
    </w:p>
    <w:p>
      <w:pPr>
        <w:pStyle w:val="ListNumber"/>
      </w:pPr>
      <w:r>
        <w:t>Contrôler le déploiement Netlify et relancer le smoke test production.</w:t>
      </w:r>
    </w:p>
    <w:p>
      <w:pPr>
        <w:pStyle w:val="ListNumber"/>
      </w:pPr>
      <w:r>
        <w:t>Observer erreurs et événements Stripe pendant la fenêtre de surveillance.</w:t>
      </w:r>
    </w:p>
    <w:p>
      <w:bookmarkStart w:id="6" w:name="h_6_D_ploiement_Netlify_et_rollb"/>
      <w:pPr>
        <w:pStyle w:val="Heading1"/>
      </w:pPr>
      <w:r>
        <w:t>Déploiement Netlify et rollback</w:t>
      </w:r>
      <w:bookmarkEnd w:id="6"/>
    </w:p>
    <w:p>
      <w:r>
        <w:rPr>
          <w:rFonts w:ascii="Consolas" w:hAnsi="Consolas"/>
          <w:color w:val="4A339E"/>
          <w:sz w:val="18"/>
        </w:rPr>
        <w:t>netlify.toml</w:t>
      </w:r>
      <w:r>
        <w:t xml:space="preserve"> fixe la base </w:t>
      </w:r>
      <w:r>
        <w:rPr>
          <w:rFonts w:ascii="Consolas" w:hAnsi="Consolas"/>
          <w:color w:val="4A339E"/>
          <w:sz w:val="18"/>
        </w:rPr>
        <w:t>webapp-cyna</w:t>
      </w:r>
      <w:r>
        <w:t xml:space="preserve">, le build </w:t>
      </w:r>
      <w:r>
        <w:rPr>
          <w:rFonts w:ascii="Consolas" w:hAnsi="Consolas"/>
          <w:color w:val="4A339E"/>
          <w:sz w:val="18"/>
        </w:rPr>
        <w:t>npm run build</w:t>
      </w:r>
      <w:r>
        <w:t xml:space="preserve">, la publication </w:t>
      </w:r>
      <w:r>
        <w:rPr>
          <w:rFonts w:ascii="Consolas" w:hAnsi="Consolas"/>
          <w:color w:val="4A339E"/>
          <w:sz w:val="18"/>
        </w:rPr>
        <w:t>.next</w:t>
      </w:r>
      <w:r>
        <w:t xml:space="preserve"> et Node 22. Netlify utilise </w:t>
      </w:r>
      <w:r>
        <w:rPr>
          <w:rFonts w:ascii="Consolas" w:hAnsi="Consolas"/>
          <w:color w:val="4A339E"/>
          <w:sz w:val="18"/>
        </w:rPr>
        <w:t>@netlify/plugin-nextjs</w:t>
      </w:r>
      <w:r>
        <w:t>, versionné dans les dépendances de développement. Les previews reçoivent des variables de test ; les clés live, le DSN Sentry et le jeton source maps sont limités au contexte Production.</w:t>
      </w:r>
    </w:p>
    <w:p>
      <w:pPr>
        <w:keepNext/>
        <w:jc w:val="center"/>
      </w:pPr>
      <w:r>
        <w:drawing>
          <wp:inline xmlns:a="http://schemas.openxmlformats.org/drawingml/2006/main" xmlns:pic="http://schemas.openxmlformats.org/drawingml/2006/picture">
            <wp:extent cx="5652000" cy="3496326"/>
            <wp:docPr id="3" name="Picture 3" descr="Déploiement Netlify et dépendances externes" title="Déploiement Netlify et dépendances externes"/>
            <wp:cNvGraphicFramePr>
              <a:graphicFrameLocks noChangeAspect="1"/>
            </wp:cNvGraphicFramePr>
            <a:graphic>
              <a:graphicData uri="http://schemas.openxmlformats.org/drawingml/2006/picture">
                <pic:pic>
                  <pic:nvPicPr>
                    <pic:cNvPr id="0" name="02-deploiement.png"/>
                    <pic:cNvPicPr/>
                  </pic:nvPicPr>
                  <pic:blipFill>
                    <a:blip r:embed="rId11"/>
                    <a:stretch>
                      <a:fillRect/>
                    </a:stretch>
                  </pic:blipFill>
                  <pic:spPr>
                    <a:xfrm>
                      <a:off x="0" y="0"/>
                      <a:ext cx="5652000" cy="3496326"/>
                    </a:xfrm>
                    <a:prstGeom prst="rect"/>
                  </pic:spPr>
                </pic:pic>
              </a:graphicData>
            </a:graphic>
          </wp:inline>
        </w:drawing>
      </w:r>
    </w:p>
    <w:p>
      <w:pPr>
        <w:pStyle w:val="CYNACaption"/>
      </w:pPr>
      <w:r>
        <w:t>Déploiement Netlify et dépendances externes</w:t>
      </w:r>
    </w:p>
    <w:p>
      <w:bookmarkStart w:id="7" w:name="h_7_Smoke_test"/>
      <w:pPr>
        <w:pStyle w:val="Heading2"/>
      </w:pPr>
      <w:r>
        <w:t>Smoke test</w:t>
      </w:r>
      <w:bookmarkEnd w:id="7"/>
    </w:p>
    <w:tbl>
      <w:tblPr>
        <w:tblW w:type="auto" w:w="0"/>
        <w:jc w:val="center"/>
        <w:tblLayout w:type="fixed"/>
        <w:tblLook w:firstColumn="1" w:firstRow="1" w:lastColumn="0" w:lastRow="0" w:noHBand="0" w:noVBand="1" w:val="04A0"/>
        <w:tblBorders>
          <w:top w:val="single" w:sz="5" w:color="C9C5DB"/>
          <w:left w:val="single" w:sz="5" w:color="C9C5DB"/>
          <w:bottom w:val="single" w:sz="5" w:color="C9C5DB"/>
          <w:right w:val="single" w:sz="5" w:color="C9C5DB"/>
          <w:insideH w:val="single" w:sz="5" w:color="C9C5DB"/>
          <w:insideV w:val="single" w:sz="5" w:color="C9C5DB"/>
        </w:tblBorders>
      </w:tblPr>
      <w:tblGrid>
        <w:gridCol w:w="2169"/>
        <w:gridCol w:w="7010"/>
      </w:tblGrid>
      <w:tr>
        <w:trPr>
          <w:tblHeader w:val="true"/>
        </w:trPr>
        <w:tc>
          <w:tcPr>
            <w:tcW w:type="dxa" w:w="2169"/>
            <w:tcMar>
              <w:top w:w="80" w:type="dxa"/>
              <w:start w:w="110" w:type="dxa"/>
              <w:bottom w:w="80" w:type="dxa"/>
              <w:end w:w="110" w:type="dxa"/>
            </w:tcMar>
            <w:vAlign w:val="center"/>
            <w:shd w:fill="E8EEF5"/>
          </w:tcPr>
          <w:p>
            <w:pPr>
              <w:spacing w:after="0" w:line="240" w:lineRule="auto"/>
            </w:pPr>
            <w:r>
              <w:rPr>
                <w:b/>
                <w:color w:val="302082"/>
                <w:sz w:val="17"/>
              </w:rPr>
              <w:t>Parcours</w:t>
            </w:r>
          </w:p>
        </w:tc>
        <w:tc>
          <w:tcPr>
            <w:tcW w:type="dxa" w:w="7010"/>
            <w:tcMar>
              <w:top w:w="80" w:type="dxa"/>
              <w:start w:w="110" w:type="dxa"/>
              <w:bottom w:w="80" w:type="dxa"/>
              <w:end w:w="110" w:type="dxa"/>
            </w:tcMar>
            <w:vAlign w:val="center"/>
            <w:shd w:fill="E8EEF5"/>
          </w:tcPr>
          <w:p>
            <w:pPr>
              <w:spacing w:after="0" w:line="240" w:lineRule="auto"/>
            </w:pPr>
            <w:r>
              <w:rPr>
                <w:b/>
                <w:color w:val="302082"/>
                <w:sz w:val="17"/>
              </w:rPr>
              <w:t>Résultat attendu</w:t>
            </w:r>
          </w:p>
        </w:tc>
      </w:tr>
      <w:tr>
        <w:tc>
          <w:tcPr>
            <w:tcW w:type="dxa" w:w="2169"/>
            <w:tcMar>
              <w:top w:w="80" w:type="dxa"/>
              <w:start w:w="110" w:type="dxa"/>
              <w:bottom w:w="80" w:type="dxa"/>
              <w:end w:w="110" w:type="dxa"/>
            </w:tcMar>
            <w:vAlign w:val="center"/>
          </w:tcPr>
          <w:p>
            <w:pPr>
              <w:spacing w:after="0" w:line="240" w:lineRule="auto"/>
            </w:pPr>
            <w:r>
              <w:rPr>
                <w:sz w:val="17"/>
              </w:rPr>
              <w:t>Accueil FR/EN</w:t>
            </w:r>
          </w:p>
        </w:tc>
        <w:tc>
          <w:tcPr>
            <w:tcW w:type="dxa" w:w="7010"/>
            <w:tcMar>
              <w:top w:w="80" w:type="dxa"/>
              <w:start w:w="110" w:type="dxa"/>
              <w:bottom w:w="80" w:type="dxa"/>
              <w:end w:w="110" w:type="dxa"/>
            </w:tcMar>
            <w:vAlign w:val="center"/>
          </w:tcPr>
          <w:p>
            <w:pPr>
              <w:spacing w:after="0" w:line="240" w:lineRule="auto"/>
            </w:pPr>
            <w:r>
              <w:rPr>
                <w:sz w:val="17"/>
              </w:rPr>
              <w:t>pages sans erreur, liens et contenus cohérents</w:t>
            </w:r>
          </w:p>
        </w:tc>
      </w:tr>
      <w:tr>
        <w:tc>
          <w:tcPr>
            <w:tcW w:type="dxa" w:w="2169"/>
            <w:tcMar>
              <w:top w:w="80" w:type="dxa"/>
              <w:start w:w="110" w:type="dxa"/>
              <w:bottom w:w="80" w:type="dxa"/>
              <w:end w:w="110" w:type="dxa"/>
            </w:tcMar>
            <w:vAlign w:val="center"/>
            <w:shd w:fill="F8F7FC"/>
          </w:tcPr>
          <w:p>
            <w:pPr>
              <w:spacing w:after="0" w:line="240" w:lineRule="auto"/>
            </w:pPr>
            <w:r>
              <w:rPr>
                <w:sz w:val="17"/>
              </w:rPr>
              <w:t>Recherche</w:t>
            </w:r>
          </w:p>
        </w:tc>
        <w:tc>
          <w:tcPr>
            <w:tcW w:type="dxa" w:w="7010"/>
            <w:tcMar>
              <w:top w:w="80" w:type="dxa"/>
              <w:start w:w="110" w:type="dxa"/>
              <w:bottom w:w="80" w:type="dxa"/>
              <w:end w:w="110" w:type="dxa"/>
            </w:tcMar>
            <w:vAlign w:val="center"/>
            <w:shd w:fill="F8F7FC"/>
          </w:tcPr>
          <w:p>
            <w:pPr>
              <w:spacing w:after="0" w:line="240" w:lineRule="auto"/>
            </w:pPr>
            <w:r>
              <w:rPr>
                <w:sz w:val="17"/>
              </w:rPr>
              <w:t>suggestions et résultats catalogue</w:t>
            </w:r>
          </w:p>
        </w:tc>
      </w:tr>
      <w:tr>
        <w:tc>
          <w:tcPr>
            <w:tcW w:type="dxa" w:w="2169"/>
            <w:tcMar>
              <w:top w:w="80" w:type="dxa"/>
              <w:start w:w="110" w:type="dxa"/>
              <w:bottom w:w="80" w:type="dxa"/>
              <w:end w:w="110" w:type="dxa"/>
            </w:tcMar>
            <w:vAlign w:val="center"/>
          </w:tcPr>
          <w:p>
            <w:pPr>
              <w:spacing w:after="0" w:line="240" w:lineRule="auto"/>
            </w:pPr>
            <w:r>
              <w:rPr>
                <w:sz w:val="17"/>
              </w:rPr>
              <w:t>Auth</w:t>
            </w:r>
          </w:p>
        </w:tc>
        <w:tc>
          <w:tcPr>
            <w:tcW w:type="dxa" w:w="7010"/>
            <w:tcMar>
              <w:top w:w="80" w:type="dxa"/>
              <w:start w:w="110" w:type="dxa"/>
              <w:bottom w:w="80" w:type="dxa"/>
              <w:end w:w="110" w:type="dxa"/>
            </w:tcMar>
            <w:vAlign w:val="center"/>
          </w:tcPr>
          <w:p>
            <w:pPr>
              <w:spacing w:after="0" w:line="240" w:lineRule="auto"/>
            </w:pPr>
            <w:r>
              <w:rPr>
                <w:sz w:val="17"/>
              </w:rPr>
              <w:t>callback, connexion, déconnexion et session</w:t>
            </w:r>
          </w:p>
        </w:tc>
      </w:tr>
      <w:tr>
        <w:tc>
          <w:tcPr>
            <w:tcW w:type="dxa" w:w="2169"/>
            <w:tcMar>
              <w:top w:w="80" w:type="dxa"/>
              <w:start w:w="110" w:type="dxa"/>
              <w:bottom w:w="80" w:type="dxa"/>
              <w:end w:w="110" w:type="dxa"/>
            </w:tcMar>
            <w:vAlign w:val="center"/>
            <w:shd w:fill="F8F7FC"/>
          </w:tcPr>
          <w:p>
            <w:pPr>
              <w:spacing w:after="0" w:line="240" w:lineRule="auto"/>
            </w:pPr>
            <w:r>
              <w:rPr>
                <w:sz w:val="17"/>
              </w:rPr>
              <w:t>Client</w:t>
            </w:r>
          </w:p>
        </w:tc>
        <w:tc>
          <w:tcPr>
            <w:tcW w:type="dxa" w:w="7010"/>
            <w:tcMar>
              <w:top w:w="80" w:type="dxa"/>
              <w:start w:w="110" w:type="dxa"/>
              <w:bottom w:w="80" w:type="dxa"/>
              <w:end w:w="110" w:type="dxa"/>
            </w:tcMar>
            <w:vAlign w:val="center"/>
            <w:shd w:fill="F8F7FC"/>
          </w:tcPr>
          <w:p>
            <w:pPr>
              <w:spacing w:after="0" w:line="240" w:lineRule="auto"/>
            </w:pPr>
            <w:r>
              <w:rPr>
                <w:sz w:val="17"/>
              </w:rPr>
              <w:t>profil, adresses, commandes, abonnements et factures</w:t>
            </w:r>
          </w:p>
        </w:tc>
      </w:tr>
      <w:tr>
        <w:tc>
          <w:tcPr>
            <w:tcW w:type="dxa" w:w="2169"/>
            <w:tcMar>
              <w:top w:w="80" w:type="dxa"/>
              <w:start w:w="110" w:type="dxa"/>
              <w:bottom w:w="80" w:type="dxa"/>
              <w:end w:w="110" w:type="dxa"/>
            </w:tcMar>
            <w:vAlign w:val="center"/>
          </w:tcPr>
          <w:p>
            <w:pPr>
              <w:spacing w:after="0" w:line="240" w:lineRule="auto"/>
            </w:pPr>
            <w:r>
              <w:rPr>
                <w:sz w:val="17"/>
              </w:rPr>
              <w:t>CynAI</w:t>
            </w:r>
          </w:p>
        </w:tc>
        <w:tc>
          <w:tcPr>
            <w:tcW w:type="dxa" w:w="7010"/>
            <w:tcMar>
              <w:top w:w="80" w:type="dxa"/>
              <w:start w:w="110" w:type="dxa"/>
              <w:bottom w:w="80" w:type="dxa"/>
              <w:end w:w="110" w:type="dxa"/>
            </w:tcMar>
            <w:vAlign w:val="center"/>
          </w:tcPr>
          <w:p>
            <w:pPr>
              <w:spacing w:after="0" w:line="240" w:lineRule="auto"/>
            </w:pPr>
            <w:r>
              <w:rPr>
                <w:sz w:val="17"/>
              </w:rPr>
              <w:t>conversation, texte, carte produit/catégorie, support et done</w:t>
            </w:r>
          </w:p>
        </w:tc>
      </w:tr>
      <w:tr>
        <w:tc>
          <w:tcPr>
            <w:tcW w:type="dxa" w:w="2169"/>
            <w:tcMar>
              <w:top w:w="80" w:type="dxa"/>
              <w:start w:w="110" w:type="dxa"/>
              <w:bottom w:w="80" w:type="dxa"/>
              <w:end w:w="110" w:type="dxa"/>
            </w:tcMar>
            <w:vAlign w:val="center"/>
            <w:shd w:fill="F8F7FC"/>
          </w:tcPr>
          <w:p>
            <w:pPr>
              <w:spacing w:after="0" w:line="240" w:lineRule="auto"/>
            </w:pPr>
            <w:r>
              <w:rPr>
                <w:sz w:val="17"/>
              </w:rPr>
              <w:t>Stripe test</w:t>
            </w:r>
          </w:p>
        </w:tc>
        <w:tc>
          <w:tcPr>
            <w:tcW w:type="dxa" w:w="7010"/>
            <w:tcMar>
              <w:top w:w="80" w:type="dxa"/>
              <w:start w:w="110" w:type="dxa"/>
              <w:bottom w:w="80" w:type="dxa"/>
              <w:end w:w="110" w:type="dxa"/>
            </w:tcMar>
            <w:vAlign w:val="center"/>
            <w:shd w:fill="F8F7FC"/>
          </w:tcPr>
          <w:p>
            <w:pPr>
              <w:spacing w:after="0" w:line="240" w:lineRule="auto"/>
            </w:pPr>
            <w:r>
              <w:rPr>
                <w:sz w:val="17"/>
              </w:rPr>
              <w:t>session, retour, webhook, finalisation et facture</w:t>
            </w:r>
          </w:p>
        </w:tc>
      </w:tr>
      <w:tr>
        <w:tc>
          <w:tcPr>
            <w:tcW w:type="dxa" w:w="2169"/>
            <w:tcMar>
              <w:top w:w="80" w:type="dxa"/>
              <w:start w:w="110" w:type="dxa"/>
              <w:bottom w:w="80" w:type="dxa"/>
              <w:end w:w="110" w:type="dxa"/>
            </w:tcMar>
            <w:vAlign w:val="center"/>
          </w:tcPr>
          <w:p>
            <w:pPr>
              <w:spacing w:after="0" w:line="240" w:lineRule="auto"/>
            </w:pPr>
            <w:r>
              <w:rPr>
                <w:sz w:val="17"/>
              </w:rPr>
              <w:t>BackOffice</w:t>
            </w:r>
          </w:p>
        </w:tc>
        <w:tc>
          <w:tcPr>
            <w:tcW w:type="dxa" w:w="7010"/>
            <w:tcMar>
              <w:top w:w="80" w:type="dxa"/>
              <w:start w:w="110" w:type="dxa"/>
              <w:bottom w:w="80" w:type="dxa"/>
              <w:end w:w="110" w:type="dxa"/>
            </w:tcMar>
            <w:vAlign w:val="center"/>
          </w:tcPr>
          <w:p>
            <w:pPr>
              <w:spacing w:after="0" w:line="240" w:lineRule="auto"/>
            </w:pPr>
            <w:r>
              <w:rPr>
                <w:sz w:val="17"/>
              </w:rPr>
              <w:t>MFA, gestion principale et rapport PDF</w:t>
            </w:r>
          </w:p>
        </w:tc>
      </w:tr>
      <w:tr>
        <w:tc>
          <w:tcPr>
            <w:tcW w:type="dxa" w:w="2169"/>
            <w:tcMar>
              <w:top w:w="80" w:type="dxa"/>
              <w:start w:w="110" w:type="dxa"/>
              <w:bottom w:w="80" w:type="dxa"/>
              <w:end w:w="110" w:type="dxa"/>
            </w:tcMar>
            <w:vAlign w:val="center"/>
            <w:shd w:fill="F8F7FC"/>
          </w:tcPr>
          <w:p>
            <w:pPr>
              <w:spacing w:after="0" w:line="240" w:lineRule="auto"/>
            </w:pPr>
            <w:r>
              <w:rPr>
                <w:sz w:val="17"/>
              </w:rPr>
              <w:t>Sentry</w:t>
            </w:r>
          </w:p>
        </w:tc>
        <w:tc>
          <w:tcPr>
            <w:tcW w:type="dxa" w:w="7010"/>
            <w:tcMar>
              <w:top w:w="80" w:type="dxa"/>
              <w:start w:w="110" w:type="dxa"/>
              <w:bottom w:w="80" w:type="dxa"/>
              <w:end w:w="110" w:type="dxa"/>
            </w:tcMar>
            <w:vAlign w:val="center"/>
            <w:shd w:fill="F8F7FC"/>
          </w:tcPr>
          <w:p>
            <w:pPr>
              <w:spacing w:after="0" w:line="240" w:lineRule="auto"/>
            </w:pPr>
            <w:r>
              <w:rPr>
                <w:sz w:val="17"/>
              </w:rPr>
              <w:t>erreur contrôlée filtrée avec source map lisible</w:t>
            </w:r>
          </w:p>
        </w:tc>
      </w:tr>
    </w:tbl>
    <w:p>
      <w:pPr>
        <w:spacing w:after="0"/>
      </w:pPr>
    </w:p>
    <w:p>
      <w:bookmarkStart w:id="8" w:name="h_8_Retour_arri_re"/>
      <w:pPr>
        <w:pStyle w:val="Heading2"/>
      </w:pPr>
      <w:r>
        <w:t>Retour arrière</w:t>
      </w:r>
      <w:bookmarkEnd w:id="8"/>
    </w:p>
    <w:p>
      <w:r>
        <w:t>Si le nouveau déploiement provoque une régression critique, restaurer le dernier déploiement Netlify sain. Cette action restaure le code et sa configuration de build, pas les mutations de données déjà exécutées. Geler les nouvelles migrations et changements Stripe, vérifier les webhooks en échec, puis déterminer si une migration corrective est nécessaire.</w:t>
      </w:r>
    </w:p>
    <w:p>
      <w:r>
        <w:t>Après restauration : relancer accueil, auth, recherche, checkout, webhook, compte, CynAI et rapport ; rejouer les événements Stripe sûrs ; vérifier Sentry ; communiquer l'état. Ne supprimer ni commande ni facture pour masquer une incohérence.</w:t>
      </w:r>
    </w:p>
    <w:p>
      <w:bookmarkStart w:id="9" w:name="h_9_Supervision_et_alertes"/>
      <w:pPr>
        <w:pStyle w:val="Heading1"/>
      </w:pPr>
      <w:r>
        <w:t>Supervision et alertes</w:t>
      </w:r>
      <w:bookmarkEnd w:id="9"/>
    </w:p>
    <w:p>
      <w:bookmarkStart w:id="10" w:name="h_10_Sentry"/>
      <w:pPr>
        <w:pStyle w:val="Heading2"/>
      </w:pPr>
      <w:r>
        <w:t>Sentry</w:t>
      </w:r>
      <w:bookmarkEnd w:id="10"/>
    </w:p>
    <w:p>
      <w:r>
        <w:t xml:space="preserve">Le projet CYNA reçoit les erreurs client, serveur et edge seulement lorsque le DSN est défini. Il n'enregistre ni traces, replay, logs ni PII par défaut. Une alerte e-mail couvre au minimum nouvelle erreur et régression. Les tags </w:t>
      </w:r>
      <w:r>
        <w:rPr>
          <w:rFonts w:ascii="Consolas" w:hAnsi="Consolas"/>
          <w:color w:val="4A339E"/>
          <w:sz w:val="18"/>
        </w:rPr>
        <w:t>area</w:t>
      </w:r>
      <w:r>
        <w:t xml:space="preserve"> et </w:t>
      </w:r>
      <w:r>
        <w:rPr>
          <w:rFonts w:ascii="Consolas" w:hAnsi="Consolas"/>
          <w:color w:val="4A339E"/>
          <w:sz w:val="18"/>
        </w:rPr>
        <w:t>stage</w:t>
      </w:r>
      <w:r>
        <w:t xml:space="preserve"> aident à distinguer chatbot, webhook, checkout et rapport.</w:t>
      </w:r>
    </w:p>
    <w:tbl>
      <w:tblPr>
        <w:tblW w:type="auto" w:w="0"/>
        <w:jc w:val="center"/>
        <w:tblLayout w:type="fixed"/>
        <w:tblLook w:firstColumn="1" w:firstRow="1" w:lastColumn="0" w:lastRow="0" w:noHBand="0" w:noVBand="1" w:val="04A0"/>
        <w:tblBorders>
          <w:top w:val="single" w:sz="5" w:color="C9C5DB"/>
          <w:left w:val="single" w:sz="5" w:color="C9C5DB"/>
          <w:bottom w:val="single" w:sz="5" w:color="C9C5DB"/>
          <w:right w:val="single" w:sz="5" w:color="C9C5DB"/>
          <w:insideH w:val="single" w:sz="5" w:color="C9C5DB"/>
          <w:insideV w:val="single" w:sz="5" w:color="C9C5DB"/>
        </w:tblBorders>
      </w:tblPr>
      <w:tblGrid>
        <w:gridCol w:w="2745"/>
        <w:gridCol w:w="2831"/>
        <w:gridCol w:w="3603"/>
      </w:tblGrid>
      <w:tr>
        <w:trPr>
          <w:tblHeader w:val="true"/>
        </w:trPr>
        <w:tc>
          <w:tcPr>
            <w:tcW w:type="dxa" w:w="2745"/>
            <w:tcMar>
              <w:top w:w="80" w:type="dxa"/>
              <w:start w:w="110" w:type="dxa"/>
              <w:bottom w:w="80" w:type="dxa"/>
              <w:end w:w="110" w:type="dxa"/>
            </w:tcMar>
            <w:vAlign w:val="center"/>
            <w:shd w:fill="E8EEF5"/>
          </w:tcPr>
          <w:p>
            <w:pPr>
              <w:spacing w:after="0" w:line="240" w:lineRule="auto"/>
            </w:pPr>
            <w:r>
              <w:rPr>
                <w:b/>
                <w:color w:val="302082"/>
                <w:sz w:val="17"/>
              </w:rPr>
              <w:t>Signal</w:t>
            </w:r>
          </w:p>
        </w:tc>
        <w:tc>
          <w:tcPr>
            <w:tcW w:type="dxa" w:w="2831"/>
            <w:tcMar>
              <w:top w:w="80" w:type="dxa"/>
              <w:start w:w="110" w:type="dxa"/>
              <w:bottom w:w="80" w:type="dxa"/>
              <w:end w:w="110" w:type="dxa"/>
            </w:tcMar>
            <w:vAlign w:val="center"/>
            <w:shd w:fill="E8EEF5"/>
          </w:tcPr>
          <w:p>
            <w:pPr>
              <w:spacing w:after="0" w:line="240" w:lineRule="auto"/>
            </w:pPr>
            <w:r>
              <w:rPr>
                <w:b/>
                <w:color w:val="302082"/>
                <w:sz w:val="17"/>
              </w:rPr>
              <w:t>Seuil indicatif</w:t>
            </w:r>
          </w:p>
        </w:tc>
        <w:tc>
          <w:tcPr>
            <w:tcW w:type="dxa" w:w="3603"/>
            <w:tcMar>
              <w:top w:w="80" w:type="dxa"/>
              <w:start w:w="110" w:type="dxa"/>
              <w:bottom w:w="80" w:type="dxa"/>
              <w:end w:w="110" w:type="dxa"/>
            </w:tcMar>
            <w:vAlign w:val="center"/>
            <w:shd w:fill="E8EEF5"/>
          </w:tcPr>
          <w:p>
            <w:pPr>
              <w:spacing w:after="0" w:line="240" w:lineRule="auto"/>
            </w:pPr>
            <w:r>
              <w:rPr>
                <w:b/>
                <w:color w:val="302082"/>
                <w:sz w:val="17"/>
              </w:rPr>
              <w:t>Première vérification</w:t>
            </w:r>
          </w:p>
        </w:tc>
      </w:tr>
      <w:tr>
        <w:tc>
          <w:tcPr>
            <w:tcW w:type="dxa" w:w="2745"/>
            <w:tcMar>
              <w:top w:w="80" w:type="dxa"/>
              <w:start w:w="110" w:type="dxa"/>
              <w:bottom w:w="80" w:type="dxa"/>
              <w:end w:w="110" w:type="dxa"/>
            </w:tcMar>
            <w:vAlign w:val="center"/>
          </w:tcPr>
          <w:p>
            <w:pPr>
              <w:spacing w:after="0" w:line="240" w:lineRule="auto"/>
            </w:pPr>
            <w:r>
              <w:rPr>
                <w:sz w:val="17"/>
              </w:rPr>
              <w:t>Nouvelle erreur checkout/webhook</w:t>
            </w:r>
          </w:p>
        </w:tc>
        <w:tc>
          <w:tcPr>
            <w:tcW w:type="dxa" w:w="2831"/>
            <w:tcMar>
              <w:top w:w="80" w:type="dxa"/>
              <w:start w:w="110" w:type="dxa"/>
              <w:bottom w:w="80" w:type="dxa"/>
              <w:end w:w="110" w:type="dxa"/>
            </w:tcMar>
            <w:vAlign w:val="center"/>
          </w:tcPr>
          <w:p>
            <w:pPr>
              <w:spacing w:after="0" w:line="240" w:lineRule="auto"/>
            </w:pPr>
            <w:r>
              <w:rPr>
                <w:sz w:val="17"/>
              </w:rPr>
              <w:t>toute occurrence production</w:t>
            </w:r>
          </w:p>
        </w:tc>
        <w:tc>
          <w:tcPr>
            <w:tcW w:type="dxa" w:w="3603"/>
            <w:tcMar>
              <w:top w:w="80" w:type="dxa"/>
              <w:start w:w="110" w:type="dxa"/>
              <w:bottom w:w="80" w:type="dxa"/>
              <w:end w:w="110" w:type="dxa"/>
            </w:tcMar>
            <w:vAlign w:val="center"/>
          </w:tcPr>
          <w:p>
            <w:pPr>
              <w:spacing w:after="0" w:line="240" w:lineRule="auto"/>
            </w:pPr>
            <w:r>
              <w:rPr>
                <w:sz w:val="17"/>
              </w:rPr>
              <w:t>type Stripe, déploiement, récurrence et données touchées</w:t>
            </w:r>
          </w:p>
        </w:tc>
      </w:tr>
      <w:tr>
        <w:tc>
          <w:tcPr>
            <w:tcW w:type="dxa" w:w="2745"/>
            <w:tcMar>
              <w:top w:w="80" w:type="dxa"/>
              <w:start w:w="110" w:type="dxa"/>
              <w:bottom w:w="80" w:type="dxa"/>
              <w:end w:w="110" w:type="dxa"/>
            </w:tcMar>
            <w:vAlign w:val="center"/>
            <w:shd w:fill="F8F7FC"/>
          </w:tcPr>
          <w:p>
            <w:pPr>
              <w:spacing w:after="0" w:line="240" w:lineRule="auto"/>
            </w:pPr>
            <w:r>
              <w:rPr>
                <w:sz w:val="17"/>
              </w:rPr>
              <w:t>Hausse erreurs chat</w:t>
            </w:r>
          </w:p>
        </w:tc>
        <w:tc>
          <w:tcPr>
            <w:tcW w:type="dxa" w:w="2831"/>
            <w:tcMar>
              <w:top w:w="80" w:type="dxa"/>
              <w:start w:w="110" w:type="dxa"/>
              <w:bottom w:w="80" w:type="dxa"/>
              <w:end w:w="110" w:type="dxa"/>
            </w:tcMar>
            <w:vAlign w:val="center"/>
            <w:shd w:fill="F8F7FC"/>
          </w:tcPr>
          <w:p>
            <w:pPr>
              <w:spacing w:after="0" w:line="240" w:lineRule="auto"/>
            </w:pPr>
            <w:r>
              <w:rPr>
                <w:sz w:val="17"/>
              </w:rPr>
              <w:t>plusieurs occurrences rapprochées</w:t>
            </w:r>
          </w:p>
        </w:tc>
        <w:tc>
          <w:tcPr>
            <w:tcW w:type="dxa" w:w="3603"/>
            <w:tcMar>
              <w:top w:w="80" w:type="dxa"/>
              <w:start w:w="110" w:type="dxa"/>
              <w:bottom w:w="80" w:type="dxa"/>
              <w:end w:w="110" w:type="dxa"/>
            </w:tcMar>
            <w:vAlign w:val="center"/>
            <w:shd w:fill="F8F7FC"/>
          </w:tcPr>
          <w:p>
            <w:pPr>
              <w:spacing w:after="0" w:line="240" w:lineRule="auto"/>
            </w:pPr>
            <w:r>
              <w:rPr>
                <w:sz w:val="17"/>
              </w:rPr>
              <w:t>quota Gemini, clé, persistance et taille des demandes</w:t>
            </w:r>
          </w:p>
        </w:tc>
      </w:tr>
      <w:tr>
        <w:tc>
          <w:tcPr>
            <w:tcW w:type="dxa" w:w="2745"/>
            <w:tcMar>
              <w:top w:w="80" w:type="dxa"/>
              <w:start w:w="110" w:type="dxa"/>
              <w:bottom w:w="80" w:type="dxa"/>
              <w:end w:w="110" w:type="dxa"/>
            </w:tcMar>
            <w:vAlign w:val="center"/>
          </w:tcPr>
          <w:p>
            <w:pPr>
              <w:spacing w:after="0" w:line="240" w:lineRule="auto"/>
            </w:pPr>
            <w:r>
              <w:rPr>
                <w:sz w:val="17"/>
              </w:rPr>
              <w:t>Rapport PDF en erreur</w:t>
            </w:r>
          </w:p>
        </w:tc>
        <w:tc>
          <w:tcPr>
            <w:tcW w:type="dxa" w:w="2831"/>
            <w:tcMar>
              <w:top w:w="80" w:type="dxa"/>
              <w:start w:w="110" w:type="dxa"/>
              <w:bottom w:w="80" w:type="dxa"/>
              <w:end w:w="110" w:type="dxa"/>
            </w:tcMar>
            <w:vAlign w:val="center"/>
          </w:tcPr>
          <w:p>
            <w:pPr>
              <w:spacing w:after="0" w:line="240" w:lineRule="auto"/>
            </w:pPr>
            <w:r>
              <w:rPr>
                <w:sz w:val="17"/>
              </w:rPr>
              <w:t>occurrence répétée</w:t>
            </w:r>
          </w:p>
        </w:tc>
        <w:tc>
          <w:tcPr>
            <w:tcW w:type="dxa" w:w="3603"/>
            <w:tcMar>
              <w:top w:w="80" w:type="dxa"/>
              <w:start w:w="110" w:type="dxa"/>
              <w:bottom w:w="80" w:type="dxa"/>
              <w:end w:w="110" w:type="dxa"/>
            </w:tcMar>
            <w:vAlign w:val="center"/>
          </w:tcPr>
          <w:p>
            <w:pPr>
              <w:spacing w:after="0" w:line="240" w:lineRule="auto"/>
            </w:pPr>
            <w:r>
              <w:rPr>
                <w:sz w:val="17"/>
              </w:rPr>
              <w:t>période, données, mémoire et rendu React PDF</w:t>
            </w:r>
          </w:p>
        </w:tc>
      </w:tr>
      <w:tr>
        <w:tc>
          <w:tcPr>
            <w:tcW w:type="dxa" w:w="2745"/>
            <w:tcMar>
              <w:top w:w="80" w:type="dxa"/>
              <w:start w:w="110" w:type="dxa"/>
              <w:bottom w:w="80" w:type="dxa"/>
              <w:end w:w="110" w:type="dxa"/>
            </w:tcMar>
            <w:vAlign w:val="center"/>
            <w:shd w:fill="F8F7FC"/>
          </w:tcPr>
          <w:p>
            <w:pPr>
              <w:spacing w:after="0" w:line="240" w:lineRule="auto"/>
            </w:pPr>
            <w:r>
              <w:rPr>
                <w:sz w:val="17"/>
              </w:rPr>
              <w:t>Erreur globale après release</w:t>
            </w:r>
          </w:p>
        </w:tc>
        <w:tc>
          <w:tcPr>
            <w:tcW w:type="dxa" w:w="2831"/>
            <w:tcMar>
              <w:top w:w="80" w:type="dxa"/>
              <w:start w:w="110" w:type="dxa"/>
              <w:bottom w:w="80" w:type="dxa"/>
              <w:end w:w="110" w:type="dxa"/>
            </w:tcMar>
            <w:vAlign w:val="center"/>
            <w:shd w:fill="F8F7FC"/>
          </w:tcPr>
          <w:p>
            <w:pPr>
              <w:spacing w:after="0" w:line="240" w:lineRule="auto"/>
            </w:pPr>
            <w:r>
              <w:rPr>
                <w:sz w:val="17"/>
              </w:rPr>
              <w:t>apparition corrélée au deploy</w:t>
            </w:r>
          </w:p>
        </w:tc>
        <w:tc>
          <w:tcPr>
            <w:tcW w:type="dxa" w:w="3603"/>
            <w:tcMar>
              <w:top w:w="80" w:type="dxa"/>
              <w:start w:w="110" w:type="dxa"/>
              <w:bottom w:w="80" w:type="dxa"/>
              <w:end w:w="110" w:type="dxa"/>
            </w:tcMar>
            <w:vAlign w:val="center"/>
            <w:shd w:fill="F8F7FC"/>
          </w:tcPr>
          <w:p>
            <w:pPr>
              <w:spacing w:after="0" w:line="240" w:lineRule="auto"/>
            </w:pPr>
            <w:r>
              <w:rPr>
                <w:sz w:val="17"/>
              </w:rPr>
              <w:t>stack source-mappée et diff release</w:t>
            </w:r>
          </w:p>
        </w:tc>
      </w:tr>
    </w:tbl>
    <w:p>
      <w:pPr>
        <w:spacing w:after="0"/>
      </w:pPr>
    </w:p>
    <w:p>
      <w:r>
        <w:t>Les événements ne doivent pas contenir de corps, cookie, authorization ou utilisateur. Une vérification de confidentialité suit toute mise à niveau majeure du SDK Sentry.</w:t>
      </w:r>
    </w:p>
    <w:p>
      <w:bookmarkStart w:id="11" w:name="h_11_Fournisseurs"/>
      <w:pPr>
        <w:pStyle w:val="Heading2"/>
      </w:pPr>
      <w:r>
        <w:t>Fournisseurs</w:t>
      </w:r>
      <w:bookmarkEnd w:id="11"/>
    </w:p>
    <w:p>
      <w:r>
        <w:t>Netlify signale les builds et fonctions en échec. Supabase fournit l'état base/auth et les journaux. Stripe Dashboard montre livraisons webhook, retries, paiements et abonnements. Google AI expose quotas et consommation. GitHub signale CI, Dependabot et alertes de sécurité. Un incident peut nécessiter de corréler l'heure UTC et les identifiants techniques entre plusieurs plateformes sans copier de PII dans le ticket interne.</w:t>
      </w:r>
    </w:p>
    <w:p>
      <w:pPr>
        <w:sectPr>
          <w:headerReference w:type="default" r:id="rId12"/>
          <w:footerReference w:type="default" r:id="rId13"/>
          <w:pgSz w:w="11906" w:h="16838"/>
          <w:pgMar w:top="1361" w:right="1361" w:bottom="1247" w:left="1361" w:header="709" w:footer="709" w:gutter="0"/>
          <w:cols w:space="720"/>
          <w:docGrid w:linePitch="360"/>
        </w:sectPr>
      </w:pPr>
    </w:p>
    <w:p>
      <w:bookmarkStart w:id="12" w:name="h_12_Calendrier_de_maintenance"/>
      <w:pPr>
        <w:pStyle w:val="Heading1"/>
      </w:pPr>
      <w:r>
        <w:t>Calendrier de maintenance</w:t>
      </w:r>
      <w:bookmarkEnd w:id="12"/>
    </w:p>
    <w:tbl>
      <w:tblPr>
        <w:tblW w:type="auto" w:w="0"/>
        <w:jc w:val="center"/>
        <w:tblLayout w:type="fixed"/>
        <w:tblLook w:firstColumn="1" w:firstRow="1" w:lastColumn="0" w:lastRow="0" w:noHBand="0" w:noVBand="1" w:val="04A0"/>
        <w:tblBorders>
          <w:top w:val="single" w:sz="5" w:color="C9C5DB"/>
          <w:left w:val="single" w:sz="5" w:color="C9C5DB"/>
          <w:bottom w:val="single" w:sz="5" w:color="C9C5DB"/>
          <w:right w:val="single" w:sz="5" w:color="C9C5DB"/>
          <w:insideH w:val="single" w:sz="5" w:color="C9C5DB"/>
          <w:insideV w:val="single" w:sz="5" w:color="C9C5DB"/>
        </w:tblBorders>
      </w:tblPr>
      <w:tblGrid>
        <w:gridCol w:w="2979"/>
        <w:gridCol w:w="6257"/>
        <w:gridCol w:w="5363"/>
      </w:tblGrid>
      <w:tr>
        <w:trPr>
          <w:tblHeader w:val="true"/>
        </w:trPr>
        <w:tc>
          <w:tcPr>
            <w:tcW w:type="dxa" w:w="2979"/>
            <w:tcMar>
              <w:top w:w="80" w:type="dxa"/>
              <w:start w:w="110" w:type="dxa"/>
              <w:bottom w:w="80" w:type="dxa"/>
              <w:end w:w="110" w:type="dxa"/>
            </w:tcMar>
            <w:vAlign w:val="center"/>
            <w:shd w:fill="E8EEF5"/>
          </w:tcPr>
          <w:p>
            <w:pPr>
              <w:spacing w:after="0" w:line="240" w:lineRule="auto"/>
            </w:pPr>
            <w:r>
              <w:rPr>
                <w:b/>
                <w:color w:val="302082"/>
                <w:sz w:val="17"/>
              </w:rPr>
              <w:t>Fréquence</w:t>
            </w:r>
          </w:p>
        </w:tc>
        <w:tc>
          <w:tcPr>
            <w:tcW w:type="dxa" w:w="6257"/>
            <w:tcMar>
              <w:top w:w="80" w:type="dxa"/>
              <w:start w:w="110" w:type="dxa"/>
              <w:bottom w:w="80" w:type="dxa"/>
              <w:end w:w="110" w:type="dxa"/>
            </w:tcMar>
            <w:vAlign w:val="center"/>
            <w:shd w:fill="E8EEF5"/>
          </w:tcPr>
          <w:p>
            <w:pPr>
              <w:spacing w:after="0" w:line="240" w:lineRule="auto"/>
            </w:pPr>
            <w:r>
              <w:rPr>
                <w:b/>
                <w:color w:val="302082"/>
                <w:sz w:val="17"/>
              </w:rPr>
              <w:t>Contrôles</w:t>
            </w:r>
          </w:p>
        </w:tc>
        <w:tc>
          <w:tcPr>
            <w:tcW w:type="dxa" w:w="5363"/>
            <w:tcMar>
              <w:top w:w="80" w:type="dxa"/>
              <w:start w:w="110" w:type="dxa"/>
              <w:bottom w:w="80" w:type="dxa"/>
              <w:end w:w="110" w:type="dxa"/>
            </w:tcMar>
            <w:vAlign w:val="center"/>
            <w:shd w:fill="E8EEF5"/>
          </w:tcPr>
          <w:p>
            <w:pPr>
              <w:spacing w:after="0" w:line="240" w:lineRule="auto"/>
            </w:pPr>
            <w:r>
              <w:rPr>
                <w:b/>
                <w:color w:val="302082"/>
                <w:sz w:val="17"/>
              </w:rPr>
              <w:t>Sortie attendue</w:t>
            </w:r>
          </w:p>
        </w:tc>
      </w:tr>
      <w:tr>
        <w:tc>
          <w:tcPr>
            <w:tcW w:type="dxa" w:w="2979"/>
            <w:tcMar>
              <w:top w:w="80" w:type="dxa"/>
              <w:start w:w="110" w:type="dxa"/>
              <w:bottom w:w="80" w:type="dxa"/>
              <w:end w:w="110" w:type="dxa"/>
            </w:tcMar>
            <w:vAlign w:val="center"/>
          </w:tcPr>
          <w:p>
            <w:pPr>
              <w:spacing w:after="0" w:line="240" w:lineRule="auto"/>
            </w:pPr>
            <w:r>
              <w:rPr>
                <w:sz w:val="17"/>
              </w:rPr>
              <w:t>À chaque PR</w:t>
            </w:r>
          </w:p>
        </w:tc>
        <w:tc>
          <w:tcPr>
            <w:tcW w:type="dxa" w:w="6257"/>
            <w:tcMar>
              <w:top w:w="80" w:type="dxa"/>
              <w:start w:w="110" w:type="dxa"/>
              <w:bottom w:w="80" w:type="dxa"/>
              <w:end w:w="110" w:type="dxa"/>
            </w:tcMar>
            <w:vAlign w:val="center"/>
          </w:tcPr>
          <w:p>
            <w:pPr>
              <w:spacing w:after="0" w:line="240" w:lineRule="auto"/>
            </w:pPr>
            <w:r>
              <w:rPr>
                <w:sz w:val="17"/>
              </w:rPr>
              <w:t>lint, tests, audit high, build, preview, diff secrets</w:t>
            </w:r>
          </w:p>
        </w:tc>
        <w:tc>
          <w:tcPr>
            <w:tcW w:type="dxa" w:w="5363"/>
            <w:tcMar>
              <w:top w:w="80" w:type="dxa"/>
              <w:start w:w="110" w:type="dxa"/>
              <w:bottom w:w="80" w:type="dxa"/>
              <w:end w:w="110" w:type="dxa"/>
            </w:tcMar>
            <w:vAlign w:val="center"/>
          </w:tcPr>
          <w:p>
            <w:pPr>
              <w:spacing w:after="0" w:line="240" w:lineRule="auto"/>
            </w:pPr>
            <w:r>
              <w:rPr>
                <w:sz w:val="17"/>
              </w:rPr>
              <w:t>statut CI vert et revue</w:t>
            </w:r>
          </w:p>
        </w:tc>
      </w:tr>
      <w:tr>
        <w:tc>
          <w:tcPr>
            <w:tcW w:type="dxa" w:w="2979"/>
            <w:tcMar>
              <w:top w:w="80" w:type="dxa"/>
              <w:start w:w="110" w:type="dxa"/>
              <w:bottom w:w="80" w:type="dxa"/>
              <w:end w:w="110" w:type="dxa"/>
            </w:tcMar>
            <w:vAlign w:val="center"/>
            <w:shd w:fill="F8F7FC"/>
          </w:tcPr>
          <w:p>
            <w:pPr>
              <w:spacing w:after="0" w:line="240" w:lineRule="auto"/>
            </w:pPr>
            <w:r>
              <w:rPr>
                <w:sz w:val="17"/>
              </w:rPr>
              <w:t>Après release</w:t>
            </w:r>
          </w:p>
        </w:tc>
        <w:tc>
          <w:tcPr>
            <w:tcW w:type="dxa" w:w="6257"/>
            <w:tcMar>
              <w:top w:w="80" w:type="dxa"/>
              <w:start w:w="110" w:type="dxa"/>
              <w:bottom w:w="80" w:type="dxa"/>
              <w:end w:w="110" w:type="dxa"/>
            </w:tcMar>
            <w:vAlign w:val="center"/>
            <w:shd w:fill="F8F7FC"/>
          </w:tcPr>
          <w:p>
            <w:pPr>
              <w:spacing w:after="0" w:line="240" w:lineRule="auto"/>
            </w:pPr>
            <w:r>
              <w:rPr>
                <w:sz w:val="17"/>
              </w:rPr>
              <w:t>smoke production, Sentry, Stripe, Netlify</w:t>
            </w:r>
          </w:p>
        </w:tc>
        <w:tc>
          <w:tcPr>
            <w:tcW w:type="dxa" w:w="5363"/>
            <w:tcMar>
              <w:top w:w="80" w:type="dxa"/>
              <w:start w:w="110" w:type="dxa"/>
              <w:bottom w:w="80" w:type="dxa"/>
              <w:end w:w="110" w:type="dxa"/>
            </w:tcMar>
            <w:vAlign w:val="center"/>
            <w:shd w:fill="F8F7FC"/>
          </w:tcPr>
          <w:p>
            <w:pPr>
              <w:spacing w:after="0" w:line="240" w:lineRule="auto"/>
            </w:pPr>
            <w:r>
              <w:rPr>
                <w:sz w:val="17"/>
              </w:rPr>
              <w:t>validation ou rollback documenté</w:t>
            </w:r>
          </w:p>
        </w:tc>
      </w:tr>
      <w:tr>
        <w:tc>
          <w:tcPr>
            <w:tcW w:type="dxa" w:w="2979"/>
            <w:tcMar>
              <w:top w:w="80" w:type="dxa"/>
              <w:start w:w="110" w:type="dxa"/>
              <w:bottom w:w="80" w:type="dxa"/>
              <w:end w:w="110" w:type="dxa"/>
            </w:tcMar>
            <w:vAlign w:val="center"/>
          </w:tcPr>
          <w:p>
            <w:pPr>
              <w:spacing w:after="0" w:line="240" w:lineRule="auto"/>
            </w:pPr>
            <w:r>
              <w:rPr>
                <w:sz w:val="17"/>
              </w:rPr>
              <w:t>Quotidien ouvré</w:t>
            </w:r>
          </w:p>
        </w:tc>
        <w:tc>
          <w:tcPr>
            <w:tcW w:type="dxa" w:w="6257"/>
            <w:tcMar>
              <w:top w:w="80" w:type="dxa"/>
              <w:start w:w="110" w:type="dxa"/>
              <w:bottom w:w="80" w:type="dxa"/>
              <w:end w:w="110" w:type="dxa"/>
            </w:tcMar>
            <w:vAlign w:val="center"/>
          </w:tcPr>
          <w:p>
            <w:pPr>
              <w:spacing w:after="0" w:line="240" w:lineRule="auto"/>
            </w:pPr>
            <w:r>
              <w:rPr>
                <w:sz w:val="17"/>
              </w:rPr>
              <w:t>nouvelles erreurs, webhooks en échec, disponibilité fournisseurs</w:t>
            </w:r>
          </w:p>
        </w:tc>
        <w:tc>
          <w:tcPr>
            <w:tcW w:type="dxa" w:w="5363"/>
            <w:tcMar>
              <w:top w:w="80" w:type="dxa"/>
              <w:start w:w="110" w:type="dxa"/>
              <w:bottom w:w="80" w:type="dxa"/>
              <w:end w:w="110" w:type="dxa"/>
            </w:tcMar>
            <w:vAlign w:val="center"/>
          </w:tcPr>
          <w:p>
            <w:pPr>
              <w:spacing w:after="0" w:line="240" w:lineRule="auto"/>
            </w:pPr>
            <w:r>
              <w:rPr>
                <w:sz w:val="17"/>
              </w:rPr>
              <w:t>incidents triés</w:t>
            </w:r>
          </w:p>
        </w:tc>
      </w:tr>
      <w:tr>
        <w:tc>
          <w:tcPr>
            <w:tcW w:type="dxa" w:w="2979"/>
            <w:tcMar>
              <w:top w:w="80" w:type="dxa"/>
              <w:start w:w="110" w:type="dxa"/>
              <w:bottom w:w="80" w:type="dxa"/>
              <w:end w:w="110" w:type="dxa"/>
            </w:tcMar>
            <w:vAlign w:val="center"/>
            <w:shd w:fill="F8F7FC"/>
          </w:tcPr>
          <w:p>
            <w:pPr>
              <w:spacing w:after="0" w:line="240" w:lineRule="auto"/>
            </w:pPr>
            <w:r>
              <w:rPr>
                <w:sz w:val="17"/>
              </w:rPr>
              <w:t>Hebdomadaire</w:t>
            </w:r>
          </w:p>
        </w:tc>
        <w:tc>
          <w:tcPr>
            <w:tcW w:type="dxa" w:w="6257"/>
            <w:tcMar>
              <w:top w:w="80" w:type="dxa"/>
              <w:start w:w="110" w:type="dxa"/>
              <w:bottom w:w="80" w:type="dxa"/>
              <w:end w:w="110" w:type="dxa"/>
            </w:tcMar>
            <w:vAlign w:val="center"/>
            <w:shd w:fill="F8F7FC"/>
          </w:tcPr>
          <w:p>
            <w:pPr>
              <w:spacing w:after="0" w:line="240" w:lineRule="auto"/>
            </w:pPr>
            <w:r>
              <w:rPr>
                <w:sz w:val="17"/>
              </w:rPr>
              <w:t>PR Dependabot, vulnérabilités, erreurs récurrentes, purge chat</w:t>
            </w:r>
          </w:p>
        </w:tc>
        <w:tc>
          <w:tcPr>
            <w:tcW w:type="dxa" w:w="5363"/>
            <w:tcMar>
              <w:top w:w="80" w:type="dxa"/>
              <w:start w:w="110" w:type="dxa"/>
              <w:bottom w:w="80" w:type="dxa"/>
              <w:end w:w="110" w:type="dxa"/>
            </w:tcMar>
            <w:vAlign w:val="center"/>
            <w:shd w:fill="F8F7FC"/>
          </w:tcPr>
          <w:p>
            <w:pPr>
              <w:spacing w:after="0" w:line="240" w:lineRule="auto"/>
            </w:pPr>
            <w:r>
              <w:rPr>
                <w:sz w:val="17"/>
              </w:rPr>
              <w:t>backlog mis à jour et purge vérifiée</w:t>
            </w:r>
          </w:p>
        </w:tc>
      </w:tr>
      <w:tr>
        <w:tc>
          <w:tcPr>
            <w:tcW w:type="dxa" w:w="2979"/>
            <w:tcMar>
              <w:top w:w="80" w:type="dxa"/>
              <w:start w:w="110" w:type="dxa"/>
              <w:bottom w:w="80" w:type="dxa"/>
              <w:end w:w="110" w:type="dxa"/>
            </w:tcMar>
            <w:vAlign w:val="center"/>
          </w:tcPr>
          <w:p>
            <w:pPr>
              <w:spacing w:after="0" w:line="240" w:lineRule="auto"/>
            </w:pPr>
            <w:r>
              <w:rPr>
                <w:sz w:val="17"/>
              </w:rPr>
              <w:t>Mensuel</w:t>
            </w:r>
          </w:p>
        </w:tc>
        <w:tc>
          <w:tcPr>
            <w:tcW w:type="dxa" w:w="6257"/>
            <w:tcMar>
              <w:top w:w="80" w:type="dxa"/>
              <w:start w:w="110" w:type="dxa"/>
              <w:bottom w:w="80" w:type="dxa"/>
              <w:end w:w="110" w:type="dxa"/>
            </w:tcMar>
            <w:vAlign w:val="center"/>
          </w:tcPr>
          <w:p>
            <w:pPr>
              <w:spacing w:after="0" w:line="240" w:lineRule="auto"/>
            </w:pPr>
            <w:r>
              <w:rPr>
                <w:sz w:val="17"/>
              </w:rPr>
              <w:t>réconciliation Stripe, restauration d'échantillon, quotas Gemini, coûts</w:t>
            </w:r>
          </w:p>
        </w:tc>
        <w:tc>
          <w:tcPr>
            <w:tcW w:type="dxa" w:w="5363"/>
            <w:tcMar>
              <w:top w:w="80" w:type="dxa"/>
              <w:start w:w="110" w:type="dxa"/>
              <w:bottom w:w="80" w:type="dxa"/>
              <w:end w:w="110" w:type="dxa"/>
            </w:tcMar>
            <w:vAlign w:val="center"/>
          </w:tcPr>
          <w:p>
            <w:pPr>
              <w:spacing w:after="0" w:line="240" w:lineRule="auto"/>
            </w:pPr>
            <w:r>
              <w:rPr>
                <w:sz w:val="17"/>
              </w:rPr>
              <w:t>rapport de contrôle</w:t>
            </w:r>
          </w:p>
        </w:tc>
      </w:tr>
      <w:tr>
        <w:tc>
          <w:tcPr>
            <w:tcW w:type="dxa" w:w="2979"/>
            <w:tcMar>
              <w:top w:w="80" w:type="dxa"/>
              <w:start w:w="110" w:type="dxa"/>
              <w:bottom w:w="80" w:type="dxa"/>
              <w:end w:w="110" w:type="dxa"/>
            </w:tcMar>
            <w:vAlign w:val="center"/>
            <w:shd w:fill="F8F7FC"/>
          </w:tcPr>
          <w:p>
            <w:pPr>
              <w:spacing w:after="0" w:line="240" w:lineRule="auto"/>
            </w:pPr>
            <w:r>
              <w:rPr>
                <w:sz w:val="17"/>
              </w:rPr>
              <w:t>Trimestriel</w:t>
            </w:r>
          </w:p>
        </w:tc>
        <w:tc>
          <w:tcPr>
            <w:tcW w:type="dxa" w:w="6257"/>
            <w:tcMar>
              <w:top w:w="80" w:type="dxa"/>
              <w:start w:w="110" w:type="dxa"/>
              <w:bottom w:w="80" w:type="dxa"/>
              <w:end w:w="110" w:type="dxa"/>
            </w:tcMar>
            <w:vAlign w:val="center"/>
            <w:shd w:fill="F8F7FC"/>
          </w:tcPr>
          <w:p>
            <w:pPr>
              <w:spacing w:after="0" w:line="240" w:lineRule="auto"/>
            </w:pPr>
            <w:r>
              <w:rPr>
                <w:sz w:val="17"/>
              </w:rPr>
              <w:t>accès admins/plateformes, secrets, RLS, rétention, dépendances majeures</w:t>
            </w:r>
          </w:p>
        </w:tc>
        <w:tc>
          <w:tcPr>
            <w:tcW w:type="dxa" w:w="5363"/>
            <w:tcMar>
              <w:top w:w="80" w:type="dxa"/>
              <w:start w:w="110" w:type="dxa"/>
              <w:bottom w:w="80" w:type="dxa"/>
              <w:end w:w="110" w:type="dxa"/>
            </w:tcMar>
            <w:vAlign w:val="center"/>
            <w:shd w:fill="F8F7FC"/>
          </w:tcPr>
          <w:p>
            <w:pPr>
              <w:spacing w:after="0" w:line="240" w:lineRule="auto"/>
            </w:pPr>
            <w:r>
              <w:rPr>
                <w:sz w:val="17"/>
              </w:rPr>
              <w:t>revue d'accès et risque</w:t>
            </w:r>
          </w:p>
        </w:tc>
      </w:tr>
      <w:tr>
        <w:tc>
          <w:tcPr>
            <w:tcW w:type="dxa" w:w="2979"/>
            <w:tcMar>
              <w:top w:w="80" w:type="dxa"/>
              <w:start w:w="110" w:type="dxa"/>
              <w:bottom w:w="80" w:type="dxa"/>
              <w:end w:w="110" w:type="dxa"/>
            </w:tcMar>
            <w:vAlign w:val="center"/>
          </w:tcPr>
          <w:p>
            <w:pPr>
              <w:spacing w:after="0" w:line="240" w:lineRule="auto"/>
            </w:pPr>
            <w:r>
              <w:rPr>
                <w:sz w:val="17"/>
              </w:rPr>
              <w:t>Avant montée majeure</w:t>
            </w:r>
          </w:p>
        </w:tc>
        <w:tc>
          <w:tcPr>
            <w:tcW w:type="dxa" w:w="6257"/>
            <w:tcMar>
              <w:top w:w="80" w:type="dxa"/>
              <w:start w:w="110" w:type="dxa"/>
              <w:bottom w:w="80" w:type="dxa"/>
              <w:end w:w="110" w:type="dxa"/>
            </w:tcMar>
            <w:vAlign w:val="center"/>
          </w:tcPr>
          <w:p>
            <w:pPr>
              <w:spacing w:after="0" w:line="240" w:lineRule="auto"/>
            </w:pPr>
            <w:r>
              <w:rPr>
                <w:sz w:val="17"/>
              </w:rPr>
              <w:t>guide migration, tests E2E, preview, rollback</w:t>
            </w:r>
          </w:p>
        </w:tc>
        <w:tc>
          <w:tcPr>
            <w:tcW w:type="dxa" w:w="5363"/>
            <w:tcMar>
              <w:top w:w="80" w:type="dxa"/>
              <w:start w:w="110" w:type="dxa"/>
              <w:bottom w:w="80" w:type="dxa"/>
              <w:end w:w="110" w:type="dxa"/>
            </w:tcMar>
            <w:vAlign w:val="center"/>
          </w:tcPr>
          <w:p>
            <w:pPr>
              <w:spacing w:after="0" w:line="240" w:lineRule="auto"/>
            </w:pPr>
            <w:r>
              <w:rPr>
                <w:sz w:val="17"/>
              </w:rPr>
              <w:t>décision d'architecture</w:t>
            </w:r>
          </w:p>
        </w:tc>
      </w:tr>
    </w:tbl>
    <w:p>
      <w:pPr>
        <w:spacing w:after="0"/>
      </w:pPr>
    </w:p>
    <w:p>
      <w:pPr>
        <w:sectPr>
          <w:headerReference w:type="default" r:id="rId14"/>
          <w:footerReference w:type="default" r:id="rId15"/>
          <w:pgSz w:w="16838" w:h="11906" w:orient="landscape"/>
          <w:pgMar w:top="1134" w:right="1020" w:bottom="1020" w:left="1020" w:header="709" w:footer="709" w:gutter="0"/>
          <w:cols w:space="720"/>
          <w:docGrid w:linePitch="360"/>
        </w:sectPr>
      </w:pPr>
    </w:p>
    <w:p>
      <w:bookmarkStart w:id="13" w:name="h_13_Base_de_donn_es__migrations_"/>
      <w:pPr>
        <w:pStyle w:val="Heading1"/>
      </w:pPr>
      <w:r>
        <w:t>Base de données, migrations et sauvegardes</w:t>
      </w:r>
      <w:bookmarkEnd w:id="13"/>
    </w:p>
    <w:p>
      <w:bookmarkStart w:id="14" w:name="h_14_Migration_contr_l_e"/>
      <w:pPr>
        <w:pStyle w:val="Heading2"/>
      </w:pPr>
      <w:r>
        <w:t>Migration contrôlée</w:t>
      </w:r>
      <w:bookmarkEnd w:id="14"/>
    </w:p>
    <w:p>
      <w:r>
        <w:t>Une migration est additive lorsque possible, idempotente à son niveau et testée sur un environnement réaliste. Le PR inclut SQL, impact RLS, stratégie de backfill, compatibilité ancienne/nouvelle version et retour arrière. Après application, les types TypeScript sont régénérés et le dictionnaire des 28 tables est mis à jour.</w:t>
      </w:r>
    </w:p>
    <w:p>
      <w:r>
        <w:t>Ordre recommandé : sauvegarde ou point de restauration vérifié, migration staging, tests d'autorisation et performance, déploiement du code compatible, migration production pendant la fenêtre prévue, smoke test, observation. Une suppression ou modification destructive nécessite une phase de dépréciation.</w:t>
      </w:r>
    </w:p>
    <w:p>
      <w:bookmarkStart w:id="15" w:name="h_15_Sauvegarde_et_restauration"/>
      <w:pPr>
        <w:pStyle w:val="Heading2"/>
      </w:pPr>
      <w:r>
        <w:t>Sauvegarde et restauration</w:t>
      </w:r>
      <w:bookmarkEnd w:id="15"/>
    </w:p>
    <w:p>
      <w:r>
        <w:t>Connaître la politique de sauvegarde effective du plan Supabase et la durée disponible ne suffit pas : une restauration doit être testée régulièrement dans un projet isolé. Le test vérifie schéma, données essentielles, RLS, fonctions, liens Storage et capacité de l'application à démarrer. Les clés d'environnement restauré restent de test.</w:t>
      </w:r>
    </w:p>
    <w:tbl>
      <w:tblPr>
        <w:tblW w:type="auto" w:w="0"/>
        <w:jc w:val="center"/>
        <w:tblLayout w:type="fixed"/>
        <w:tblLook w:firstColumn="1" w:firstRow="1" w:lastColumn="0" w:lastRow="0" w:noHBand="0" w:noVBand="1" w:val="04A0"/>
        <w:tblBorders>
          <w:top w:val="single" w:sz="5" w:color="C9C5DB"/>
          <w:left w:val="single" w:sz="5" w:color="C9C5DB"/>
          <w:bottom w:val="single" w:sz="5" w:color="C9C5DB"/>
          <w:right w:val="single" w:sz="5" w:color="C9C5DB"/>
          <w:insideH w:val="single" w:sz="5" w:color="C9C5DB"/>
          <w:insideV w:val="single" w:sz="5" w:color="C9C5DB"/>
        </w:tblBorders>
      </w:tblPr>
      <w:tblGrid>
        <w:gridCol w:w="4534"/>
        <w:gridCol w:w="4645"/>
      </w:tblGrid>
      <w:tr>
        <w:trPr>
          <w:tblHeader w:val="true"/>
        </w:trPr>
        <w:tc>
          <w:tcPr>
            <w:tcW w:type="dxa" w:w="4534"/>
            <w:tcMar>
              <w:top w:w="80" w:type="dxa"/>
              <w:start w:w="110" w:type="dxa"/>
              <w:bottom w:w="80" w:type="dxa"/>
              <w:end w:w="110" w:type="dxa"/>
            </w:tcMar>
            <w:vAlign w:val="center"/>
            <w:shd w:fill="E8EEF5"/>
          </w:tcPr>
          <w:p>
            <w:pPr>
              <w:spacing w:after="0" w:line="240" w:lineRule="auto"/>
            </w:pPr>
            <w:r>
              <w:rPr>
                <w:b/>
                <w:color w:val="302082"/>
                <w:sz w:val="17"/>
              </w:rPr>
              <w:t>Incident données</w:t>
            </w:r>
          </w:p>
        </w:tc>
        <w:tc>
          <w:tcPr>
            <w:tcW w:type="dxa" w:w="4645"/>
            <w:tcMar>
              <w:top w:w="80" w:type="dxa"/>
              <w:start w:w="110" w:type="dxa"/>
              <w:bottom w:w="80" w:type="dxa"/>
              <w:end w:w="110" w:type="dxa"/>
            </w:tcMar>
            <w:vAlign w:val="center"/>
            <w:shd w:fill="E8EEF5"/>
          </w:tcPr>
          <w:p>
            <w:pPr>
              <w:spacing w:after="0" w:line="240" w:lineRule="auto"/>
            </w:pPr>
            <w:r>
              <w:rPr>
                <w:b/>
                <w:color w:val="302082"/>
                <w:sz w:val="17"/>
              </w:rPr>
              <w:t>Action</w:t>
            </w:r>
          </w:p>
        </w:tc>
      </w:tr>
      <w:tr>
        <w:tc>
          <w:tcPr>
            <w:tcW w:type="dxa" w:w="4534"/>
            <w:tcMar>
              <w:top w:w="80" w:type="dxa"/>
              <w:start w:w="110" w:type="dxa"/>
              <w:bottom w:w="80" w:type="dxa"/>
              <w:end w:w="110" w:type="dxa"/>
            </w:tcMar>
            <w:vAlign w:val="center"/>
          </w:tcPr>
          <w:p>
            <w:pPr>
              <w:spacing w:after="0" w:line="240" w:lineRule="auto"/>
            </w:pPr>
            <w:r>
              <w:rPr>
                <w:sz w:val="17"/>
              </w:rPr>
              <w:t>Migration échouée sans mutation partielle</w:t>
            </w:r>
          </w:p>
        </w:tc>
        <w:tc>
          <w:tcPr>
            <w:tcW w:type="dxa" w:w="4645"/>
            <w:tcMar>
              <w:top w:w="80" w:type="dxa"/>
              <w:start w:w="110" w:type="dxa"/>
              <w:bottom w:w="80" w:type="dxa"/>
              <w:end w:w="110" w:type="dxa"/>
            </w:tcMar>
            <w:vAlign w:val="center"/>
          </w:tcPr>
          <w:p>
            <w:pPr>
              <w:spacing w:after="0" w:line="240" w:lineRule="auto"/>
            </w:pPr>
            <w:r>
              <w:rPr>
                <w:sz w:val="17"/>
              </w:rPr>
              <w:t>arrêter, diagnostiquer, corriger avant reprise</w:t>
            </w:r>
          </w:p>
        </w:tc>
      </w:tr>
      <w:tr>
        <w:tc>
          <w:tcPr>
            <w:tcW w:type="dxa" w:w="4534"/>
            <w:tcMar>
              <w:top w:w="80" w:type="dxa"/>
              <w:start w:w="110" w:type="dxa"/>
              <w:bottom w:w="80" w:type="dxa"/>
              <w:end w:w="110" w:type="dxa"/>
            </w:tcMar>
            <w:vAlign w:val="center"/>
            <w:shd w:fill="F8F7FC"/>
          </w:tcPr>
          <w:p>
            <w:pPr>
              <w:spacing w:after="0" w:line="240" w:lineRule="auto"/>
            </w:pPr>
            <w:r>
              <w:rPr>
                <w:sz w:val="17"/>
              </w:rPr>
              <w:t>Mutation partielle</w:t>
            </w:r>
          </w:p>
        </w:tc>
        <w:tc>
          <w:tcPr>
            <w:tcW w:type="dxa" w:w="4645"/>
            <w:tcMar>
              <w:top w:w="80" w:type="dxa"/>
              <w:start w:w="110" w:type="dxa"/>
              <w:bottom w:w="80" w:type="dxa"/>
              <w:end w:w="110" w:type="dxa"/>
            </w:tcMar>
            <w:vAlign w:val="center"/>
            <w:shd w:fill="F8F7FC"/>
          </w:tcPr>
          <w:p>
            <w:pPr>
              <w:spacing w:after="0" w:line="240" w:lineRule="auto"/>
            </w:pPr>
            <w:r>
              <w:rPr>
                <w:sz w:val="17"/>
              </w:rPr>
              <w:t>ne pas rejouer aveuglément ; établir l'état et utiliser une correction idempotente</w:t>
            </w:r>
          </w:p>
        </w:tc>
      </w:tr>
      <w:tr>
        <w:tc>
          <w:tcPr>
            <w:tcW w:type="dxa" w:w="4534"/>
            <w:tcMar>
              <w:top w:w="80" w:type="dxa"/>
              <w:start w:w="110" w:type="dxa"/>
              <w:bottom w:w="80" w:type="dxa"/>
              <w:end w:w="110" w:type="dxa"/>
            </w:tcMar>
            <w:vAlign w:val="center"/>
          </w:tcPr>
          <w:p>
            <w:pPr>
              <w:spacing w:after="0" w:line="240" w:lineRule="auto"/>
            </w:pPr>
            <w:r>
              <w:rPr>
                <w:sz w:val="17"/>
              </w:rPr>
              <w:t>Suppression accidentelle</w:t>
            </w:r>
          </w:p>
        </w:tc>
        <w:tc>
          <w:tcPr>
            <w:tcW w:type="dxa" w:w="4645"/>
            <w:tcMar>
              <w:top w:w="80" w:type="dxa"/>
              <w:start w:w="110" w:type="dxa"/>
              <w:bottom w:w="80" w:type="dxa"/>
              <w:end w:w="110" w:type="dxa"/>
            </w:tcMar>
            <w:vAlign w:val="center"/>
          </w:tcPr>
          <w:p>
            <w:pPr>
              <w:spacing w:after="0" w:line="240" w:lineRule="auto"/>
            </w:pPr>
            <w:r>
              <w:rPr>
                <w:sz w:val="17"/>
              </w:rPr>
              <w:t>isoler, restaurer vers un environnement séparé, extraire et valider la reprise</w:t>
            </w:r>
          </w:p>
        </w:tc>
      </w:tr>
      <w:tr>
        <w:tc>
          <w:tcPr>
            <w:tcW w:type="dxa" w:w="4534"/>
            <w:tcMar>
              <w:top w:w="80" w:type="dxa"/>
              <w:start w:w="110" w:type="dxa"/>
              <w:bottom w:w="80" w:type="dxa"/>
              <w:end w:w="110" w:type="dxa"/>
            </w:tcMar>
            <w:vAlign w:val="center"/>
            <w:shd w:fill="F8F7FC"/>
          </w:tcPr>
          <w:p>
            <w:pPr>
              <w:spacing w:after="0" w:line="240" w:lineRule="auto"/>
            </w:pPr>
            <w:r>
              <w:rPr>
                <w:sz w:val="17"/>
              </w:rPr>
              <w:t>Divergence Stripe</w:t>
            </w:r>
          </w:p>
        </w:tc>
        <w:tc>
          <w:tcPr>
            <w:tcW w:type="dxa" w:w="4645"/>
            <w:tcMar>
              <w:top w:w="80" w:type="dxa"/>
              <w:start w:w="110" w:type="dxa"/>
              <w:bottom w:w="80" w:type="dxa"/>
              <w:end w:w="110" w:type="dxa"/>
            </w:tcMar>
            <w:vAlign w:val="center"/>
            <w:shd w:fill="F8F7FC"/>
          </w:tcPr>
          <w:p>
            <w:pPr>
              <w:spacing w:after="0" w:line="240" w:lineRule="auto"/>
            </w:pPr>
            <w:r>
              <w:rPr>
                <w:sz w:val="17"/>
              </w:rPr>
              <w:t>comparer par identifiants externes et événements, puis réconcilier</w:t>
            </w:r>
          </w:p>
        </w:tc>
      </w:tr>
    </w:tbl>
    <w:p>
      <w:pPr>
        <w:spacing w:after="0"/>
      </w:pPr>
    </w:p>
    <w:p>
      <w:bookmarkStart w:id="16" w:name="h_16_Exploitation_Stripe"/>
      <w:pPr>
        <w:pStyle w:val="Heading1"/>
      </w:pPr>
      <w:r>
        <w:t>Exploitation Stripe</w:t>
      </w:r>
      <w:bookmarkEnd w:id="16"/>
    </w:p>
    <w:p>
      <w:r>
        <w:t>La réconciliation mensuelle compare les commandes finalisées, lignes, abonnements et factures avec Checkout, Billing et événements Stripe. Les scripts de backfill existants sont exécutés d'abord en lecture ou dry-run lorsqu'ils le permettent, avec un périmètre et une sauvegarde. Le résultat est contrôlé par échantillon et par totaux.</w:t>
      </w:r>
    </w:p>
    <w:p>
      <w:bookmarkStart w:id="17" w:name="h_17_Runbook_webhook_en__chec"/>
      <w:pPr>
        <w:pStyle w:val="Heading2"/>
      </w:pPr>
      <w:r>
        <w:t>Runbook webhook en échec</w:t>
      </w:r>
      <w:bookmarkEnd w:id="17"/>
    </w:p>
    <w:p>
      <w:pPr>
        <w:pStyle w:val="ListNumber"/>
      </w:pPr>
      <w:r>
        <w:t>Identifier événement, type, heure, réponse HTTP et nombre de retries dans Stripe.</w:t>
      </w:r>
    </w:p>
    <w:p>
      <w:pPr>
        <w:pStyle w:val="ListNumber"/>
      </w:pPr>
      <w:r>
        <w:t xml:space="preserve">Vérifier le déploiement actif, Sentry </w:t>
      </w:r>
      <w:r>
        <w:rPr>
          <w:rFonts w:ascii="Consolas" w:hAnsi="Consolas"/>
          <w:color w:val="4A339E"/>
          <w:sz w:val="18"/>
        </w:rPr>
        <w:t>area=stripe-webhook</w:t>
      </w:r>
      <w:r>
        <w:t xml:space="preserve"> et Supabase.</w:t>
      </w:r>
    </w:p>
    <w:p>
      <w:pPr>
        <w:pStyle w:val="ListNumber"/>
      </w:pPr>
      <w:r>
        <w:t>Corriger la cause avec un test de replay sur staging.</w:t>
      </w:r>
    </w:p>
    <w:p>
      <w:pPr>
        <w:pStyle w:val="ListNumber"/>
      </w:pPr>
      <w:r>
        <w:t>Déployer par le flux normal ou en procédure incident validée.</w:t>
      </w:r>
    </w:p>
    <w:p>
      <w:pPr>
        <w:pStyle w:val="ListNumber"/>
      </w:pPr>
      <w:r>
        <w:t>Rejouer l'événement depuis Stripe ; confirmer réponse 200 et absence de doublon.</w:t>
      </w:r>
    </w:p>
    <w:p>
      <w:pPr>
        <w:pStyle w:val="ListNumber"/>
      </w:pPr>
      <w:r>
        <w:t>Contrôler commande, abonnement, facture, Storage et écran client.</w:t>
      </w:r>
    </w:p>
    <w:p>
      <w:bookmarkStart w:id="18" w:name="h_18_Runbook_facture_absente"/>
      <w:pPr>
        <w:pStyle w:val="Heading2"/>
      </w:pPr>
      <w:r>
        <w:t>Runbook facture absente</w:t>
      </w:r>
      <w:bookmarkEnd w:id="18"/>
    </w:p>
    <w:p>
      <w:r>
        <w:t xml:space="preserve">Résoudre </w:t>
      </w:r>
      <w:r>
        <w:rPr>
          <w:rFonts w:ascii="Consolas" w:hAnsi="Consolas"/>
          <w:color w:val="4A339E"/>
          <w:sz w:val="18"/>
        </w:rPr>
        <w:t>stripe_invoice_id</w:t>
      </w:r>
      <w:r>
        <w:t xml:space="preserve">, abonnement, compte et commande. Vérifier </w:t>
      </w:r>
      <w:r>
        <w:rPr>
          <w:rFonts w:ascii="Consolas" w:hAnsi="Consolas"/>
          <w:color w:val="4A339E"/>
          <w:sz w:val="18"/>
        </w:rPr>
        <w:t>invoice_pdf</w:t>
      </w:r>
      <w:r>
        <w:t xml:space="preserve">, le bucket </w:t>
      </w:r>
      <w:r>
        <w:rPr>
          <w:rFonts w:ascii="Consolas" w:hAnsi="Consolas"/>
          <w:color w:val="4A339E"/>
          <w:sz w:val="18"/>
        </w:rPr>
        <w:t>invoice-pdf</w:t>
      </w:r>
      <w:r>
        <w:t xml:space="preserve">, la clé service role et </w:t>
      </w:r>
      <w:r>
        <w:rPr>
          <w:rFonts w:ascii="Consolas" w:hAnsi="Consolas"/>
          <w:color w:val="4A339E"/>
          <w:sz w:val="18"/>
        </w:rPr>
        <w:t>storage_path</w:t>
      </w:r>
      <w:r>
        <w:t>. Corriger puis rejouer l'événement de facture. Ne rendre le bucket public sous aucun prétexte de dépannage.</w:t>
      </w:r>
    </w:p>
    <w:p>
      <w:bookmarkStart w:id="19" w:name="h_19_Exploitation_CynAI"/>
      <w:pPr>
        <w:pStyle w:val="Heading1"/>
      </w:pPr>
      <w:r>
        <w:t>Exploitation CynAI</w:t>
      </w:r>
      <w:bookmarkEnd w:id="19"/>
    </w:p>
    <w:p>
      <w:r>
        <w:t>La santé du chatbot se mesure par erreurs API, erreurs Gemini, coût, temps de réponse, persistance et création de tickets. Le contenu utilisateur ne sert pas de métrique brute dans Sentry. Les conversations et messages de plus de 90 jours sont purgés par la RPC prévue ; l'exploitation doit ordonnancer cet appel, enregistrer date, durée et nombre de lignes, puis alerter en cas d'échec.</w:t>
      </w:r>
    </w:p>
    <w:p>
      <w:bookmarkStart w:id="20" w:name="h_20_Runbook_indisponibilit_"/>
      <w:pPr>
        <w:pStyle w:val="Heading2"/>
      </w:pPr>
      <w:r>
        <w:t>Runbook indisponibilité</w:t>
      </w:r>
      <w:bookmarkEnd w:id="20"/>
    </w:p>
    <w:tbl>
      <w:tblPr>
        <w:tblW w:type="auto" w:w="0"/>
        <w:jc w:val="center"/>
        <w:tblLayout w:type="fixed"/>
        <w:tblLook w:firstColumn="1" w:firstRow="1" w:lastColumn="0" w:lastRow="0" w:noHBand="0" w:noVBand="1" w:val="04A0"/>
        <w:tblBorders>
          <w:top w:val="single" w:sz="5" w:color="C9C5DB"/>
          <w:left w:val="single" w:sz="5" w:color="C9C5DB"/>
          <w:bottom w:val="single" w:sz="5" w:color="C9C5DB"/>
          <w:right w:val="single" w:sz="5" w:color="C9C5DB"/>
          <w:insideH w:val="single" w:sz="5" w:color="C9C5DB"/>
          <w:insideV w:val="single" w:sz="5" w:color="C9C5DB"/>
        </w:tblBorders>
      </w:tblPr>
      <w:tblGrid>
        <w:gridCol w:w="2040"/>
        <w:gridCol w:w="3570"/>
        <w:gridCol w:w="3570"/>
      </w:tblGrid>
      <w:tr>
        <w:trPr>
          <w:tblHeader w:val="true"/>
        </w:trPr>
        <w:tc>
          <w:tcPr>
            <w:tcW w:type="dxa" w:w="2040"/>
            <w:tcMar>
              <w:top w:w="80" w:type="dxa"/>
              <w:start w:w="110" w:type="dxa"/>
              <w:bottom w:w="80" w:type="dxa"/>
              <w:end w:w="110" w:type="dxa"/>
            </w:tcMar>
            <w:vAlign w:val="center"/>
            <w:shd w:fill="E8EEF5"/>
          </w:tcPr>
          <w:p>
            <w:pPr>
              <w:spacing w:after="0" w:line="240" w:lineRule="auto"/>
            </w:pPr>
            <w:r>
              <w:rPr>
                <w:b/>
                <w:color w:val="302082"/>
                <w:sz w:val="17"/>
              </w:rPr>
              <w:t>Symptôme</w:t>
            </w:r>
          </w:p>
        </w:tc>
        <w:tc>
          <w:tcPr>
            <w:tcW w:type="dxa" w:w="3570"/>
            <w:tcMar>
              <w:top w:w="80" w:type="dxa"/>
              <w:start w:w="110" w:type="dxa"/>
              <w:bottom w:w="80" w:type="dxa"/>
              <w:end w:w="110" w:type="dxa"/>
            </w:tcMar>
            <w:vAlign w:val="center"/>
            <w:shd w:fill="E8EEF5"/>
          </w:tcPr>
          <w:p>
            <w:pPr>
              <w:spacing w:after="0" w:line="240" w:lineRule="auto"/>
            </w:pPr>
            <w:r>
              <w:rPr>
                <w:b/>
                <w:color w:val="302082"/>
                <w:sz w:val="17"/>
              </w:rPr>
              <w:t>Vérifier</w:t>
            </w:r>
          </w:p>
        </w:tc>
        <w:tc>
          <w:tcPr>
            <w:tcW w:type="dxa" w:w="3570"/>
            <w:tcMar>
              <w:top w:w="80" w:type="dxa"/>
              <w:start w:w="110" w:type="dxa"/>
              <w:bottom w:w="80" w:type="dxa"/>
              <w:end w:w="110" w:type="dxa"/>
            </w:tcMar>
            <w:vAlign w:val="center"/>
            <w:shd w:fill="E8EEF5"/>
          </w:tcPr>
          <w:p>
            <w:pPr>
              <w:spacing w:after="0" w:line="240" w:lineRule="auto"/>
            </w:pPr>
            <w:r>
              <w:rPr>
                <w:b/>
                <w:color w:val="302082"/>
                <w:sz w:val="17"/>
              </w:rPr>
              <w:t>Action</w:t>
            </w:r>
          </w:p>
        </w:tc>
      </w:tr>
      <w:tr>
        <w:tc>
          <w:tcPr>
            <w:tcW w:type="dxa" w:w="2040"/>
            <w:tcMar>
              <w:top w:w="80" w:type="dxa"/>
              <w:start w:w="110" w:type="dxa"/>
              <w:bottom w:w="80" w:type="dxa"/>
              <w:end w:w="110" w:type="dxa"/>
            </w:tcMar>
            <w:vAlign w:val="center"/>
          </w:tcPr>
          <w:p>
            <w:pPr>
              <w:spacing w:after="0" w:line="240" w:lineRule="auto"/>
            </w:pPr>
            <w:r>
              <w:rPr>
                <w:sz w:val="17"/>
              </w:rPr>
              <w:t>Réponse 503 avant stream</w:t>
            </w:r>
          </w:p>
        </w:tc>
        <w:tc>
          <w:tcPr>
            <w:tcW w:type="dxa" w:w="3570"/>
            <w:tcMar>
              <w:top w:w="80" w:type="dxa"/>
              <w:start w:w="110" w:type="dxa"/>
              <w:bottom w:w="80" w:type="dxa"/>
              <w:end w:w="110" w:type="dxa"/>
            </w:tcMar>
            <w:vAlign w:val="center"/>
          </w:tcPr>
          <w:p>
            <w:pPr>
              <w:spacing w:after="0" w:line="240" w:lineRule="auto"/>
            </w:pPr>
            <w:r>
              <w:rPr>
                <w:sz w:val="17"/>
              </w:rPr>
              <w:t>Supabase, service role, conversation/RPC</w:t>
            </w:r>
          </w:p>
        </w:tc>
        <w:tc>
          <w:tcPr>
            <w:tcW w:type="dxa" w:w="3570"/>
            <w:tcMar>
              <w:top w:w="80" w:type="dxa"/>
              <w:start w:w="110" w:type="dxa"/>
              <w:bottom w:w="80" w:type="dxa"/>
              <w:end w:w="110" w:type="dxa"/>
            </w:tcMar>
            <w:vAlign w:val="center"/>
          </w:tcPr>
          <w:p>
            <w:pPr>
              <w:spacing w:after="0" w:line="240" w:lineRule="auto"/>
            </w:pPr>
            <w:r>
              <w:rPr>
                <w:sz w:val="17"/>
              </w:rPr>
              <w:t>restaurer persistance ; ne pas appeler Gemini sans historique fiable</w:t>
            </w:r>
          </w:p>
        </w:tc>
      </w:tr>
      <w:tr>
        <w:tc>
          <w:tcPr>
            <w:tcW w:type="dxa" w:w="2040"/>
            <w:tcMar>
              <w:top w:w="80" w:type="dxa"/>
              <w:start w:w="110" w:type="dxa"/>
              <w:bottom w:w="80" w:type="dxa"/>
              <w:end w:w="110" w:type="dxa"/>
            </w:tcMar>
            <w:vAlign w:val="center"/>
            <w:shd w:fill="F8F7FC"/>
          </w:tcPr>
          <w:p>
            <w:pPr>
              <w:spacing w:after="0" w:line="240" w:lineRule="auto"/>
            </w:pPr>
            <w:r>
              <w:rPr>
                <w:sz w:val="17"/>
              </w:rPr>
              <w:t xml:space="preserve">Événement </w:t>
            </w:r>
            <w:r>
              <w:rPr>
                <w:rFonts w:ascii="Consolas" w:hAnsi="Consolas"/>
                <w:color w:val="4A339E"/>
                <w:sz w:val="17"/>
              </w:rPr>
              <w:t>error</w:t>
            </w:r>
          </w:p>
        </w:tc>
        <w:tc>
          <w:tcPr>
            <w:tcW w:type="dxa" w:w="3570"/>
            <w:tcMar>
              <w:top w:w="80" w:type="dxa"/>
              <w:start w:w="110" w:type="dxa"/>
              <w:bottom w:w="80" w:type="dxa"/>
              <w:end w:w="110" w:type="dxa"/>
            </w:tcMar>
            <w:vAlign w:val="center"/>
            <w:shd w:fill="F8F7FC"/>
          </w:tcPr>
          <w:p>
            <w:pPr>
              <w:spacing w:after="0" w:line="240" w:lineRule="auto"/>
            </w:pPr>
            <w:r>
              <w:rPr>
                <w:sz w:val="17"/>
              </w:rPr>
              <w:t>quota/clé Gemini, réseau, exception outil</w:t>
            </w:r>
          </w:p>
        </w:tc>
        <w:tc>
          <w:tcPr>
            <w:tcW w:type="dxa" w:w="3570"/>
            <w:tcMar>
              <w:top w:w="80" w:type="dxa"/>
              <w:start w:w="110" w:type="dxa"/>
              <w:bottom w:w="80" w:type="dxa"/>
              <w:end w:w="110" w:type="dxa"/>
            </w:tcMar>
            <w:vAlign w:val="center"/>
            <w:shd w:fill="F8F7FC"/>
          </w:tcPr>
          <w:p>
            <w:pPr>
              <w:spacing w:after="0" w:line="240" w:lineRule="auto"/>
            </w:pPr>
            <w:r>
              <w:rPr>
                <w:sz w:val="17"/>
              </w:rPr>
              <w:t>corriger fournisseur ou outil ; afficher le message générique</w:t>
            </w:r>
          </w:p>
        </w:tc>
      </w:tr>
      <w:tr>
        <w:tc>
          <w:tcPr>
            <w:tcW w:type="dxa" w:w="2040"/>
            <w:tcMar>
              <w:top w:w="80" w:type="dxa"/>
              <w:start w:w="110" w:type="dxa"/>
              <w:bottom w:w="80" w:type="dxa"/>
              <w:end w:w="110" w:type="dxa"/>
            </w:tcMar>
            <w:vAlign w:val="center"/>
          </w:tcPr>
          <w:p>
            <w:pPr>
              <w:spacing w:after="0" w:line="240" w:lineRule="auto"/>
            </w:pPr>
            <w:r>
              <w:rPr>
                <w:sz w:val="17"/>
              </w:rPr>
              <w:t>Coût anormal</w:t>
            </w:r>
          </w:p>
        </w:tc>
        <w:tc>
          <w:tcPr>
            <w:tcW w:type="dxa" w:w="3570"/>
            <w:tcMar>
              <w:top w:w="80" w:type="dxa"/>
              <w:start w:w="110" w:type="dxa"/>
              <w:bottom w:w="80" w:type="dxa"/>
              <w:end w:w="110" w:type="dxa"/>
            </w:tcMar>
            <w:vAlign w:val="center"/>
          </w:tcPr>
          <w:p>
            <w:pPr>
              <w:spacing w:after="0" w:line="240" w:lineRule="auto"/>
            </w:pPr>
            <w:r>
              <w:rPr>
                <w:sz w:val="17"/>
              </w:rPr>
              <w:t>volume, taille des messages, boucle d'outils</w:t>
            </w:r>
          </w:p>
        </w:tc>
        <w:tc>
          <w:tcPr>
            <w:tcW w:type="dxa" w:w="3570"/>
            <w:tcMar>
              <w:top w:w="80" w:type="dxa"/>
              <w:start w:w="110" w:type="dxa"/>
              <w:bottom w:w="80" w:type="dxa"/>
              <w:end w:w="110" w:type="dxa"/>
            </w:tcMar>
            <w:vAlign w:val="center"/>
          </w:tcPr>
          <w:p>
            <w:pPr>
              <w:spacing w:after="0" w:line="240" w:lineRule="auto"/>
            </w:pPr>
            <w:r>
              <w:rPr>
                <w:sz w:val="17"/>
              </w:rPr>
              <w:t>limiter temporairement, révoquer clé si abus, prioriser rate limit</w:t>
            </w:r>
          </w:p>
        </w:tc>
      </w:tr>
      <w:tr>
        <w:tc>
          <w:tcPr>
            <w:tcW w:type="dxa" w:w="2040"/>
            <w:tcMar>
              <w:top w:w="80" w:type="dxa"/>
              <w:start w:w="110" w:type="dxa"/>
              <w:bottom w:w="80" w:type="dxa"/>
              <w:end w:w="110" w:type="dxa"/>
            </w:tcMar>
            <w:vAlign w:val="center"/>
            <w:shd w:fill="F8F7FC"/>
          </w:tcPr>
          <w:p>
            <w:pPr>
              <w:spacing w:after="0" w:line="240" w:lineRule="auto"/>
            </w:pPr>
            <w:r>
              <w:rPr>
                <w:sz w:val="17"/>
              </w:rPr>
              <w:t>Fuite potentielle</w:t>
            </w:r>
          </w:p>
        </w:tc>
        <w:tc>
          <w:tcPr>
            <w:tcW w:type="dxa" w:w="3570"/>
            <w:tcMar>
              <w:top w:w="80" w:type="dxa"/>
              <w:start w:w="110" w:type="dxa"/>
              <w:bottom w:w="80" w:type="dxa"/>
              <w:end w:w="110" w:type="dxa"/>
            </w:tcMar>
            <w:vAlign w:val="center"/>
            <w:shd w:fill="F8F7FC"/>
          </w:tcPr>
          <w:p>
            <w:pPr>
              <w:spacing w:after="0" w:line="240" w:lineRule="auto"/>
            </w:pPr>
            <w:r>
              <w:rPr>
                <w:sz w:val="17"/>
              </w:rPr>
              <w:t>prompt, métadonnées, Sentry, accès BackOffice</w:t>
            </w:r>
          </w:p>
        </w:tc>
        <w:tc>
          <w:tcPr>
            <w:tcW w:type="dxa" w:w="3570"/>
            <w:tcMar>
              <w:top w:w="80" w:type="dxa"/>
              <w:start w:w="110" w:type="dxa"/>
              <w:bottom w:w="80" w:type="dxa"/>
              <w:end w:w="110" w:type="dxa"/>
            </w:tcMar>
            <w:vAlign w:val="center"/>
            <w:shd w:fill="F8F7FC"/>
          </w:tcPr>
          <w:p>
            <w:pPr>
              <w:spacing w:after="0" w:line="240" w:lineRule="auto"/>
            </w:pPr>
            <w:r>
              <w:rPr>
                <w:sz w:val="17"/>
              </w:rPr>
              <w:t>contenir, préserver preuve, lancer procédure sécurité</w:t>
            </w:r>
          </w:p>
        </w:tc>
      </w:tr>
    </w:tbl>
    <w:p>
      <w:pPr>
        <w:spacing w:after="0"/>
      </w:pPr>
    </w:p>
    <w:p>
      <w:r>
        <w:t>Les limites techniques (pas de rate limiting, taille perfectible, conversation perdue au rechargement, tests API partiels) sont revues à chaque cycle. Le premier durcissement doit ajouter quotas, limite de taille, persistance locale sécurisée de l'identifiant et tests route/outils.</w:t>
      </w:r>
    </w:p>
    <w:p>
      <w:bookmarkStart w:id="21" w:name="h_21_D_pendances_et_obsolescence"/>
      <w:pPr>
        <w:pStyle w:val="Heading1"/>
      </w:pPr>
      <w:r>
        <w:t>Dépendances et obsolescence</w:t>
      </w:r>
      <w:bookmarkEnd w:id="21"/>
    </w:p>
    <w:p>
      <w:r>
        <w:t xml:space="preserve">Dependabot ouvre chaque semaine les mises à jour npm de </w:t>
      </w:r>
      <w:r>
        <w:rPr>
          <w:rFonts w:ascii="Consolas" w:hAnsi="Consolas"/>
          <w:color w:val="4A339E"/>
          <w:sz w:val="18"/>
        </w:rPr>
        <w:t>/webapp-cyna</w:t>
      </w:r>
      <w:r>
        <w:t xml:space="preserve"> vers </w:t>
      </w:r>
      <w:r>
        <w:rPr>
          <w:rFonts w:ascii="Consolas" w:hAnsi="Consolas"/>
          <w:color w:val="4A339E"/>
          <w:sz w:val="18"/>
        </w:rPr>
        <w:t>dev</w:t>
      </w:r>
      <w:r>
        <w:t>, regroupe patchs/minors et sépare majors. Les GitHub Actions sont surveillées séparément. Une PR de dépendance passe toute la CI et la preview ; une montée de Next.js, React, Supabase, Stripe, Sentry ou Gemini exige la lecture des notes officielles et un test ciblé.</w:t>
      </w:r>
    </w:p>
    <w:tbl>
      <w:tblPr>
        <w:tblW w:type="auto" w:w="0"/>
        <w:jc w:val="center"/>
        <w:tblLayout w:type="fixed"/>
        <w:tblLook w:firstColumn="1" w:firstRow="1" w:lastColumn="0" w:lastRow="0" w:noHBand="0" w:noVBand="1" w:val="04A0"/>
        <w:tblBorders>
          <w:top w:val="single" w:sz="5" w:color="C9C5DB"/>
          <w:left w:val="single" w:sz="5" w:color="C9C5DB"/>
          <w:bottom w:val="single" w:sz="5" w:color="C9C5DB"/>
          <w:right w:val="single" w:sz="5" w:color="C9C5DB"/>
          <w:insideH w:val="single" w:sz="5" w:color="C9C5DB"/>
          <w:insideV w:val="single" w:sz="5" w:color="C9C5DB"/>
        </w:tblBorders>
      </w:tblPr>
      <w:tblGrid>
        <w:gridCol w:w="3425"/>
        <w:gridCol w:w="5754"/>
      </w:tblGrid>
      <w:tr>
        <w:trPr>
          <w:tblHeader w:val="true"/>
        </w:trPr>
        <w:tc>
          <w:tcPr>
            <w:tcW w:type="dxa" w:w="3425"/>
            <w:tcMar>
              <w:top w:w="80" w:type="dxa"/>
              <w:start w:w="110" w:type="dxa"/>
              <w:bottom w:w="80" w:type="dxa"/>
              <w:end w:w="110" w:type="dxa"/>
            </w:tcMar>
            <w:vAlign w:val="center"/>
            <w:shd w:fill="E8EEF5"/>
          </w:tcPr>
          <w:p>
            <w:pPr>
              <w:spacing w:after="0" w:line="240" w:lineRule="auto"/>
            </w:pPr>
            <w:r>
              <w:rPr>
                <w:b/>
                <w:color w:val="302082"/>
                <w:sz w:val="17"/>
              </w:rPr>
              <w:t>Catégorie</w:t>
            </w:r>
          </w:p>
        </w:tc>
        <w:tc>
          <w:tcPr>
            <w:tcW w:type="dxa" w:w="5754"/>
            <w:tcMar>
              <w:top w:w="80" w:type="dxa"/>
              <w:start w:w="110" w:type="dxa"/>
              <w:bottom w:w="80" w:type="dxa"/>
              <w:end w:w="110" w:type="dxa"/>
            </w:tcMar>
            <w:vAlign w:val="center"/>
            <w:shd w:fill="E8EEF5"/>
          </w:tcPr>
          <w:p>
            <w:pPr>
              <w:spacing w:after="0" w:line="240" w:lineRule="auto"/>
            </w:pPr>
            <w:r>
              <w:rPr>
                <w:b/>
                <w:color w:val="302082"/>
                <w:sz w:val="17"/>
              </w:rPr>
              <w:t>Politique</w:t>
            </w:r>
          </w:p>
        </w:tc>
      </w:tr>
      <w:tr>
        <w:tc>
          <w:tcPr>
            <w:tcW w:type="dxa" w:w="3425"/>
            <w:tcMar>
              <w:top w:w="80" w:type="dxa"/>
              <w:start w:w="110" w:type="dxa"/>
              <w:bottom w:w="80" w:type="dxa"/>
              <w:end w:w="110" w:type="dxa"/>
            </w:tcMar>
            <w:vAlign w:val="center"/>
          </w:tcPr>
          <w:p>
            <w:pPr>
              <w:spacing w:after="0" w:line="240" w:lineRule="auto"/>
            </w:pPr>
            <w:r>
              <w:rPr>
                <w:sz w:val="17"/>
              </w:rPr>
              <w:t>Patch/minor</w:t>
            </w:r>
          </w:p>
        </w:tc>
        <w:tc>
          <w:tcPr>
            <w:tcW w:type="dxa" w:w="5754"/>
            <w:tcMar>
              <w:top w:w="80" w:type="dxa"/>
              <w:start w:w="110" w:type="dxa"/>
              <w:bottom w:w="80" w:type="dxa"/>
              <w:end w:w="110" w:type="dxa"/>
            </w:tcMar>
            <w:vAlign w:val="center"/>
          </w:tcPr>
          <w:p>
            <w:pPr>
              <w:spacing w:after="0" w:line="240" w:lineRule="auto"/>
            </w:pPr>
            <w:r>
              <w:rPr>
                <w:sz w:val="17"/>
              </w:rPr>
              <w:t>regrouper si risque compatible, tester et fusionner régulièrement</w:t>
            </w:r>
          </w:p>
        </w:tc>
      </w:tr>
      <w:tr>
        <w:tc>
          <w:tcPr>
            <w:tcW w:type="dxa" w:w="3425"/>
            <w:tcMar>
              <w:top w:w="80" w:type="dxa"/>
              <w:start w:w="110" w:type="dxa"/>
              <w:bottom w:w="80" w:type="dxa"/>
              <w:end w:w="110" w:type="dxa"/>
            </w:tcMar>
            <w:vAlign w:val="center"/>
            <w:shd w:fill="F8F7FC"/>
          </w:tcPr>
          <w:p>
            <w:pPr>
              <w:spacing w:after="0" w:line="240" w:lineRule="auto"/>
            </w:pPr>
            <w:r>
              <w:rPr>
                <w:sz w:val="17"/>
              </w:rPr>
              <w:t>Major</w:t>
            </w:r>
          </w:p>
        </w:tc>
        <w:tc>
          <w:tcPr>
            <w:tcW w:type="dxa" w:w="5754"/>
            <w:tcMar>
              <w:top w:w="80" w:type="dxa"/>
              <w:start w:w="110" w:type="dxa"/>
              <w:bottom w:w="80" w:type="dxa"/>
              <w:end w:w="110" w:type="dxa"/>
            </w:tcMar>
            <w:vAlign w:val="center"/>
            <w:shd w:fill="F8F7FC"/>
          </w:tcPr>
          <w:p>
            <w:pPr>
              <w:spacing w:after="0" w:line="240" w:lineRule="auto"/>
            </w:pPr>
            <w:r>
              <w:rPr>
                <w:sz w:val="17"/>
              </w:rPr>
              <w:t>PR isolée, plan de migration et rollback</w:t>
            </w:r>
          </w:p>
        </w:tc>
      </w:tr>
      <w:tr>
        <w:tc>
          <w:tcPr>
            <w:tcW w:type="dxa" w:w="3425"/>
            <w:tcMar>
              <w:top w:w="80" w:type="dxa"/>
              <w:start w:w="110" w:type="dxa"/>
              <w:bottom w:w="80" w:type="dxa"/>
              <w:end w:w="110" w:type="dxa"/>
            </w:tcMar>
            <w:vAlign w:val="center"/>
          </w:tcPr>
          <w:p>
            <w:pPr>
              <w:spacing w:after="0" w:line="240" w:lineRule="auto"/>
            </w:pPr>
            <w:r>
              <w:rPr>
                <w:sz w:val="17"/>
              </w:rPr>
              <w:t>Haute/critique production</w:t>
            </w:r>
          </w:p>
        </w:tc>
        <w:tc>
          <w:tcPr>
            <w:tcW w:type="dxa" w:w="5754"/>
            <w:tcMar>
              <w:top w:w="80" w:type="dxa"/>
              <w:start w:w="110" w:type="dxa"/>
              <w:bottom w:w="80" w:type="dxa"/>
              <w:end w:w="110" w:type="dxa"/>
            </w:tcMar>
            <w:vAlign w:val="center"/>
          </w:tcPr>
          <w:p>
            <w:pPr>
              <w:spacing w:after="0" w:line="240" w:lineRule="auto"/>
            </w:pPr>
            <w:r>
              <w:rPr>
                <w:sz w:val="17"/>
              </w:rPr>
              <w:t>triage immédiat, correctif non forcé préféré</w:t>
            </w:r>
          </w:p>
        </w:tc>
      </w:tr>
      <w:tr>
        <w:tc>
          <w:tcPr>
            <w:tcW w:type="dxa" w:w="3425"/>
            <w:tcMar>
              <w:top w:w="80" w:type="dxa"/>
              <w:start w:w="110" w:type="dxa"/>
              <w:bottom w:w="80" w:type="dxa"/>
              <w:end w:w="110" w:type="dxa"/>
            </w:tcMar>
            <w:vAlign w:val="center"/>
            <w:shd w:fill="F8F7FC"/>
          </w:tcPr>
          <w:p>
            <w:pPr>
              <w:spacing w:after="0" w:line="240" w:lineRule="auto"/>
            </w:pPr>
            <w:r>
              <w:rPr>
                <w:sz w:val="17"/>
              </w:rPr>
              <w:t>Modérée transitive</w:t>
            </w:r>
          </w:p>
        </w:tc>
        <w:tc>
          <w:tcPr>
            <w:tcW w:type="dxa" w:w="5754"/>
            <w:tcMar>
              <w:top w:w="80" w:type="dxa"/>
              <w:start w:w="110" w:type="dxa"/>
              <w:bottom w:w="80" w:type="dxa"/>
              <w:end w:w="110" w:type="dxa"/>
            </w:tcMar>
            <w:vAlign w:val="center"/>
            <w:shd w:fill="F8F7FC"/>
          </w:tcPr>
          <w:p>
            <w:pPr>
              <w:spacing w:after="0" w:line="240" w:lineRule="auto"/>
            </w:pPr>
            <w:r>
              <w:rPr>
                <w:sz w:val="17"/>
              </w:rPr>
              <w:t>documenter exposition et suivre l'amont</w:t>
            </w:r>
          </w:p>
        </w:tc>
      </w:tr>
      <w:tr>
        <w:tc>
          <w:tcPr>
            <w:tcW w:type="dxa" w:w="3425"/>
            <w:tcMar>
              <w:top w:w="80" w:type="dxa"/>
              <w:start w:w="110" w:type="dxa"/>
              <w:bottom w:w="80" w:type="dxa"/>
              <w:end w:w="110" w:type="dxa"/>
            </w:tcMar>
            <w:vAlign w:val="center"/>
          </w:tcPr>
          <w:p>
            <w:pPr>
              <w:spacing w:after="0" w:line="240" w:lineRule="auto"/>
            </w:pPr>
            <w:r>
              <w:rPr>
                <w:sz w:val="17"/>
              </w:rPr>
              <w:t>Action GitHub</w:t>
            </w:r>
          </w:p>
        </w:tc>
        <w:tc>
          <w:tcPr>
            <w:tcW w:type="dxa" w:w="5754"/>
            <w:tcMar>
              <w:top w:w="80" w:type="dxa"/>
              <w:start w:w="110" w:type="dxa"/>
              <w:bottom w:w="80" w:type="dxa"/>
              <w:end w:w="110" w:type="dxa"/>
            </w:tcMar>
            <w:vAlign w:val="center"/>
          </w:tcPr>
          <w:p>
            <w:pPr>
              <w:spacing w:after="0" w:line="240" w:lineRule="auto"/>
            </w:pPr>
            <w:r>
              <w:rPr>
                <w:sz w:val="17"/>
              </w:rPr>
              <w:t>vérifier provenance, permissions et changements de runtime</w:t>
            </w:r>
          </w:p>
        </w:tc>
      </w:tr>
    </w:tbl>
    <w:p>
      <w:pPr>
        <w:spacing w:after="0"/>
      </w:pPr>
    </w:p>
    <w:p>
      <w:r>
        <w:rPr>
          <w:rFonts w:ascii="Consolas" w:hAnsi="Consolas"/>
          <w:color w:val="4A339E"/>
          <w:sz w:val="18"/>
        </w:rPr>
        <w:t>npm audit fix --force</w:t>
      </w:r>
      <w:r>
        <w:t xml:space="preserve"> n'est pas une routine. Le lockfile fait partie du changement et doit rester reproductible avec </w:t>
      </w:r>
      <w:r>
        <w:rPr>
          <w:rFonts w:ascii="Consolas" w:hAnsi="Consolas"/>
          <w:color w:val="4A339E"/>
          <w:sz w:val="18"/>
        </w:rPr>
        <w:t>npm ci</w:t>
      </w:r>
      <w:r>
        <w:t>. Le graphe, les alertes et mises à jour de sécurité GitHub sont activés manuellement dans les paramètres du dépôt.</w:t>
      </w:r>
    </w:p>
    <w:p>
      <w:bookmarkStart w:id="22" w:name="h_22_Runbooks_d_incident"/>
      <w:pPr>
        <w:pStyle w:val="Heading1"/>
      </w:pPr>
      <w:r>
        <w:t>Runbooks d'incident</w:t>
      </w:r>
      <w:bookmarkEnd w:id="22"/>
    </w:p>
    <w:p>
      <w:bookmarkStart w:id="23" w:name="h_23_D_ploiement_cass_"/>
      <w:pPr>
        <w:pStyle w:val="Heading2"/>
      </w:pPr>
      <w:r>
        <w:t>Déploiement cassé</w:t>
      </w:r>
      <w:bookmarkEnd w:id="23"/>
    </w:p>
    <w:p>
      <w:r>
        <w:t>Restaurer le deploy précédent si le parcours critique est touché. Capturer le commit, l'heure, la preview et l'erreur source-mappée. Corriger sur branche, exécuter CI et smoke, puis redéployer. Vérifier que la restauration n'a pas désynchronisé une migration ou un webhook.</w:t>
      </w:r>
    </w:p>
    <w:p>
      <w:bookmarkStart w:id="24" w:name="h_24_Secret_compromis"/>
      <w:pPr>
        <w:pStyle w:val="Heading2"/>
      </w:pPr>
      <w:r>
        <w:t>Secret compromis</w:t>
      </w:r>
      <w:bookmarkEnd w:id="24"/>
    </w:p>
    <w:p>
      <w:r>
        <w:t>Révoquer le secret, créer une valeur de remplacement, mettre à jour le bon contexte et redéployer. Examiner les journaux du fournisseur pendant la fenêtre, vérifier les données et informer sécurité/DPO. Un secret committé reste compromis même après suppression du fichier.</w:t>
      </w:r>
    </w:p>
    <w:p>
      <w:bookmarkStart w:id="25" w:name="h_25_Compte_administrateur_compro"/>
      <w:pPr>
        <w:pStyle w:val="Heading2"/>
      </w:pPr>
      <w:r>
        <w:t>Compte administrateur compromis</w:t>
      </w:r>
      <w:bookmarkEnd w:id="25"/>
    </w:p>
    <w:p>
      <w:r>
        <w:t xml:space="preserve">Désactiver </w:t>
      </w:r>
      <w:r>
        <w:rPr>
          <w:rFonts w:ascii="Consolas" w:hAnsi="Consolas"/>
          <w:color w:val="4A339E"/>
          <w:sz w:val="18"/>
        </w:rPr>
        <w:t>utilisateur.is_actif</w:t>
      </w:r>
      <w:r>
        <w:t xml:space="preserve">, révoquer les sessions/facteurs, retirer les accès plateforme, préserver </w:t>
      </w:r>
      <w:r>
        <w:rPr>
          <w:rFonts w:ascii="Consolas" w:hAnsi="Consolas"/>
          <w:color w:val="4A339E"/>
          <w:sz w:val="18"/>
        </w:rPr>
        <w:t>mfa_reset_audit</w:t>
      </w:r>
      <w:r>
        <w:t xml:space="preserve"> et journaux, examiner les mutations BackOffice et réactiver uniquement après réenrôlement contrôlé.</w:t>
      </w:r>
    </w:p>
    <w:p>
      <w:bookmarkStart w:id="26" w:name="h_26_Incident_de_donn_es_personne"/>
      <w:pPr>
        <w:pStyle w:val="Heading2"/>
      </w:pPr>
      <w:r>
        <w:t>Incident de données personnelles</w:t>
      </w:r>
      <w:bookmarkEnd w:id="26"/>
    </w:p>
    <w:p>
      <w:r>
        <w:t>Contenir l'accès, identifier catégories, personnes, période et sous-traitants, préserver les preuves et associer le DPO. Évaluer notification réglementaire et communication. Après correction, vérifier suppression des copies de diagnostic et appliquer les actions préventives.</w:t>
      </w:r>
    </w:p>
    <w:p>
      <w:bookmarkStart w:id="27" w:name="h_27_Registre_des_limites_et_am_l"/>
      <w:pPr>
        <w:pStyle w:val="Heading1"/>
      </w:pPr>
      <w:r>
        <w:t>Registre des limites et améliorations</w:t>
      </w:r>
      <w:bookmarkEnd w:id="27"/>
    </w:p>
    <w:tbl>
      <w:tblPr>
        <w:tblW w:type="auto" w:w="0"/>
        <w:jc w:val="center"/>
        <w:tblLayout w:type="fixed"/>
        <w:tblLook w:firstColumn="1" w:firstRow="1" w:lastColumn="0" w:lastRow="0" w:noHBand="0" w:noVBand="1" w:val="04A0"/>
        <w:tblBorders>
          <w:top w:val="single" w:sz="5" w:color="C9C5DB"/>
          <w:left w:val="single" w:sz="5" w:color="C9C5DB"/>
          <w:bottom w:val="single" w:sz="5" w:color="C9C5DB"/>
          <w:right w:val="single" w:sz="5" w:color="C9C5DB"/>
          <w:insideH w:val="single" w:sz="5" w:color="C9C5DB"/>
          <w:insideV w:val="single" w:sz="5" w:color="C9C5DB"/>
        </w:tblBorders>
      </w:tblPr>
      <w:tblGrid>
        <w:gridCol w:w="1147"/>
        <w:gridCol w:w="4016"/>
        <w:gridCol w:w="4016"/>
      </w:tblGrid>
      <w:tr>
        <w:trPr>
          <w:tblHeader w:val="true"/>
        </w:trPr>
        <w:tc>
          <w:tcPr>
            <w:tcW w:type="dxa" w:w="1147"/>
            <w:tcMar>
              <w:top w:w="80" w:type="dxa"/>
              <w:start w:w="110" w:type="dxa"/>
              <w:bottom w:w="80" w:type="dxa"/>
              <w:end w:w="110" w:type="dxa"/>
            </w:tcMar>
            <w:vAlign w:val="center"/>
            <w:shd w:fill="E8EEF5"/>
          </w:tcPr>
          <w:p>
            <w:pPr>
              <w:spacing w:after="0" w:line="240" w:lineRule="auto"/>
            </w:pPr>
            <w:r>
              <w:rPr>
                <w:b/>
                <w:color w:val="302082"/>
                <w:sz w:val="17"/>
              </w:rPr>
              <w:t>Priorité</w:t>
            </w:r>
          </w:p>
        </w:tc>
        <w:tc>
          <w:tcPr>
            <w:tcW w:type="dxa" w:w="4016"/>
            <w:tcMar>
              <w:top w:w="80" w:type="dxa"/>
              <w:start w:w="110" w:type="dxa"/>
              <w:bottom w:w="80" w:type="dxa"/>
              <w:end w:w="110" w:type="dxa"/>
            </w:tcMar>
            <w:vAlign w:val="center"/>
            <w:shd w:fill="E8EEF5"/>
          </w:tcPr>
          <w:p>
            <w:pPr>
              <w:spacing w:after="0" w:line="240" w:lineRule="auto"/>
            </w:pPr>
            <w:r>
              <w:rPr>
                <w:b/>
                <w:color w:val="302082"/>
                <w:sz w:val="17"/>
              </w:rPr>
              <w:t>Limite</w:t>
            </w:r>
          </w:p>
        </w:tc>
        <w:tc>
          <w:tcPr>
            <w:tcW w:type="dxa" w:w="4016"/>
            <w:tcMar>
              <w:top w:w="80" w:type="dxa"/>
              <w:start w:w="110" w:type="dxa"/>
              <w:bottom w:w="80" w:type="dxa"/>
              <w:end w:w="110" w:type="dxa"/>
            </w:tcMar>
            <w:vAlign w:val="center"/>
            <w:shd w:fill="E8EEF5"/>
          </w:tcPr>
          <w:p>
            <w:pPr>
              <w:spacing w:after="0" w:line="240" w:lineRule="auto"/>
            </w:pPr>
            <w:r>
              <w:rPr>
                <w:b/>
                <w:color w:val="302082"/>
                <w:sz w:val="17"/>
              </w:rPr>
              <w:t>Action attendue</w:t>
            </w:r>
          </w:p>
        </w:tc>
      </w:tr>
      <w:tr>
        <w:tc>
          <w:tcPr>
            <w:tcW w:type="dxa" w:w="1147"/>
            <w:tcMar>
              <w:top w:w="80" w:type="dxa"/>
              <w:start w:w="110" w:type="dxa"/>
              <w:bottom w:w="80" w:type="dxa"/>
              <w:end w:w="110" w:type="dxa"/>
            </w:tcMar>
            <w:vAlign w:val="center"/>
          </w:tcPr>
          <w:p>
            <w:pPr>
              <w:spacing w:after="0" w:line="240" w:lineRule="auto"/>
            </w:pPr>
            <w:r>
              <w:rPr>
                <w:sz w:val="17"/>
              </w:rPr>
              <w:t>P0</w:t>
            </w:r>
          </w:p>
        </w:tc>
        <w:tc>
          <w:tcPr>
            <w:tcW w:type="dxa" w:w="4016"/>
            <w:tcMar>
              <w:top w:w="80" w:type="dxa"/>
              <w:start w:w="110" w:type="dxa"/>
              <w:bottom w:w="80" w:type="dxa"/>
              <w:end w:w="110" w:type="dxa"/>
            </w:tcMar>
            <w:vAlign w:val="center"/>
          </w:tcPr>
          <w:p>
            <w:pPr>
              <w:spacing w:after="0" w:line="240" w:lineRule="auto"/>
            </w:pPr>
            <w:r>
              <w:rPr>
                <w:sz w:val="17"/>
              </w:rPr>
              <w:t>Règles de branche et alertes GitHub à activer dans l'interface</w:t>
            </w:r>
          </w:p>
        </w:tc>
        <w:tc>
          <w:tcPr>
            <w:tcW w:type="dxa" w:w="4016"/>
            <w:tcMar>
              <w:top w:w="80" w:type="dxa"/>
              <w:start w:w="110" w:type="dxa"/>
              <w:bottom w:w="80" w:type="dxa"/>
              <w:end w:w="110" w:type="dxa"/>
            </w:tcMar>
            <w:vAlign w:val="center"/>
          </w:tcPr>
          <w:p>
            <w:pPr>
              <w:spacing w:after="0" w:line="240" w:lineRule="auto"/>
            </w:pPr>
            <w:r>
              <w:rPr>
                <w:sz w:val="17"/>
              </w:rPr>
              <w:t xml:space="preserve">Exiger </w:t>
            </w:r>
            <w:r>
              <w:rPr>
                <w:rFonts w:ascii="Consolas" w:hAnsi="Consolas"/>
                <w:color w:val="4A339E"/>
                <w:sz w:val="17"/>
              </w:rPr>
              <w:t>CI / quality</w:t>
            </w:r>
            <w:r>
              <w:rPr>
                <w:sz w:val="17"/>
              </w:rPr>
              <w:t>, graphe, alertes et security updates</w:t>
            </w:r>
          </w:p>
        </w:tc>
      </w:tr>
      <w:tr>
        <w:tc>
          <w:tcPr>
            <w:tcW w:type="dxa" w:w="1147"/>
            <w:tcMar>
              <w:top w:w="80" w:type="dxa"/>
              <w:start w:w="110" w:type="dxa"/>
              <w:bottom w:w="80" w:type="dxa"/>
              <w:end w:w="110" w:type="dxa"/>
            </w:tcMar>
            <w:vAlign w:val="center"/>
            <w:shd w:fill="F8F7FC"/>
          </w:tcPr>
          <w:p>
            <w:pPr>
              <w:spacing w:after="0" w:line="240" w:lineRule="auto"/>
            </w:pPr>
            <w:r>
              <w:rPr>
                <w:sz w:val="17"/>
              </w:rPr>
              <w:t>P0</w:t>
            </w:r>
          </w:p>
        </w:tc>
        <w:tc>
          <w:tcPr>
            <w:tcW w:type="dxa" w:w="4016"/>
            <w:tcMar>
              <w:top w:w="80" w:type="dxa"/>
              <w:start w:w="110" w:type="dxa"/>
              <w:bottom w:w="80" w:type="dxa"/>
              <w:end w:w="110" w:type="dxa"/>
            </w:tcMar>
            <w:vAlign w:val="center"/>
            <w:shd w:fill="F8F7FC"/>
          </w:tcPr>
          <w:p>
            <w:pPr>
              <w:spacing w:after="0" w:line="240" w:lineRule="auto"/>
            </w:pPr>
            <w:r>
              <w:rPr>
                <w:sz w:val="17"/>
              </w:rPr>
              <w:t>Projet/alerte Sentry et secrets Production à créer</w:t>
            </w:r>
          </w:p>
        </w:tc>
        <w:tc>
          <w:tcPr>
            <w:tcW w:type="dxa" w:w="4016"/>
            <w:tcMar>
              <w:top w:w="80" w:type="dxa"/>
              <w:start w:w="110" w:type="dxa"/>
              <w:bottom w:w="80" w:type="dxa"/>
              <w:end w:w="110" w:type="dxa"/>
            </w:tcMar>
            <w:vAlign w:val="center"/>
            <w:shd w:fill="F8F7FC"/>
          </w:tcPr>
          <w:p>
            <w:pPr>
              <w:spacing w:after="0" w:line="240" w:lineRule="auto"/>
            </w:pPr>
            <w:r>
              <w:rPr>
                <w:sz w:val="17"/>
              </w:rPr>
              <w:t>Valider erreur contrôlée et source maps</w:t>
            </w:r>
          </w:p>
        </w:tc>
      </w:tr>
      <w:tr>
        <w:tc>
          <w:tcPr>
            <w:tcW w:type="dxa" w:w="1147"/>
            <w:tcMar>
              <w:top w:w="80" w:type="dxa"/>
              <w:start w:w="110" w:type="dxa"/>
              <w:bottom w:w="80" w:type="dxa"/>
              <w:end w:w="110" w:type="dxa"/>
            </w:tcMar>
            <w:vAlign w:val="center"/>
          </w:tcPr>
          <w:p>
            <w:pPr>
              <w:spacing w:after="0" w:line="240" w:lineRule="auto"/>
            </w:pPr>
            <w:r>
              <w:rPr>
                <w:sz w:val="17"/>
              </w:rPr>
              <w:t>P1</w:t>
            </w:r>
          </w:p>
        </w:tc>
        <w:tc>
          <w:tcPr>
            <w:tcW w:type="dxa" w:w="4016"/>
            <w:tcMar>
              <w:top w:w="80" w:type="dxa"/>
              <w:start w:w="110" w:type="dxa"/>
              <w:bottom w:w="80" w:type="dxa"/>
              <w:end w:w="110" w:type="dxa"/>
            </w:tcMar>
            <w:vAlign w:val="center"/>
          </w:tcPr>
          <w:p>
            <w:pPr>
              <w:spacing w:after="0" w:line="240" w:lineRule="auto"/>
            </w:pPr>
            <w:r>
              <w:rPr>
                <w:sz w:val="17"/>
              </w:rPr>
              <w:t>Rate limiting et tailles chatbot absents</w:t>
            </w:r>
          </w:p>
        </w:tc>
        <w:tc>
          <w:tcPr>
            <w:tcW w:type="dxa" w:w="4016"/>
            <w:tcMar>
              <w:top w:w="80" w:type="dxa"/>
              <w:start w:w="110" w:type="dxa"/>
              <w:bottom w:w="80" w:type="dxa"/>
              <w:end w:w="110" w:type="dxa"/>
            </w:tcMar>
            <w:vAlign w:val="center"/>
          </w:tcPr>
          <w:p>
            <w:pPr>
              <w:spacing w:after="0" w:line="240" w:lineRule="auto"/>
            </w:pPr>
            <w:r>
              <w:rPr>
                <w:sz w:val="17"/>
              </w:rPr>
              <w:t>Quotas, validation et tests d'abus</w:t>
            </w:r>
          </w:p>
        </w:tc>
      </w:tr>
      <w:tr>
        <w:tc>
          <w:tcPr>
            <w:tcW w:type="dxa" w:w="1147"/>
            <w:tcMar>
              <w:top w:w="80" w:type="dxa"/>
              <w:start w:w="110" w:type="dxa"/>
              <w:bottom w:w="80" w:type="dxa"/>
              <w:end w:w="110" w:type="dxa"/>
            </w:tcMar>
            <w:vAlign w:val="center"/>
            <w:shd w:fill="F8F7FC"/>
          </w:tcPr>
          <w:p>
            <w:pPr>
              <w:spacing w:after="0" w:line="240" w:lineRule="auto"/>
            </w:pPr>
            <w:r>
              <w:rPr>
                <w:sz w:val="17"/>
              </w:rPr>
              <w:t>P1</w:t>
            </w:r>
          </w:p>
        </w:tc>
        <w:tc>
          <w:tcPr>
            <w:tcW w:type="dxa" w:w="4016"/>
            <w:tcMar>
              <w:top w:w="80" w:type="dxa"/>
              <w:start w:w="110" w:type="dxa"/>
              <w:bottom w:w="80" w:type="dxa"/>
              <w:end w:w="110" w:type="dxa"/>
            </w:tcMar>
            <w:vAlign w:val="center"/>
            <w:shd w:fill="F8F7FC"/>
          </w:tcPr>
          <w:p>
            <w:pPr>
              <w:spacing w:after="0" w:line="240" w:lineRule="auto"/>
            </w:pPr>
            <w:r>
              <w:rPr>
                <w:sz w:val="17"/>
              </w:rPr>
              <w:t>Tests API/E2E financiers partiels</w:t>
            </w:r>
          </w:p>
        </w:tc>
        <w:tc>
          <w:tcPr>
            <w:tcW w:type="dxa" w:w="4016"/>
            <w:tcMar>
              <w:top w:w="80" w:type="dxa"/>
              <w:start w:w="110" w:type="dxa"/>
              <w:bottom w:w="80" w:type="dxa"/>
              <w:end w:w="110" w:type="dxa"/>
            </w:tcMar>
            <w:vAlign w:val="center"/>
            <w:shd w:fill="F8F7FC"/>
          </w:tcPr>
          <w:p>
            <w:pPr>
              <w:spacing w:after="0" w:line="240" w:lineRule="auto"/>
            </w:pPr>
            <w:r>
              <w:rPr>
                <w:sz w:val="17"/>
              </w:rPr>
              <w:t>Chat, webhook, checkout, rapport et auth</w:t>
            </w:r>
          </w:p>
        </w:tc>
      </w:tr>
      <w:tr>
        <w:tc>
          <w:tcPr>
            <w:tcW w:type="dxa" w:w="1147"/>
            <w:tcMar>
              <w:top w:w="80" w:type="dxa"/>
              <w:start w:w="110" w:type="dxa"/>
              <w:bottom w:w="80" w:type="dxa"/>
              <w:end w:w="110" w:type="dxa"/>
            </w:tcMar>
            <w:vAlign w:val="center"/>
          </w:tcPr>
          <w:p>
            <w:pPr>
              <w:spacing w:after="0" w:line="240" w:lineRule="auto"/>
            </w:pPr>
            <w:r>
              <w:rPr>
                <w:sz w:val="17"/>
              </w:rPr>
              <w:t>P1</w:t>
            </w:r>
          </w:p>
        </w:tc>
        <w:tc>
          <w:tcPr>
            <w:tcW w:type="dxa" w:w="4016"/>
            <w:tcMar>
              <w:top w:w="80" w:type="dxa"/>
              <w:start w:w="110" w:type="dxa"/>
              <w:bottom w:w="80" w:type="dxa"/>
              <w:end w:w="110" w:type="dxa"/>
            </w:tcMar>
            <w:vAlign w:val="center"/>
          </w:tcPr>
          <w:p>
            <w:pPr>
              <w:spacing w:after="0" w:line="240" w:lineRule="auto"/>
            </w:pPr>
            <w:r>
              <w:rPr>
                <w:sz w:val="17"/>
              </w:rPr>
              <w:t>Purge chat non prouvée comme planifiée</w:t>
            </w:r>
          </w:p>
        </w:tc>
        <w:tc>
          <w:tcPr>
            <w:tcW w:type="dxa" w:w="4016"/>
            <w:tcMar>
              <w:top w:w="80" w:type="dxa"/>
              <w:start w:w="110" w:type="dxa"/>
              <w:bottom w:w="80" w:type="dxa"/>
              <w:end w:w="110" w:type="dxa"/>
            </w:tcMar>
            <w:vAlign w:val="center"/>
          </w:tcPr>
          <w:p>
            <w:pPr>
              <w:spacing w:after="0" w:line="240" w:lineRule="auto"/>
            </w:pPr>
            <w:r>
              <w:rPr>
                <w:sz w:val="17"/>
              </w:rPr>
              <w:t>Scheduler, alerte et preuve hebdomadaire</w:t>
            </w:r>
          </w:p>
        </w:tc>
      </w:tr>
      <w:tr>
        <w:tc>
          <w:tcPr>
            <w:tcW w:type="dxa" w:w="1147"/>
            <w:tcMar>
              <w:top w:w="80" w:type="dxa"/>
              <w:start w:w="110" w:type="dxa"/>
              <w:bottom w:w="80" w:type="dxa"/>
              <w:end w:w="110" w:type="dxa"/>
            </w:tcMar>
            <w:vAlign w:val="center"/>
            <w:shd w:fill="F8F7FC"/>
          </w:tcPr>
          <w:p>
            <w:pPr>
              <w:spacing w:after="0" w:line="240" w:lineRule="auto"/>
            </w:pPr>
            <w:r>
              <w:rPr>
                <w:sz w:val="17"/>
              </w:rPr>
              <w:t>P1</w:t>
            </w:r>
          </w:p>
        </w:tc>
        <w:tc>
          <w:tcPr>
            <w:tcW w:type="dxa" w:w="4016"/>
            <w:tcMar>
              <w:top w:w="80" w:type="dxa"/>
              <w:start w:w="110" w:type="dxa"/>
              <w:bottom w:w="80" w:type="dxa"/>
              <w:end w:w="110" w:type="dxa"/>
            </w:tcMar>
            <w:vAlign w:val="center"/>
            <w:shd w:fill="F8F7FC"/>
          </w:tcPr>
          <w:p>
            <w:pPr>
              <w:spacing w:after="0" w:line="240" w:lineRule="auto"/>
            </w:pPr>
            <w:r>
              <w:rPr>
                <w:sz w:val="17"/>
              </w:rPr>
              <w:t>Restauration Supabase à éprouver</w:t>
            </w:r>
          </w:p>
        </w:tc>
        <w:tc>
          <w:tcPr>
            <w:tcW w:type="dxa" w:w="4016"/>
            <w:tcMar>
              <w:top w:w="80" w:type="dxa"/>
              <w:start w:w="110" w:type="dxa"/>
              <w:bottom w:w="80" w:type="dxa"/>
              <w:end w:w="110" w:type="dxa"/>
            </w:tcMar>
            <w:vAlign w:val="center"/>
            <w:shd w:fill="F8F7FC"/>
          </w:tcPr>
          <w:p>
            <w:pPr>
              <w:spacing w:after="0" w:line="240" w:lineRule="auto"/>
            </w:pPr>
            <w:r>
              <w:rPr>
                <w:sz w:val="17"/>
              </w:rPr>
              <w:t>Exercice mensuel puis périodicité ajustée</w:t>
            </w:r>
          </w:p>
        </w:tc>
      </w:tr>
      <w:tr>
        <w:tc>
          <w:tcPr>
            <w:tcW w:type="dxa" w:w="1147"/>
            <w:tcMar>
              <w:top w:w="80" w:type="dxa"/>
              <w:start w:w="110" w:type="dxa"/>
              <w:bottom w:w="80" w:type="dxa"/>
              <w:end w:w="110" w:type="dxa"/>
            </w:tcMar>
            <w:vAlign w:val="center"/>
          </w:tcPr>
          <w:p>
            <w:pPr>
              <w:spacing w:after="0" w:line="240" w:lineRule="auto"/>
            </w:pPr>
            <w:r>
              <w:rPr>
                <w:sz w:val="17"/>
              </w:rPr>
              <w:t>P2</w:t>
            </w:r>
          </w:p>
        </w:tc>
        <w:tc>
          <w:tcPr>
            <w:tcW w:type="dxa" w:w="4016"/>
            <w:tcMar>
              <w:top w:w="80" w:type="dxa"/>
              <w:start w:w="110" w:type="dxa"/>
              <w:bottom w:w="80" w:type="dxa"/>
              <w:end w:w="110" w:type="dxa"/>
            </w:tcMar>
            <w:vAlign w:val="center"/>
          </w:tcPr>
          <w:p>
            <w:pPr>
              <w:spacing w:after="0" w:line="240" w:lineRule="auto"/>
            </w:pPr>
            <w:r>
              <w:rPr>
                <w:sz w:val="17"/>
              </w:rPr>
              <w:t>Conversation client perdue au reload</w:t>
            </w:r>
          </w:p>
        </w:tc>
        <w:tc>
          <w:tcPr>
            <w:tcW w:type="dxa" w:w="4016"/>
            <w:tcMar>
              <w:top w:w="80" w:type="dxa"/>
              <w:start w:w="110" w:type="dxa"/>
              <w:bottom w:w="80" w:type="dxa"/>
              <w:end w:w="110" w:type="dxa"/>
            </w:tcMar>
            <w:vAlign w:val="center"/>
          </w:tcPr>
          <w:p>
            <w:pPr>
              <w:spacing w:after="0" w:line="240" w:lineRule="auto"/>
            </w:pPr>
            <w:r>
              <w:rPr>
                <w:sz w:val="17"/>
              </w:rPr>
              <w:t>Persistance locale sûre avec durée limitée</w:t>
            </w:r>
          </w:p>
        </w:tc>
      </w:tr>
      <w:tr>
        <w:tc>
          <w:tcPr>
            <w:tcW w:type="dxa" w:w="1147"/>
            <w:tcMar>
              <w:top w:w="80" w:type="dxa"/>
              <w:start w:w="110" w:type="dxa"/>
              <w:bottom w:w="80" w:type="dxa"/>
              <w:end w:w="110" w:type="dxa"/>
            </w:tcMar>
            <w:vAlign w:val="center"/>
            <w:shd w:fill="F8F7FC"/>
          </w:tcPr>
          <w:p>
            <w:pPr>
              <w:spacing w:after="0" w:line="240" w:lineRule="auto"/>
            </w:pPr>
            <w:r>
              <w:rPr>
                <w:sz w:val="17"/>
              </w:rPr>
              <w:t>P2</w:t>
            </w:r>
          </w:p>
        </w:tc>
        <w:tc>
          <w:tcPr>
            <w:tcW w:type="dxa" w:w="4016"/>
            <w:tcMar>
              <w:top w:w="80" w:type="dxa"/>
              <w:start w:w="110" w:type="dxa"/>
              <w:bottom w:w="80" w:type="dxa"/>
              <w:end w:w="110" w:type="dxa"/>
            </w:tcMar>
            <w:vAlign w:val="center"/>
            <w:shd w:fill="F8F7FC"/>
          </w:tcPr>
          <w:p>
            <w:pPr>
              <w:spacing w:after="0" w:line="240" w:lineRule="auto"/>
            </w:pPr>
            <w:r>
              <w:rPr>
                <w:sz w:val="17"/>
              </w:rPr>
              <w:t>SLO et astreinte non formalisés</w:t>
            </w:r>
          </w:p>
        </w:tc>
        <w:tc>
          <w:tcPr>
            <w:tcW w:type="dxa" w:w="4016"/>
            <w:tcMar>
              <w:top w:w="80" w:type="dxa"/>
              <w:start w:w="110" w:type="dxa"/>
              <w:bottom w:w="80" w:type="dxa"/>
              <w:end w:w="110" w:type="dxa"/>
            </w:tcMar>
            <w:vAlign w:val="center"/>
            <w:shd w:fill="F8F7FC"/>
          </w:tcPr>
          <w:p>
            <w:pPr>
              <w:spacing w:after="0" w:line="240" w:lineRule="auto"/>
            </w:pPr>
            <w:r>
              <w:rPr>
                <w:sz w:val="17"/>
              </w:rPr>
              <w:t>Définir objectifs, seuils et contacts</w:t>
            </w:r>
          </w:p>
        </w:tc>
      </w:tr>
    </w:tbl>
    <w:p>
      <w:pPr>
        <w:spacing w:after="0"/>
      </w:pPr>
    </w:p>
    <w:p>
      <w:r>
        <w:t>Une maintenance est terminée lorsque le code, les tests, les procédures, les diagrammes et le registre de limites décrivent le même état. Les écarts découverts sont corrigés dans la même PR ou inscrits explicitement avec risque, propriétaire et échéance.</w:t>
      </w:r>
    </w:p>
    <w:sectPr w:rsidR="00FC693F" w:rsidRPr="0006063C" w:rsidSect="00034616">
      <w:headerReference w:type="default" r:id="rId16"/>
      <w:footerReference w:type="default" r:id="rId17"/>
      <w:pgSz w:w="11906" w:h="16838"/>
      <w:pgMar w:top="1361" w:right="1361" w:bottom="1247" w:left="1361"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26273"/>
        <w:sz w:val="16"/>
      </w:rPr>
      <w:t xml:space="preserve">CYNA | Groupe 1  ·  </w:t>
    </w:r>
    <w:r>
      <w:rPr>
        <w:sz w:val="16"/>
      </w:rP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26273"/>
        <w:sz w:val="16"/>
      </w:rPr>
      <w:t xml:space="preserve">CYNA | Groupe 1  ·  </w:t>
    </w:r>
    <w:r>
      <w:rPr>
        <w:sz w:val="16"/>
      </w:rPr>
      <w:fldChar w:fldCharType="begin"/>
      <w:instrText xml:space="preserve">PAGE</w:instrText>
      <w:fldChar w:fldCharType="separate"/>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26273"/>
        <w:sz w:val="16"/>
      </w:rPr>
      <w:t xml:space="preserve">CYNA | Groupe 1  ·  </w:t>
    </w:r>
    <w:r>
      <w:rPr>
        <w:sz w:val="16"/>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26273"/>
        <w:sz w:val="16"/>
      </w:rPr>
      <w:t>CYNA  ·  CYNA-MNT-001</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26273"/>
        <w:sz w:val="16"/>
      </w:rPr>
      <w:t>CYNA  ·  CYNA-MNT-001</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26273"/>
        <w:sz w:val="16"/>
      </w:rPr>
      <w:t>CYNA  ·  CYNA-MNT-001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Rule="auto" w:line="276"/>
    </w:pPr>
    <w:rPr>
      <w:rFonts w:ascii="Calibri" w:hAnsi="Calibri"/>
      <w:color w:val="1A1A2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180"/>
      <w:outlineLvl w:val="0"/>
    </w:pPr>
    <w:rPr>
      <w:rFonts w:asciiTheme="majorHAnsi" w:eastAsiaTheme="majorEastAsia" w:hAnsiTheme="majorHAnsi" w:cstheme="majorBidi" w:ascii="Calibri" w:hAnsi="Calibri"/>
      <w:b/>
      <w:bCs/>
      <w:color w:val="302082"/>
      <w:sz w:val="34"/>
      <w:szCs w:val="28"/>
    </w:rPr>
  </w:style>
  <w:style w:type="paragraph" w:styleId="Heading2">
    <w:name w:val="heading 2"/>
    <w:basedOn w:val="Normal"/>
    <w:next w:val="Normal"/>
    <w:link w:val="Heading2Char"/>
    <w:uiPriority w:val="9"/>
    <w:unhideWhenUsed/>
    <w:qFormat/>
    <w:rsid w:val="00FC693F"/>
    <w:pPr>
      <w:keepNext/>
      <w:keepLines/>
      <w:widowControl/>
      <w:spacing w:before="280" w:after="140"/>
      <w:outlineLvl w:val="1"/>
    </w:pPr>
    <w:rPr>
      <w:rFonts w:asciiTheme="majorHAnsi" w:eastAsiaTheme="majorEastAsia" w:hAnsiTheme="majorHAnsi" w:cstheme="majorBidi" w:ascii="Calibri" w:hAnsi="Calibri"/>
      <w:b/>
      <w:bCs/>
      <w:color w:val="302082"/>
      <w:sz w:val="27"/>
      <w:szCs w:val="26"/>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Calibri" w:hAnsi="Calibri"/>
      <w:b/>
      <w:bCs/>
      <w:color w:val="4A339E"/>
      <w:sz w:val="23"/>
    </w:rPr>
  </w:style>
  <w:style w:type="paragraph" w:styleId="Heading4">
    <w:name w:val="heading 4"/>
    <w:basedOn w:val="Normal"/>
    <w:next w:val="Normal"/>
    <w:link w:val="Heading4Char"/>
    <w:uiPriority w:val="9"/>
    <w:semiHidden/>
    <w:unhideWhenUsed/>
    <w:qFormat/>
    <w:rsid w:val="00FC693F"/>
    <w:pPr>
      <w:keepNext/>
      <w:keepLines/>
      <w:widowControl/>
      <w:spacing w:before="160" w:after="80"/>
      <w:outlineLvl w:val="3"/>
    </w:pPr>
    <w:rPr>
      <w:rFonts w:asciiTheme="majorHAnsi" w:eastAsiaTheme="majorEastAsia" w:hAnsiTheme="majorHAnsi" w:cstheme="majorBidi" w:ascii="Calibri" w:hAnsi="Calibri"/>
      <w:b/>
      <w:bCs/>
      <w:i/>
      <w:iCs/>
      <w:color w:val="4A339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200" w:line="240" w:lineRule="auto" w:before="0"/>
      <w:contextualSpacing/>
    </w:pPr>
    <w:rPr>
      <w:rFonts w:asciiTheme="majorHAnsi" w:eastAsiaTheme="majorEastAsia" w:hAnsiTheme="majorHAnsi" w:cstheme="majorBidi" w:ascii="Calibri" w:hAnsi="Calibri"/>
      <w:b/>
      <w:color w:val="302082"/>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ind w:left="540" w:hanging="271"/>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ind w:left="540" w:hanging="271"/>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YNASubtitle">
    <w:name w:val="CYNA Subtitle"/>
    <w:basedOn w:val="Normal"/>
    <w:pPr>
      <w:spacing w:after="280"/>
    </w:pPr>
    <w:rPr>
      <w:rFonts w:ascii="Calibri" w:hAnsi="Calibri"/>
      <w:color w:val="4A339E"/>
      <w:sz w:val="28"/>
    </w:rPr>
  </w:style>
  <w:style w:type="paragraph" w:customStyle="1" w:styleId="CYNACaption">
    <w:name w:val="CYNA Caption"/>
    <w:basedOn w:val="Normal"/>
    <w:pPr>
      <w:spacing w:before="60" w:after="160"/>
      <w:jc w:val="center"/>
    </w:pPr>
    <w:rPr>
      <w:rFonts w:ascii="Calibri" w:hAnsi="Calibri"/>
      <w:i/>
      <w:color w:val="626273"/>
      <w:sz w:val="17"/>
    </w:rPr>
  </w:style>
  <w:style w:type="paragraph" w:customStyle="1" w:styleId="CYNACode">
    <w:name w:val="CYNA Code"/>
    <w:basedOn w:val="Normal"/>
    <w:pPr>
      <w:spacing w:after="80"/>
      <w:ind w:left="255" w:right="142"/>
    </w:pPr>
    <w:rPr>
      <w:rFonts w:ascii="Consolas" w:hAnsi="Consolas"/>
      <w:color w:val="1A1A24"/>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1.xml"/><Relationship Id="rId13" Type="http://schemas.openxmlformats.org/officeDocument/2006/relationships/footer" Target="footer1.xml"/><Relationship Id="rId14" Type="http://schemas.openxmlformats.org/officeDocument/2006/relationships/header" Target="header2.xml"/><Relationship Id="rId15" Type="http://schemas.openxmlformats.org/officeDocument/2006/relationships/footer" Target="footer2.xml"/><Relationship Id="rId16" Type="http://schemas.openxmlformats.org/officeDocument/2006/relationships/header" Target="header3.xml"/><Relationship Id="rId1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maintenance et d'exploitation</dc:title>
  <dc:subject>Branches, déploiements, alertes, données et runbooks CYNA</dc:subject>
  <dc:creator>Groupe 1: Hugo FAURE, Samuel KAKEZ, Mathieu FRAUX, Florian BELLOC</dc:creator>
  <cp:keywords>CYNA, documentation, cybersécurité, SaaS</cp:keywords>
  <dc:description>Généré depuis les sources Markdown versionnées.</dc:description>
  <cp:lastModifiedBy>Groupe 1</cp:lastModifiedBy>
  <cp:revision>1</cp:revision>
  <dcterms:created xsi:type="dcterms:W3CDTF">2013-12-23T23:15:00Z</dcterms:created>
  <dcterms:modified xsi:type="dcterms:W3CDTF">2013-12-23T23:15:00Z</dcterms:modified>
  <cp:category/>
</cp:coreProperties>
</file>