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jc w:val="center"/>
      </w:pPr>
      <w:r>
        <w:drawing>
          <wp:inline xmlns:a="http://schemas.openxmlformats.org/drawingml/2006/main" xmlns:pic="http://schemas.openxmlformats.org/drawingml/2006/picture">
            <wp:extent cx="1655999" cy="450224"/>
            <wp:docPr id="1" name="Picture 1" descr="Logo CYNA" title="Logo CYNA"/>
            <wp:cNvGraphicFramePr>
              <a:graphicFrameLocks noChangeAspect="1"/>
            </wp:cNvGraphicFramePr>
            <a:graphic>
              <a:graphicData uri="http://schemas.openxmlformats.org/drawingml/2006/picture">
                <pic:pic>
                  <pic:nvPicPr>
                    <pic:cNvPr id="0" name="cyna-logo.png"/>
                    <pic:cNvPicPr/>
                  </pic:nvPicPr>
                  <pic:blipFill>
                    <a:blip r:embed="rId9"/>
                    <a:stretch>
                      <a:fillRect/>
                    </a:stretch>
                  </pic:blipFill>
                  <pic:spPr>
                    <a:xfrm>
                      <a:off x="0" y="0"/>
                      <a:ext cx="1655999" cy="450224"/>
                    </a:xfrm>
                    <a:prstGeom prst="rect"/>
                  </pic:spPr>
                </pic:pic>
              </a:graphicData>
            </a:graphic>
          </wp:inline>
        </w:drawing>
      </w:r>
    </w:p>
    <w:p/>
    <w:p/>
    <w:p>
      <w:pPr>
        <w:pStyle w:val="Title"/>
        <w:jc w:val="center"/>
      </w:pPr>
      <w:r>
        <w:t>Plan de sécurité</w:t>
      </w:r>
    </w:p>
    <w:p>
      <w:pPr>
        <w:pStyle w:val="CYNASubtitle"/>
        <w:jc w:val="center"/>
      </w:pPr>
      <w:r>
        <w:t>Menaces, contrôles, confidentialité et réponse à incident CYNA</w:t>
      </w:r>
    </w:p>
    <w:tbl>
      <w:tblPr>
        <w:tblW w:type="auto" w:w="0"/>
        <w:jc w:val="center"/>
        <w:tblLayout w:type="fixed"/>
        <w:tblLook w:firstColumn="1" w:firstRow="1" w:lastColumn="0" w:lastRow="0" w:noHBand="0" w:noVBand="1" w:val="04A0"/>
      </w:tblPr>
      <w:tblGrid>
        <w:gridCol w:w="9184"/>
      </w:tblGrid>
      <w:tr>
        <w:trPr>
          <w:tblHeader w:val="true"/>
        </w:trPr>
        <w:tc>
          <w:tcPr>
            <w:tcW w:type="dxa" w:w="5200"/>
            <w:shd w:fill="302082"/>
          </w:tcPr>
          <w:p>
            <w:r/>
          </w:p>
        </w:tc>
      </w:tr>
    </w:tbl>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4592"/>
        <w:gridCol w:w="4592"/>
      </w:tblGrid>
      <w:tr>
        <w:trPr>
          <w:tblHeader w:val="true"/>
        </w:trPr>
        <w:tc>
          <w:tcPr>
            <w:tcW w:type="dxa" w:w="1800"/>
            <w:tcMar>
              <w:top w:w="90" w:type="dxa"/>
              <w:start w:w="130" w:type="dxa"/>
              <w:bottom w:w="90" w:type="dxa"/>
              <w:end w:w="130" w:type="dxa"/>
            </w:tcMar>
            <w:shd w:fill="E8EEF5"/>
          </w:tcPr>
          <w:p>
            <w:r>
              <w:rPr>
                <w:b/>
                <w:color w:val="302082"/>
              </w:rPr>
              <w:t>Référence</w:t>
            </w:r>
          </w:p>
        </w:tc>
        <w:tc>
          <w:tcPr>
            <w:tcW w:type="dxa" w:w="4200"/>
            <w:tcMar>
              <w:top w:w="90" w:type="dxa"/>
              <w:start w:w="130" w:type="dxa"/>
              <w:bottom w:w="90" w:type="dxa"/>
              <w:end w:w="130" w:type="dxa"/>
            </w:tcMar>
            <w:shd w:fill="F8F7FC"/>
          </w:tcPr>
          <w:p>
            <w:r>
              <w:t>CYNA-SEC-001</w:t>
            </w:r>
          </w:p>
        </w:tc>
      </w:tr>
      <w:tr>
        <w:tc>
          <w:tcPr>
            <w:tcW w:type="dxa" w:w="1800"/>
            <w:tcMar>
              <w:top w:w="90" w:type="dxa"/>
              <w:start w:w="130" w:type="dxa"/>
              <w:bottom w:w="90" w:type="dxa"/>
              <w:end w:w="130" w:type="dxa"/>
            </w:tcMar>
          </w:tcPr>
          <w:p>
            <w:r>
              <w:rPr>
                <w:b/>
                <w:color w:val="302082"/>
              </w:rPr>
              <w:t>Version</w:t>
            </w:r>
          </w:p>
        </w:tc>
        <w:tc>
          <w:tcPr>
            <w:tcW w:type="dxa" w:w="4200"/>
            <w:tcMar>
              <w:top w:w="90" w:type="dxa"/>
              <w:start w:w="130" w:type="dxa"/>
              <w:bottom w:w="90" w:type="dxa"/>
              <w:end w:w="130" w:type="dxa"/>
            </w:tcMar>
          </w:tcPr>
          <w:p>
            <w:r>
              <w:t>1.0</w:t>
            </w:r>
          </w:p>
        </w:tc>
      </w:tr>
      <w:tr>
        <w:tc>
          <w:tcPr>
            <w:tcW w:type="dxa" w:w="1800"/>
            <w:tcMar>
              <w:top w:w="90" w:type="dxa"/>
              <w:start w:w="130" w:type="dxa"/>
              <w:bottom w:w="90" w:type="dxa"/>
              <w:end w:w="130" w:type="dxa"/>
            </w:tcMar>
            <w:shd w:fill="E8EEF5"/>
          </w:tcPr>
          <w:p>
            <w:r>
              <w:rPr>
                <w:b/>
                <w:color w:val="302082"/>
              </w:rPr>
              <w:t>Date</w:t>
            </w:r>
          </w:p>
        </w:tc>
        <w:tc>
          <w:tcPr>
            <w:tcW w:type="dxa" w:w="4200"/>
            <w:tcMar>
              <w:top w:w="90" w:type="dxa"/>
              <w:start w:w="130" w:type="dxa"/>
              <w:bottom w:w="90" w:type="dxa"/>
              <w:end w:w="130" w:type="dxa"/>
            </w:tcMar>
            <w:shd w:fill="F8F7FC"/>
          </w:tcPr>
          <w:p>
            <w:r>
              <w:t>15 juillet 2026</w:t>
            </w:r>
          </w:p>
        </w:tc>
      </w:tr>
      <w:tr>
        <w:tc>
          <w:tcPr>
            <w:tcW w:type="dxa" w:w="1800"/>
            <w:tcMar>
              <w:top w:w="90" w:type="dxa"/>
              <w:start w:w="130" w:type="dxa"/>
              <w:bottom w:w="90" w:type="dxa"/>
              <w:end w:w="130" w:type="dxa"/>
            </w:tcMar>
          </w:tcPr>
          <w:p>
            <w:r>
              <w:rPr>
                <w:b/>
                <w:color w:val="302082"/>
              </w:rPr>
              <w:t>Statut</w:t>
            </w:r>
          </w:p>
        </w:tc>
        <w:tc>
          <w:tcPr>
            <w:tcW w:type="dxa" w:w="4200"/>
            <w:tcMar>
              <w:top w:w="90" w:type="dxa"/>
              <w:start w:w="130" w:type="dxa"/>
              <w:bottom w:w="90" w:type="dxa"/>
              <w:end w:w="130" w:type="dxa"/>
            </w:tcMar>
          </w:tcPr>
          <w:p>
            <w:r>
              <w:t>Plan opérationnel et risques résiduels</w:t>
            </w:r>
          </w:p>
        </w:tc>
      </w:tr>
    </w:tbl>
    <w:p>
      <w:pPr>
        <w:spacing w:before="360"/>
        <w:jc w:val="center"/>
      </w:pPr>
      <w:r>
        <w:rPr>
          <w:i/>
          <w:color w:val="626273"/>
        </w:rPr>
        <w:t>Audience : Équipe technique, sécurité, DPO, exploitation et jury</w:t>
      </w:r>
    </w:p>
    <w:p>
      <w:pPr>
        <w:spacing w:before="160" w:after="0"/>
        <w:jc w:val="center"/>
      </w:pPr>
      <w:r>
        <w:rPr>
          <w:b/>
          <w:color w:val="302082"/>
        </w:rPr>
        <w:t>Groupe 1 - Équipe projet</w:t>
      </w:r>
    </w:p>
    <w:p>
      <w:pPr>
        <w:spacing w:after="0"/>
        <w:jc w:val="center"/>
      </w:pPr>
      <w:r>
        <w:rPr>
          <w:color w:val="626273"/>
          <w:sz w:val="18"/>
        </w:rPr>
        <w:t>Hugo FAURE  ·  Samuel KAKEZ  ·  Mathieu FRAUX  ·  Florian BELLOC</w:t>
      </w:r>
    </w:p>
    <w:p>
      <w:r>
        <w:br w:type="page"/>
      </w:r>
    </w:p>
    <w:p>
      <w:bookmarkStart w:id="9990" w:name="toc"/>
      <w:pPr>
        <w:pStyle w:val="Heading1"/>
      </w:pPr>
      <w:r>
        <w:t>Sommaire</w:t>
      </w:r>
      <w:bookmarkEnd w:id="9990"/>
    </w:p>
    <w:p>
      <w:pPr>
        <w:tabs>
          <w:tab w:pos="8674" w:val="right" w:leader="dot"/>
        </w:tabs>
        <w:spacing w:after="40" w:line="240" w:lineRule="auto"/>
        <w:ind w:left="0"/>
      </w:pPr>
      <w:hyperlink w:anchor="h_1_Objectifs_et_p_rim_tre" w:history="1">
        <w:r>
          <w:rPr>
            <w:rStyle w:val="Hyperlink"/>
            <w:color w:val="302082"/>
            <w:sz w:val="21"/>
            <w:szCs w:val="21"/>
          </w:rPr>
          <w:t>Objectifs et périmètre</w:t>
        </w:r>
      </w:hyperlink>
      <w:r>
        <w:rPr>
          <w:sz w:val="21"/>
        </w:rPr>
        <w:tab/>
      </w:r>
      <w:r>
        <w:rPr>
          <w:sz w:val="21"/>
        </w:rPr>
        <w:t>3</w:t>
      </w:r>
    </w:p>
    <w:p>
      <w:pPr>
        <w:tabs>
          <w:tab w:pos="8674" w:val="right" w:leader="dot"/>
        </w:tabs>
        <w:spacing w:after="40" w:line="240" w:lineRule="auto"/>
        <w:ind w:left="0"/>
      </w:pPr>
      <w:hyperlink w:anchor="h_2_Fronti_res_de_confiance_et_m" w:history="1">
        <w:r>
          <w:rPr>
            <w:rStyle w:val="Hyperlink"/>
            <w:color w:val="302082"/>
            <w:sz w:val="21"/>
            <w:szCs w:val="21"/>
          </w:rPr>
          <w:t>Frontières de confiance et menaces</w:t>
        </w:r>
      </w:hyperlink>
      <w:r>
        <w:rPr>
          <w:sz w:val="21"/>
        </w:rPr>
        <w:tab/>
      </w:r>
      <w:r>
        <w:rPr>
          <w:sz w:val="21"/>
        </w:rPr>
        <w:t>3</w:t>
      </w:r>
    </w:p>
    <w:p>
      <w:pPr>
        <w:tabs>
          <w:tab w:pos="8674" w:val="right" w:leader="dot"/>
        </w:tabs>
        <w:spacing w:after="40" w:line="240" w:lineRule="auto"/>
        <w:ind w:left="0"/>
      </w:pPr>
      <w:hyperlink w:anchor="h_3_Gestion_des_identit_s_et_acc" w:history="1">
        <w:r>
          <w:rPr>
            <w:rStyle w:val="Hyperlink"/>
            <w:color w:val="302082"/>
            <w:sz w:val="21"/>
            <w:szCs w:val="21"/>
          </w:rPr>
          <w:t>Gestion des identités et accès</w:t>
        </w:r>
      </w:hyperlink>
      <w:r>
        <w:rPr>
          <w:sz w:val="21"/>
        </w:rPr>
        <w:tab/>
      </w:r>
      <w:r>
        <w:rPr>
          <w:sz w:val="21"/>
        </w:rPr>
        <w:t>5</w:t>
      </w:r>
    </w:p>
    <w:p>
      <w:pPr>
        <w:tabs>
          <w:tab w:pos="8674" w:val="right" w:leader="dot"/>
        </w:tabs>
        <w:spacing w:after="40" w:line="240" w:lineRule="auto"/>
        <w:ind w:left="255"/>
      </w:pPr>
      <w:hyperlink w:anchor="h_4_Clients_et_administrateurs" w:history="1">
        <w:r>
          <w:rPr>
            <w:rStyle w:val="Hyperlink"/>
            <w:color w:val="302082"/>
            <w:sz w:val="21"/>
            <w:szCs w:val="21"/>
          </w:rPr>
          <w:t>Clients et administrateurs</w:t>
        </w:r>
      </w:hyperlink>
      <w:r>
        <w:rPr>
          <w:sz w:val="21"/>
        </w:rPr>
        <w:tab/>
      </w:r>
      <w:r>
        <w:rPr>
          <w:sz w:val="21"/>
        </w:rPr>
        <w:t>5</w:t>
      </w:r>
    </w:p>
    <w:p>
      <w:pPr>
        <w:tabs>
          <w:tab w:pos="8674" w:val="right" w:leader="dot"/>
        </w:tabs>
        <w:spacing w:after="40" w:line="240" w:lineRule="auto"/>
        <w:ind w:left="255"/>
      </w:pPr>
      <w:hyperlink w:anchor="h_5_RBAC__RLS_et_service_role" w:history="1">
        <w:r>
          <w:rPr>
            <w:rStyle w:val="Hyperlink"/>
            <w:color w:val="302082"/>
            <w:sz w:val="21"/>
            <w:szCs w:val="21"/>
          </w:rPr>
          <w:t>RBAC, RLS et service role</w:t>
        </w:r>
      </w:hyperlink>
      <w:r>
        <w:rPr>
          <w:sz w:val="21"/>
        </w:rPr>
        <w:tab/>
      </w:r>
      <w:r>
        <w:rPr>
          <w:sz w:val="21"/>
        </w:rPr>
        <w:t>5</w:t>
      </w:r>
    </w:p>
    <w:p>
      <w:pPr>
        <w:tabs>
          <w:tab w:pos="8674" w:val="right" w:leader="dot"/>
        </w:tabs>
        <w:spacing w:after="40" w:line="240" w:lineRule="auto"/>
        <w:ind w:left="0"/>
      </w:pPr>
      <w:hyperlink w:anchor="h_6_Secrets_et_configuration" w:history="1">
        <w:r>
          <w:rPr>
            <w:rStyle w:val="Hyperlink"/>
            <w:color w:val="302082"/>
            <w:sz w:val="21"/>
            <w:szCs w:val="21"/>
          </w:rPr>
          <w:t>Secrets et configuration</w:t>
        </w:r>
      </w:hyperlink>
      <w:r>
        <w:rPr>
          <w:sz w:val="21"/>
        </w:rPr>
        <w:tab/>
      </w:r>
      <w:r>
        <w:rPr>
          <w:sz w:val="21"/>
        </w:rPr>
        <w:t>6</w:t>
      </w:r>
    </w:p>
    <w:p>
      <w:pPr>
        <w:tabs>
          <w:tab w:pos="8674" w:val="right" w:leader="dot"/>
        </w:tabs>
        <w:spacing w:after="40" w:line="240" w:lineRule="auto"/>
        <w:ind w:left="0"/>
      </w:pPr>
      <w:hyperlink w:anchor="h_7_S_curit__Stripe_et_commerce" w:history="1">
        <w:r>
          <w:rPr>
            <w:rStyle w:val="Hyperlink"/>
            <w:color w:val="302082"/>
            <w:sz w:val="21"/>
            <w:szCs w:val="21"/>
          </w:rPr>
          <w:t>Sécurité Stripe et commerce</w:t>
        </w:r>
      </w:hyperlink>
      <w:r>
        <w:rPr>
          <w:sz w:val="21"/>
        </w:rPr>
        <w:tab/>
      </w:r>
      <w:r>
        <w:rPr>
          <w:sz w:val="21"/>
        </w:rPr>
        <w:t>7</w:t>
      </w:r>
    </w:p>
    <w:p>
      <w:pPr>
        <w:tabs>
          <w:tab w:pos="8674" w:val="right" w:leader="dot"/>
        </w:tabs>
        <w:spacing w:after="40" w:line="240" w:lineRule="auto"/>
        <w:ind w:left="0"/>
      </w:pPr>
      <w:hyperlink w:anchor="h_8_S_curit__du_chatbot_et_prote" w:history="1">
        <w:r>
          <w:rPr>
            <w:rStyle w:val="Hyperlink"/>
            <w:color w:val="302082"/>
            <w:sz w:val="21"/>
            <w:szCs w:val="21"/>
          </w:rPr>
          <w:t>Sécurité du chatbot et protection des données</w:t>
        </w:r>
      </w:hyperlink>
      <w:r>
        <w:rPr>
          <w:sz w:val="21"/>
        </w:rPr>
        <w:tab/>
      </w:r>
      <w:r>
        <w:rPr>
          <w:sz w:val="21"/>
        </w:rPr>
        <w:t>8</w:t>
      </w:r>
    </w:p>
    <w:p>
      <w:pPr>
        <w:tabs>
          <w:tab w:pos="8674" w:val="right" w:leader="dot"/>
        </w:tabs>
        <w:spacing w:after="40" w:line="240" w:lineRule="auto"/>
        <w:ind w:left="255"/>
      </w:pPr>
      <w:hyperlink w:anchor="h_9_Donn_es_et_propri_t_" w:history="1">
        <w:r>
          <w:rPr>
            <w:rStyle w:val="Hyperlink"/>
            <w:color w:val="302082"/>
            <w:sz w:val="21"/>
            <w:szCs w:val="21"/>
          </w:rPr>
          <w:t>Données et propriété</w:t>
        </w:r>
      </w:hyperlink>
      <w:r>
        <w:rPr>
          <w:sz w:val="21"/>
        </w:rPr>
        <w:tab/>
      </w:r>
      <w:r>
        <w:rPr>
          <w:sz w:val="21"/>
        </w:rPr>
        <w:t>8</w:t>
      </w:r>
    </w:p>
    <w:p>
      <w:pPr>
        <w:tabs>
          <w:tab w:pos="8674" w:val="right" w:leader="dot"/>
        </w:tabs>
        <w:spacing w:after="40" w:line="240" w:lineRule="auto"/>
        <w:ind w:left="255"/>
      </w:pPr>
      <w:hyperlink w:anchor="h_10_Prompt_injection_et_abus" w:history="1">
        <w:r>
          <w:rPr>
            <w:rStyle w:val="Hyperlink"/>
            <w:color w:val="302082"/>
            <w:sz w:val="21"/>
            <w:szCs w:val="21"/>
          </w:rPr>
          <w:t>Prompt injection et abus</w:t>
        </w:r>
      </w:hyperlink>
      <w:r>
        <w:rPr>
          <w:sz w:val="21"/>
        </w:rPr>
        <w:tab/>
      </w:r>
      <w:r>
        <w:rPr>
          <w:sz w:val="21"/>
        </w:rPr>
        <w:t>8</w:t>
      </w:r>
    </w:p>
    <w:p>
      <w:pPr>
        <w:tabs>
          <w:tab w:pos="8674" w:val="right" w:leader="dot"/>
        </w:tabs>
        <w:spacing w:after="40" w:line="240" w:lineRule="auto"/>
        <w:ind w:left="255"/>
      </w:pPr>
      <w:hyperlink w:anchor="h_11_Escalade_support" w:history="1">
        <w:r>
          <w:rPr>
            <w:rStyle w:val="Hyperlink"/>
            <w:color w:val="302082"/>
            <w:sz w:val="21"/>
            <w:szCs w:val="21"/>
          </w:rPr>
          <w:t>Escalade support</w:t>
        </w:r>
      </w:hyperlink>
      <w:r>
        <w:rPr>
          <w:sz w:val="21"/>
        </w:rPr>
        <w:tab/>
      </w:r>
      <w:r>
        <w:rPr>
          <w:sz w:val="21"/>
        </w:rPr>
        <w:t>8</w:t>
      </w:r>
    </w:p>
    <w:p>
      <w:pPr>
        <w:tabs>
          <w:tab w:pos="8674" w:val="right" w:leader="dot"/>
        </w:tabs>
        <w:spacing w:after="40" w:line="240" w:lineRule="auto"/>
        <w:ind w:left="0"/>
      </w:pPr>
      <w:hyperlink w:anchor="h_12_Observabilit__respectueuse_d" w:history="1">
        <w:r>
          <w:rPr>
            <w:rStyle w:val="Hyperlink"/>
            <w:color w:val="302082"/>
            <w:sz w:val="21"/>
            <w:szCs w:val="21"/>
          </w:rPr>
          <w:t>Observabilité respectueuse de la vie privée</w:t>
        </w:r>
      </w:hyperlink>
      <w:r>
        <w:rPr>
          <w:sz w:val="21"/>
        </w:rPr>
        <w:tab/>
      </w:r>
      <w:r>
        <w:rPr>
          <w:sz w:val="21"/>
        </w:rPr>
        <w:t>8</w:t>
      </w:r>
    </w:p>
    <w:p>
      <w:pPr>
        <w:tabs>
          <w:tab w:pos="8674" w:val="right" w:leader="dot"/>
        </w:tabs>
        <w:spacing w:after="40" w:line="240" w:lineRule="auto"/>
        <w:ind w:left="0"/>
      </w:pPr>
      <w:hyperlink w:anchor="h_13_D_pendances__CI_et_cha_ne_de" w:history="1">
        <w:r>
          <w:rPr>
            <w:rStyle w:val="Hyperlink"/>
            <w:color w:val="302082"/>
            <w:sz w:val="21"/>
            <w:szCs w:val="21"/>
          </w:rPr>
          <w:t>Dépendances, CI et chaîne de livraison</w:t>
        </w:r>
      </w:hyperlink>
      <w:r>
        <w:rPr>
          <w:sz w:val="21"/>
        </w:rPr>
        <w:tab/>
      </w:r>
      <w:r>
        <w:rPr>
          <w:sz w:val="21"/>
        </w:rPr>
        <w:t>9</w:t>
      </w:r>
    </w:p>
    <w:p>
      <w:pPr>
        <w:tabs>
          <w:tab w:pos="8674" w:val="right" w:leader="dot"/>
        </w:tabs>
        <w:spacing w:after="40" w:line="240" w:lineRule="auto"/>
        <w:ind w:left="0"/>
      </w:pPr>
      <w:hyperlink w:anchor="h_14_RGPD_et_cycle_de_vie" w:history="1">
        <w:r>
          <w:rPr>
            <w:rStyle w:val="Hyperlink"/>
            <w:color w:val="302082"/>
            <w:sz w:val="21"/>
            <w:szCs w:val="21"/>
          </w:rPr>
          <w:t>RGPD et cycle de vie</w:t>
        </w:r>
      </w:hyperlink>
      <w:r>
        <w:rPr>
          <w:sz w:val="21"/>
        </w:rPr>
        <w:tab/>
      </w:r>
      <w:r>
        <w:rPr>
          <w:sz w:val="21"/>
        </w:rPr>
        <w:t>9</w:t>
      </w:r>
    </w:p>
    <w:p>
      <w:pPr>
        <w:tabs>
          <w:tab w:pos="8674" w:val="right" w:leader="dot"/>
        </w:tabs>
        <w:spacing w:after="40" w:line="240" w:lineRule="auto"/>
        <w:ind w:left="0"/>
      </w:pPr>
      <w:hyperlink w:anchor="h_15_R_ponse___incident" w:history="1">
        <w:r>
          <w:rPr>
            <w:rStyle w:val="Hyperlink"/>
            <w:color w:val="302082"/>
            <w:sz w:val="21"/>
            <w:szCs w:val="21"/>
          </w:rPr>
          <w:t>Réponse à incident</w:t>
        </w:r>
      </w:hyperlink>
      <w:r>
        <w:rPr>
          <w:sz w:val="21"/>
        </w:rPr>
        <w:tab/>
      </w:r>
      <w:r>
        <w:rPr>
          <w:sz w:val="21"/>
        </w:rPr>
        <w:t>10</w:t>
      </w:r>
    </w:p>
    <w:p>
      <w:pPr>
        <w:tabs>
          <w:tab w:pos="8674" w:val="right" w:leader="dot"/>
        </w:tabs>
        <w:spacing w:after="40" w:line="240" w:lineRule="auto"/>
        <w:ind w:left="255"/>
      </w:pPr>
      <w:hyperlink w:anchor="h_16_Qualification_et_confinement" w:history="1">
        <w:r>
          <w:rPr>
            <w:rStyle w:val="Hyperlink"/>
            <w:color w:val="302082"/>
            <w:sz w:val="21"/>
            <w:szCs w:val="21"/>
          </w:rPr>
          <w:t>Qualification et confinement</w:t>
        </w:r>
      </w:hyperlink>
      <w:r>
        <w:rPr>
          <w:sz w:val="21"/>
        </w:rPr>
        <w:tab/>
      </w:r>
      <w:r>
        <w:rPr>
          <w:sz w:val="21"/>
        </w:rPr>
        <w:t>10</w:t>
      </w:r>
    </w:p>
    <w:p>
      <w:pPr>
        <w:tabs>
          <w:tab w:pos="8674" w:val="right" w:leader="dot"/>
        </w:tabs>
        <w:spacing w:after="40" w:line="240" w:lineRule="auto"/>
        <w:ind w:left="255"/>
      </w:pPr>
      <w:hyperlink w:anchor="h_17_Niveaux_indicatifs" w:history="1">
        <w:r>
          <w:rPr>
            <w:rStyle w:val="Hyperlink"/>
            <w:color w:val="302082"/>
            <w:sz w:val="21"/>
            <w:szCs w:val="21"/>
          </w:rPr>
          <w:t>Niveaux indicatifs</w:t>
        </w:r>
      </w:hyperlink>
      <w:r>
        <w:rPr>
          <w:sz w:val="21"/>
        </w:rPr>
        <w:tab/>
      </w:r>
      <w:r>
        <w:rPr>
          <w:sz w:val="21"/>
        </w:rPr>
        <w:t>10</w:t>
      </w:r>
    </w:p>
    <w:p>
      <w:pPr>
        <w:tabs>
          <w:tab w:pos="8674" w:val="right" w:leader="dot"/>
        </w:tabs>
        <w:spacing w:after="40" w:line="240" w:lineRule="auto"/>
        <w:ind w:left="0"/>
      </w:pPr>
      <w:hyperlink w:anchor="h_18_V_rifications_et_risques_r_s" w:history="1">
        <w:r>
          <w:rPr>
            <w:rStyle w:val="Hyperlink"/>
            <w:color w:val="302082"/>
            <w:sz w:val="21"/>
            <w:szCs w:val="21"/>
          </w:rPr>
          <w:t>Vérifications et risques résiduels</w:t>
        </w:r>
      </w:hyperlink>
      <w:r>
        <w:rPr>
          <w:sz w:val="21"/>
        </w:rPr>
        <w:tab/>
      </w:r>
      <w:r>
        <w:rPr>
          <w:sz w:val="21"/>
        </w:rPr>
        <w:t>10</w:t>
      </w:r>
    </w:p>
    <w:p>
      <w:r>
        <w:br w:type="page"/>
      </w:r>
    </w:p>
    <w:p>
      <w:bookmarkStart w:id="1" w:name="h_1_Objectifs_et_p_rim_tre"/>
      <w:pPr>
        <w:pStyle w:val="Heading1"/>
      </w:pPr>
      <w:r>
        <w:t>Objectifs et périmètre</w:t>
      </w:r>
      <w:bookmarkEnd w:id="1"/>
    </w:p>
    <w:p>
      <w:r>
        <w:t>Le plan protège la confidentialité des comptes, conversations, tickets et données commerciales, l'intégrité du catalogue et des transactions, ainsi que la disponibilité des parcours essentiels. Il couvre le code Next.js, Supabase, Stripe, Gemini, Netlify, GitHub et Sentry. Les contrôles des fournisseurs restent partagés : CYNA doit configurer les accès, secrets, alertes et durées de conservation même lorsque l'infrastructure est managée.</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765"/>
        <w:gridCol w:w="3707"/>
        <w:gridCol w:w="3707"/>
      </w:tblGrid>
      <w:tr>
        <w:trPr>
          <w:tblHeader w:val="true"/>
        </w:trPr>
        <w:tc>
          <w:tcPr>
            <w:tcW w:type="dxa" w:w="1765"/>
            <w:tcMar>
              <w:top w:w="80" w:type="dxa"/>
              <w:start w:w="110" w:type="dxa"/>
              <w:bottom w:w="80" w:type="dxa"/>
              <w:end w:w="110" w:type="dxa"/>
            </w:tcMar>
            <w:vAlign w:val="center"/>
            <w:shd w:fill="E8EEF5"/>
          </w:tcPr>
          <w:p>
            <w:pPr>
              <w:spacing w:after="0" w:line="240" w:lineRule="auto"/>
            </w:pPr>
            <w:r>
              <w:rPr>
                <w:b/>
                <w:color w:val="302082"/>
                <w:sz w:val="17"/>
              </w:rPr>
              <w:t>Classe</w:t>
            </w:r>
          </w:p>
        </w:tc>
        <w:tc>
          <w:tcPr>
            <w:tcW w:type="dxa" w:w="3707"/>
            <w:tcMar>
              <w:top w:w="80" w:type="dxa"/>
              <w:start w:w="110" w:type="dxa"/>
              <w:bottom w:w="80" w:type="dxa"/>
              <w:end w:w="110" w:type="dxa"/>
            </w:tcMar>
            <w:vAlign w:val="center"/>
            <w:shd w:fill="E8EEF5"/>
          </w:tcPr>
          <w:p>
            <w:pPr>
              <w:spacing w:after="0" w:line="240" w:lineRule="auto"/>
            </w:pPr>
            <w:r>
              <w:rPr>
                <w:b/>
                <w:color w:val="302082"/>
                <w:sz w:val="17"/>
              </w:rPr>
              <w:t>Exemples</w:t>
            </w:r>
          </w:p>
        </w:tc>
        <w:tc>
          <w:tcPr>
            <w:tcW w:type="dxa" w:w="3707"/>
            <w:tcMar>
              <w:top w:w="80" w:type="dxa"/>
              <w:start w:w="110" w:type="dxa"/>
              <w:bottom w:w="80" w:type="dxa"/>
              <w:end w:w="110" w:type="dxa"/>
            </w:tcMar>
            <w:vAlign w:val="center"/>
            <w:shd w:fill="E8EEF5"/>
          </w:tcPr>
          <w:p>
            <w:pPr>
              <w:spacing w:after="0" w:line="240" w:lineRule="auto"/>
            </w:pPr>
            <w:r>
              <w:rPr>
                <w:b/>
                <w:color w:val="302082"/>
                <w:sz w:val="17"/>
              </w:rPr>
              <w:t>Exigence</w:t>
            </w:r>
          </w:p>
        </w:tc>
      </w:tr>
      <w:tr>
        <w:tc>
          <w:tcPr>
            <w:tcW w:type="dxa" w:w="1765"/>
            <w:tcMar>
              <w:top w:w="80" w:type="dxa"/>
              <w:start w:w="110" w:type="dxa"/>
              <w:bottom w:w="80" w:type="dxa"/>
              <w:end w:w="110" w:type="dxa"/>
            </w:tcMar>
            <w:vAlign w:val="center"/>
          </w:tcPr>
          <w:p>
            <w:pPr>
              <w:spacing w:after="0" w:line="240" w:lineRule="auto"/>
            </w:pPr>
            <w:r>
              <w:rPr>
                <w:sz w:val="17"/>
              </w:rPr>
              <w:t>Publique</w:t>
            </w:r>
          </w:p>
        </w:tc>
        <w:tc>
          <w:tcPr>
            <w:tcW w:type="dxa" w:w="3707"/>
            <w:tcMar>
              <w:top w:w="80" w:type="dxa"/>
              <w:start w:w="110" w:type="dxa"/>
              <w:bottom w:w="80" w:type="dxa"/>
              <w:end w:w="110" w:type="dxa"/>
            </w:tcMar>
            <w:vAlign w:val="center"/>
          </w:tcPr>
          <w:p>
            <w:pPr>
              <w:spacing w:after="0" w:line="240" w:lineRule="auto"/>
            </w:pPr>
            <w:r>
              <w:rPr>
                <w:sz w:val="17"/>
              </w:rPr>
              <w:t>catalogue, catégories, traductions, médias marketing</w:t>
            </w:r>
          </w:p>
        </w:tc>
        <w:tc>
          <w:tcPr>
            <w:tcW w:type="dxa" w:w="3707"/>
            <w:tcMar>
              <w:top w:w="80" w:type="dxa"/>
              <w:start w:w="110" w:type="dxa"/>
              <w:bottom w:w="80" w:type="dxa"/>
              <w:end w:w="110" w:type="dxa"/>
            </w:tcMar>
            <w:vAlign w:val="center"/>
          </w:tcPr>
          <w:p>
            <w:pPr>
              <w:spacing w:after="0" w:line="240" w:lineRule="auto"/>
            </w:pPr>
            <w:r>
              <w:rPr>
                <w:sz w:val="17"/>
              </w:rPr>
              <w:t>Intégrité et disponibilité</w:t>
            </w:r>
          </w:p>
        </w:tc>
      </w:tr>
      <w:tr>
        <w:tc>
          <w:tcPr>
            <w:tcW w:type="dxa" w:w="1765"/>
            <w:tcMar>
              <w:top w:w="80" w:type="dxa"/>
              <w:start w:w="110" w:type="dxa"/>
              <w:bottom w:w="80" w:type="dxa"/>
              <w:end w:w="110" w:type="dxa"/>
            </w:tcMar>
            <w:vAlign w:val="center"/>
            <w:shd w:fill="F8F7FC"/>
          </w:tcPr>
          <w:p>
            <w:pPr>
              <w:spacing w:after="0" w:line="240" w:lineRule="auto"/>
            </w:pPr>
            <w:r>
              <w:rPr>
                <w:sz w:val="17"/>
              </w:rPr>
              <w:t>Interne</w:t>
            </w:r>
          </w:p>
        </w:tc>
        <w:tc>
          <w:tcPr>
            <w:tcW w:type="dxa" w:w="3707"/>
            <w:tcMar>
              <w:top w:w="80" w:type="dxa"/>
              <w:start w:w="110" w:type="dxa"/>
              <w:bottom w:w="80" w:type="dxa"/>
              <w:end w:w="110" w:type="dxa"/>
            </w:tcMar>
            <w:vAlign w:val="center"/>
            <w:shd w:fill="F8F7FC"/>
          </w:tcPr>
          <w:p>
            <w:pPr>
              <w:spacing w:after="0" w:line="240" w:lineRule="auto"/>
            </w:pPr>
            <w:r>
              <w:rPr>
                <w:sz w:val="17"/>
              </w:rPr>
              <w:t>configuration tarifaire, promotions, métriques agrégées</w:t>
            </w:r>
          </w:p>
        </w:tc>
        <w:tc>
          <w:tcPr>
            <w:tcW w:type="dxa" w:w="3707"/>
            <w:tcMar>
              <w:top w:w="80" w:type="dxa"/>
              <w:start w:w="110" w:type="dxa"/>
              <w:bottom w:w="80" w:type="dxa"/>
              <w:end w:w="110" w:type="dxa"/>
            </w:tcMar>
            <w:vAlign w:val="center"/>
            <w:shd w:fill="F8F7FC"/>
          </w:tcPr>
          <w:p>
            <w:pPr>
              <w:spacing w:after="0" w:line="240" w:lineRule="auto"/>
            </w:pPr>
            <w:r>
              <w:rPr>
                <w:sz w:val="17"/>
              </w:rPr>
              <w:t>Accès limité à l'application et aux admins</w:t>
            </w:r>
          </w:p>
        </w:tc>
      </w:tr>
      <w:tr>
        <w:tc>
          <w:tcPr>
            <w:tcW w:type="dxa" w:w="1765"/>
            <w:tcMar>
              <w:top w:w="80" w:type="dxa"/>
              <w:start w:w="110" w:type="dxa"/>
              <w:bottom w:w="80" w:type="dxa"/>
              <w:end w:w="110" w:type="dxa"/>
            </w:tcMar>
            <w:vAlign w:val="center"/>
          </w:tcPr>
          <w:p>
            <w:pPr>
              <w:spacing w:after="0" w:line="240" w:lineRule="auto"/>
            </w:pPr>
            <w:r>
              <w:rPr>
                <w:sz w:val="17"/>
              </w:rPr>
              <w:t>Personnelle</w:t>
            </w:r>
          </w:p>
        </w:tc>
        <w:tc>
          <w:tcPr>
            <w:tcW w:type="dxa" w:w="3707"/>
            <w:tcMar>
              <w:top w:w="80" w:type="dxa"/>
              <w:start w:w="110" w:type="dxa"/>
              <w:bottom w:w="80" w:type="dxa"/>
              <w:end w:w="110" w:type="dxa"/>
            </w:tcMar>
            <w:vAlign w:val="center"/>
          </w:tcPr>
          <w:p>
            <w:pPr>
              <w:spacing w:after="0" w:line="240" w:lineRule="auto"/>
            </w:pPr>
            <w:r>
              <w:rPr>
                <w:sz w:val="17"/>
              </w:rPr>
              <w:t>profil, e-mail, adresse, tickets, conversations</w:t>
            </w:r>
          </w:p>
        </w:tc>
        <w:tc>
          <w:tcPr>
            <w:tcW w:type="dxa" w:w="3707"/>
            <w:tcMar>
              <w:top w:w="80" w:type="dxa"/>
              <w:start w:w="110" w:type="dxa"/>
              <w:bottom w:w="80" w:type="dxa"/>
              <w:end w:w="110" w:type="dxa"/>
            </w:tcMar>
            <w:vAlign w:val="center"/>
          </w:tcPr>
          <w:p>
            <w:pPr>
              <w:spacing w:after="0" w:line="240" w:lineRule="auto"/>
            </w:pPr>
            <w:r>
              <w:rPr>
                <w:sz w:val="17"/>
              </w:rPr>
              <w:t>Finalité, minimisation, droits et rétention</w:t>
            </w:r>
          </w:p>
        </w:tc>
      </w:tr>
      <w:tr>
        <w:tc>
          <w:tcPr>
            <w:tcW w:type="dxa" w:w="1765"/>
            <w:tcMar>
              <w:top w:w="80" w:type="dxa"/>
              <w:start w:w="110" w:type="dxa"/>
              <w:bottom w:w="80" w:type="dxa"/>
              <w:end w:w="110" w:type="dxa"/>
            </w:tcMar>
            <w:vAlign w:val="center"/>
            <w:shd w:fill="F8F7FC"/>
          </w:tcPr>
          <w:p>
            <w:pPr>
              <w:spacing w:after="0" w:line="240" w:lineRule="auto"/>
            </w:pPr>
            <w:r>
              <w:rPr>
                <w:sz w:val="17"/>
              </w:rPr>
              <w:t>Financière indirecte</w:t>
            </w:r>
          </w:p>
        </w:tc>
        <w:tc>
          <w:tcPr>
            <w:tcW w:type="dxa" w:w="3707"/>
            <w:tcMar>
              <w:top w:w="80" w:type="dxa"/>
              <w:start w:w="110" w:type="dxa"/>
              <w:bottom w:w="80" w:type="dxa"/>
              <w:end w:w="110" w:type="dxa"/>
            </w:tcMar>
            <w:vAlign w:val="center"/>
            <w:shd w:fill="F8F7FC"/>
          </w:tcPr>
          <w:p>
            <w:pPr>
              <w:spacing w:after="0" w:line="240" w:lineRule="auto"/>
            </w:pPr>
            <w:r>
              <w:rPr>
                <w:sz w:val="17"/>
              </w:rPr>
              <w:t>commande, statut, facture, identifiants Stripe, dernier 4</w:t>
            </w:r>
          </w:p>
        </w:tc>
        <w:tc>
          <w:tcPr>
            <w:tcW w:type="dxa" w:w="3707"/>
            <w:tcMar>
              <w:top w:w="80" w:type="dxa"/>
              <w:start w:w="110" w:type="dxa"/>
              <w:bottom w:w="80" w:type="dxa"/>
              <w:end w:w="110" w:type="dxa"/>
            </w:tcMar>
            <w:vAlign w:val="center"/>
            <w:shd w:fill="F8F7FC"/>
          </w:tcPr>
          <w:p>
            <w:pPr>
              <w:spacing w:after="0" w:line="240" w:lineRule="auto"/>
            </w:pPr>
            <w:r>
              <w:rPr>
                <w:sz w:val="17"/>
              </w:rPr>
              <w:t>Forte intégrité ; aucune donnée carte complète dans CYNA</w:t>
            </w:r>
          </w:p>
        </w:tc>
      </w:tr>
      <w:tr>
        <w:tc>
          <w:tcPr>
            <w:tcW w:type="dxa" w:w="1765"/>
            <w:tcMar>
              <w:top w:w="80" w:type="dxa"/>
              <w:start w:w="110" w:type="dxa"/>
              <w:bottom w:w="80" w:type="dxa"/>
              <w:end w:w="110" w:type="dxa"/>
            </w:tcMar>
            <w:vAlign w:val="center"/>
          </w:tcPr>
          <w:p>
            <w:pPr>
              <w:spacing w:after="0" w:line="240" w:lineRule="auto"/>
            </w:pPr>
            <w:r>
              <w:rPr>
                <w:sz w:val="17"/>
              </w:rPr>
              <w:t>Secret</w:t>
            </w:r>
          </w:p>
        </w:tc>
        <w:tc>
          <w:tcPr>
            <w:tcW w:type="dxa" w:w="3707"/>
            <w:tcMar>
              <w:top w:w="80" w:type="dxa"/>
              <w:start w:w="110" w:type="dxa"/>
              <w:bottom w:w="80" w:type="dxa"/>
              <w:end w:w="110" w:type="dxa"/>
            </w:tcMar>
            <w:vAlign w:val="center"/>
          </w:tcPr>
          <w:p>
            <w:pPr>
              <w:spacing w:after="0" w:line="240" w:lineRule="auto"/>
            </w:pPr>
            <w:r>
              <w:rPr>
                <w:sz w:val="17"/>
              </w:rPr>
              <w:t>clés service role, Stripe, Gemini, Sentry upload</w:t>
            </w:r>
          </w:p>
        </w:tc>
        <w:tc>
          <w:tcPr>
            <w:tcW w:type="dxa" w:w="3707"/>
            <w:tcMar>
              <w:top w:w="80" w:type="dxa"/>
              <w:start w:w="110" w:type="dxa"/>
              <w:bottom w:w="80" w:type="dxa"/>
              <w:end w:w="110" w:type="dxa"/>
            </w:tcMar>
            <w:vAlign w:val="center"/>
          </w:tcPr>
          <w:p>
            <w:pPr>
              <w:spacing w:after="0" w:line="240" w:lineRule="auto"/>
            </w:pPr>
            <w:r>
              <w:rPr>
                <w:sz w:val="17"/>
              </w:rPr>
              <w:t>Stockage plateforme, rotation et moindre privilège</w:t>
            </w:r>
          </w:p>
        </w:tc>
      </w:tr>
    </w:tbl>
    <w:p>
      <w:pPr>
        <w:spacing w:after="0"/>
      </w:pPr>
    </w:p>
    <w:p>
      <w:bookmarkStart w:id="2" w:name="h_2_Fronti_res_de_confiance_et_m"/>
      <w:pPr>
        <w:pStyle w:val="Heading1"/>
      </w:pPr>
      <w:r>
        <w:t>Frontières de confiance et menaces</w:t>
      </w:r>
      <w:bookmarkEnd w:id="2"/>
    </w:p>
    <w:p>
      <w:pPr>
        <w:keepNext/>
        <w:jc w:val="center"/>
      </w:pPr>
      <w:r>
        <w:drawing>
          <wp:inline xmlns:a="http://schemas.openxmlformats.org/drawingml/2006/main" xmlns:pic="http://schemas.openxmlformats.org/drawingml/2006/picture">
            <wp:extent cx="5652000" cy="1768365"/>
            <wp:docPr id="2" name="Picture 2" descr="Contexte et frontières de confiance" title="Contexte et frontières de confiance"/>
            <wp:cNvGraphicFramePr>
              <a:graphicFrameLocks noChangeAspect="1"/>
            </wp:cNvGraphicFramePr>
            <a:graphic>
              <a:graphicData uri="http://schemas.openxmlformats.org/drawingml/2006/picture">
                <pic:pic>
                  <pic:nvPicPr>
                    <pic:cNvPr id="0" name="01-architecture.png"/>
                    <pic:cNvPicPr/>
                  </pic:nvPicPr>
                  <pic:blipFill>
                    <a:blip r:embed="rId10"/>
                    <a:stretch>
                      <a:fillRect/>
                    </a:stretch>
                  </pic:blipFill>
                  <pic:spPr>
                    <a:xfrm>
                      <a:off x="0" y="0"/>
                      <a:ext cx="5652000" cy="1768365"/>
                    </a:xfrm>
                    <a:prstGeom prst="rect"/>
                  </pic:spPr>
                </pic:pic>
              </a:graphicData>
            </a:graphic>
          </wp:inline>
        </w:drawing>
      </w:r>
    </w:p>
    <w:p>
      <w:pPr>
        <w:pStyle w:val="CYNACaption"/>
      </w:pPr>
      <w:r>
        <w:t>Contexte et frontières de confiance</w:t>
      </w:r>
    </w:p>
    <w:p>
      <w:r>
        <w:t>Le navigateur est non fiable. Netlify exécute le code CYNA et détient les secrets serveur. Supabase accepte des appels publics contraints par RLS et des appels service role privilégiés. Stripe devient fiable pour un événement uniquement après vérification cryptographique de la signature sur le corps brut. Gemini est un sous-traitant de génération recevant des tours minimisés. Sentry reçoit des événements après filtrage.</w:t>
      </w:r>
    </w:p>
    <w:p>
      <w:pPr>
        <w:sectPr>
          <w:headerReference w:type="default" r:id="rId14"/>
          <w:footerReference w:type="default" r:id="rId15"/>
          <w:pgSz w:w="11906" w:h="16838"/>
          <w:pgMar w:top="1361" w:right="1361" w:bottom="1247" w:left="1361" w:header="709" w:footer="709" w:gutter="0"/>
          <w:cols w:space="720"/>
          <w:docGrid w:linePitch="360"/>
        </w:sectPr>
      </w:pP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2154"/>
        <w:gridCol w:w="3191"/>
        <w:gridCol w:w="2553"/>
        <w:gridCol w:w="3350"/>
        <w:gridCol w:w="3350"/>
      </w:tblGrid>
      <w:tr>
        <w:trPr>
          <w:tblHeader w:val="true"/>
        </w:trPr>
        <w:tc>
          <w:tcPr>
            <w:tcW w:type="dxa" w:w="2154"/>
            <w:tcMar>
              <w:top w:w="80" w:type="dxa"/>
              <w:start w:w="110" w:type="dxa"/>
              <w:bottom w:w="80" w:type="dxa"/>
              <w:end w:w="110" w:type="dxa"/>
            </w:tcMar>
            <w:vAlign w:val="center"/>
            <w:shd w:fill="E8EEF5"/>
          </w:tcPr>
          <w:p>
            <w:pPr>
              <w:spacing w:after="0" w:line="240" w:lineRule="auto"/>
            </w:pPr>
            <w:r>
              <w:rPr>
                <w:b/>
                <w:color w:val="302082"/>
                <w:sz w:val="16"/>
              </w:rPr>
              <w:t>Menace</w:t>
            </w:r>
          </w:p>
        </w:tc>
        <w:tc>
          <w:tcPr>
            <w:tcW w:type="dxa" w:w="3191"/>
            <w:tcMar>
              <w:top w:w="80" w:type="dxa"/>
              <w:start w:w="110" w:type="dxa"/>
              <w:bottom w:w="80" w:type="dxa"/>
              <w:end w:w="110" w:type="dxa"/>
            </w:tcMar>
            <w:vAlign w:val="center"/>
            <w:shd w:fill="E8EEF5"/>
          </w:tcPr>
          <w:p>
            <w:pPr>
              <w:spacing w:after="0" w:line="240" w:lineRule="auto"/>
            </w:pPr>
            <w:r>
              <w:rPr>
                <w:b/>
                <w:color w:val="302082"/>
                <w:sz w:val="16"/>
              </w:rPr>
              <w:t>Vecteur</w:t>
            </w:r>
          </w:p>
        </w:tc>
        <w:tc>
          <w:tcPr>
            <w:tcW w:type="dxa" w:w="2553"/>
            <w:tcMar>
              <w:top w:w="80" w:type="dxa"/>
              <w:start w:w="110" w:type="dxa"/>
              <w:bottom w:w="80" w:type="dxa"/>
              <w:end w:w="110" w:type="dxa"/>
            </w:tcMar>
            <w:vAlign w:val="center"/>
            <w:shd w:fill="E8EEF5"/>
          </w:tcPr>
          <w:p>
            <w:pPr>
              <w:spacing w:after="0" w:line="240" w:lineRule="auto"/>
            </w:pPr>
            <w:r>
              <w:rPr>
                <w:b/>
                <w:color w:val="302082"/>
                <w:sz w:val="16"/>
              </w:rPr>
              <w:t>Impact</w:t>
            </w:r>
          </w:p>
        </w:tc>
        <w:tc>
          <w:tcPr>
            <w:tcW w:type="dxa" w:w="3350"/>
            <w:tcMar>
              <w:top w:w="80" w:type="dxa"/>
              <w:start w:w="110" w:type="dxa"/>
              <w:bottom w:w="80" w:type="dxa"/>
              <w:end w:w="110" w:type="dxa"/>
            </w:tcMar>
            <w:vAlign w:val="center"/>
            <w:shd w:fill="E8EEF5"/>
          </w:tcPr>
          <w:p>
            <w:pPr>
              <w:spacing w:after="0" w:line="240" w:lineRule="auto"/>
            </w:pPr>
            <w:r>
              <w:rPr>
                <w:b/>
                <w:color w:val="302082"/>
                <w:sz w:val="16"/>
              </w:rPr>
              <w:t>Contrôles actuels</w:t>
            </w:r>
          </w:p>
        </w:tc>
        <w:tc>
          <w:tcPr>
            <w:tcW w:type="dxa" w:w="3350"/>
            <w:tcMar>
              <w:top w:w="80" w:type="dxa"/>
              <w:start w:w="110" w:type="dxa"/>
              <w:bottom w:w="80" w:type="dxa"/>
              <w:end w:w="110" w:type="dxa"/>
            </w:tcMar>
            <w:vAlign w:val="center"/>
            <w:shd w:fill="E8EEF5"/>
          </w:tcPr>
          <w:p>
            <w:pPr>
              <w:spacing w:after="0" w:line="240" w:lineRule="auto"/>
            </w:pPr>
            <w:r>
              <w:rPr>
                <w:b/>
                <w:color w:val="302082"/>
                <w:sz w:val="16"/>
              </w:rPr>
              <w:t>Risque résiduel / action</w:t>
            </w:r>
          </w:p>
        </w:tc>
      </w:tr>
      <w:tr>
        <w:tc>
          <w:tcPr>
            <w:tcW w:type="dxa" w:w="2154"/>
            <w:tcMar>
              <w:top w:w="80" w:type="dxa"/>
              <w:start w:w="110" w:type="dxa"/>
              <w:bottom w:w="80" w:type="dxa"/>
              <w:end w:w="110" w:type="dxa"/>
            </w:tcMar>
            <w:vAlign w:val="center"/>
          </w:tcPr>
          <w:p>
            <w:pPr>
              <w:spacing w:after="0" w:line="240" w:lineRule="auto"/>
            </w:pPr>
            <w:r>
              <w:rPr>
                <w:sz w:val="16"/>
              </w:rPr>
              <w:t>Usurpation client</w:t>
            </w:r>
          </w:p>
        </w:tc>
        <w:tc>
          <w:tcPr>
            <w:tcW w:type="dxa" w:w="3191"/>
            <w:tcMar>
              <w:top w:w="80" w:type="dxa"/>
              <w:start w:w="110" w:type="dxa"/>
              <w:bottom w:w="80" w:type="dxa"/>
              <w:end w:w="110" w:type="dxa"/>
            </w:tcMar>
            <w:vAlign w:val="center"/>
          </w:tcPr>
          <w:p>
            <w:pPr>
              <w:spacing w:after="0" w:line="240" w:lineRule="auto"/>
            </w:pPr>
            <w:r>
              <w:rPr>
                <w:sz w:val="16"/>
              </w:rPr>
              <w:t>cookie volé, callback détourné</w:t>
            </w:r>
          </w:p>
        </w:tc>
        <w:tc>
          <w:tcPr>
            <w:tcW w:type="dxa" w:w="2553"/>
            <w:tcMar>
              <w:top w:w="80" w:type="dxa"/>
              <w:start w:w="110" w:type="dxa"/>
              <w:bottom w:w="80" w:type="dxa"/>
              <w:end w:w="110" w:type="dxa"/>
            </w:tcMar>
            <w:vAlign w:val="center"/>
          </w:tcPr>
          <w:p>
            <w:pPr>
              <w:spacing w:after="0" w:line="240" w:lineRule="auto"/>
            </w:pPr>
            <w:r>
              <w:rPr>
                <w:sz w:val="16"/>
              </w:rPr>
              <w:t>Accès au compte</w:t>
            </w:r>
          </w:p>
        </w:tc>
        <w:tc>
          <w:tcPr>
            <w:tcW w:type="dxa" w:w="3350"/>
            <w:tcMar>
              <w:top w:w="80" w:type="dxa"/>
              <w:start w:w="110" w:type="dxa"/>
              <w:bottom w:w="80" w:type="dxa"/>
              <w:end w:w="110" w:type="dxa"/>
            </w:tcMar>
            <w:vAlign w:val="center"/>
          </w:tcPr>
          <w:p>
            <w:pPr>
              <w:spacing w:after="0" w:line="240" w:lineRule="auto"/>
            </w:pPr>
            <w:r>
              <w:rPr>
                <w:sz w:val="16"/>
              </w:rPr>
              <w:t xml:space="preserve">HTTPS, cookies Supabase, PKCE, </w:t>
            </w:r>
            <w:r>
              <w:rPr>
                <w:rFonts w:ascii="Consolas" w:hAnsi="Consolas"/>
                <w:color w:val="4A339E"/>
                <w:sz w:val="16"/>
              </w:rPr>
              <w:t>next</w:t>
            </w:r>
            <w:r>
              <w:rPr>
                <w:sz w:val="16"/>
              </w:rPr>
              <w:t xml:space="preserve"> assaini</w:t>
            </w:r>
          </w:p>
        </w:tc>
        <w:tc>
          <w:tcPr>
            <w:tcW w:type="dxa" w:w="3350"/>
            <w:tcMar>
              <w:top w:w="80" w:type="dxa"/>
              <w:start w:w="110" w:type="dxa"/>
              <w:bottom w:w="80" w:type="dxa"/>
              <w:end w:w="110" w:type="dxa"/>
            </w:tcMar>
            <w:vAlign w:val="center"/>
          </w:tcPr>
          <w:p>
            <w:pPr>
              <w:spacing w:after="0" w:line="240" w:lineRule="auto"/>
            </w:pPr>
            <w:r>
              <w:rPr>
                <w:sz w:val="16"/>
              </w:rPr>
              <w:t>Surveiller sessions ; documenter révocation</w:t>
            </w:r>
          </w:p>
        </w:tc>
      </w:tr>
      <w:tr>
        <w:tc>
          <w:tcPr>
            <w:tcW w:type="dxa" w:w="2154"/>
            <w:tcMar>
              <w:top w:w="80" w:type="dxa"/>
              <w:start w:w="110" w:type="dxa"/>
              <w:bottom w:w="80" w:type="dxa"/>
              <w:end w:w="110" w:type="dxa"/>
            </w:tcMar>
            <w:vAlign w:val="center"/>
            <w:shd w:fill="F8F7FC"/>
          </w:tcPr>
          <w:p>
            <w:pPr>
              <w:spacing w:after="0" w:line="240" w:lineRule="auto"/>
            </w:pPr>
            <w:r>
              <w:rPr>
                <w:sz w:val="16"/>
              </w:rPr>
              <w:t>Élévation admin</w:t>
            </w:r>
          </w:p>
        </w:tc>
        <w:tc>
          <w:tcPr>
            <w:tcW w:type="dxa" w:w="3191"/>
            <w:tcMar>
              <w:top w:w="80" w:type="dxa"/>
              <w:start w:w="110" w:type="dxa"/>
              <w:bottom w:w="80" w:type="dxa"/>
              <w:end w:w="110" w:type="dxa"/>
            </w:tcMar>
            <w:vAlign w:val="center"/>
            <w:shd w:fill="F8F7FC"/>
          </w:tcPr>
          <w:p>
            <w:pPr>
              <w:spacing w:after="0" w:line="240" w:lineRule="auto"/>
            </w:pPr>
            <w:r>
              <w:rPr>
                <w:sz w:val="16"/>
              </w:rPr>
              <w:t>rôle côté client, session AAL1</w:t>
            </w:r>
          </w:p>
        </w:tc>
        <w:tc>
          <w:tcPr>
            <w:tcW w:type="dxa" w:w="2553"/>
            <w:tcMar>
              <w:top w:w="80" w:type="dxa"/>
              <w:start w:w="110" w:type="dxa"/>
              <w:bottom w:w="80" w:type="dxa"/>
              <w:end w:w="110" w:type="dxa"/>
            </w:tcMar>
            <w:vAlign w:val="center"/>
            <w:shd w:fill="F8F7FC"/>
          </w:tcPr>
          <w:p>
            <w:pPr>
              <w:spacing w:after="0" w:line="240" w:lineRule="auto"/>
            </w:pPr>
            <w:r>
              <w:rPr>
                <w:sz w:val="16"/>
              </w:rPr>
              <w:t>BackOffice et données</w:t>
            </w:r>
          </w:p>
        </w:tc>
        <w:tc>
          <w:tcPr>
            <w:tcW w:type="dxa" w:w="3350"/>
            <w:tcMar>
              <w:top w:w="80" w:type="dxa"/>
              <w:start w:w="110" w:type="dxa"/>
              <w:bottom w:w="80" w:type="dxa"/>
              <w:end w:w="110" w:type="dxa"/>
            </w:tcMar>
            <w:vAlign w:val="center"/>
            <w:shd w:fill="F8F7FC"/>
          </w:tcPr>
          <w:p>
            <w:pPr>
              <w:spacing w:after="0" w:line="240" w:lineRule="auto"/>
            </w:pPr>
            <w:r>
              <w:rPr>
                <w:sz w:val="16"/>
              </w:rPr>
              <w:t>rôle/activité serveur, MFA TOTP AAL2, RLS</w:t>
            </w:r>
          </w:p>
        </w:tc>
        <w:tc>
          <w:tcPr>
            <w:tcW w:type="dxa" w:w="3350"/>
            <w:tcMar>
              <w:top w:w="80" w:type="dxa"/>
              <w:start w:w="110" w:type="dxa"/>
              <w:bottom w:w="80" w:type="dxa"/>
              <w:end w:w="110" w:type="dxa"/>
            </w:tcMar>
            <w:vAlign w:val="center"/>
            <w:shd w:fill="F8F7FC"/>
          </w:tcPr>
          <w:p>
            <w:pPr>
              <w:spacing w:after="0" w:line="240" w:lineRule="auto"/>
            </w:pPr>
            <w:r>
              <w:rPr>
                <w:sz w:val="16"/>
              </w:rPr>
              <w:t>Tester chaque nouvelle action sensible</w:t>
            </w:r>
          </w:p>
        </w:tc>
      </w:tr>
      <w:tr>
        <w:tc>
          <w:tcPr>
            <w:tcW w:type="dxa" w:w="2154"/>
            <w:tcMar>
              <w:top w:w="80" w:type="dxa"/>
              <w:start w:w="110" w:type="dxa"/>
              <w:bottom w:w="80" w:type="dxa"/>
              <w:end w:w="110" w:type="dxa"/>
            </w:tcMar>
            <w:vAlign w:val="center"/>
          </w:tcPr>
          <w:p>
            <w:pPr>
              <w:spacing w:after="0" w:line="240" w:lineRule="auto"/>
            </w:pPr>
            <w:r>
              <w:rPr>
                <w:sz w:val="16"/>
              </w:rPr>
              <w:t>IDOR</w:t>
            </w:r>
          </w:p>
        </w:tc>
        <w:tc>
          <w:tcPr>
            <w:tcW w:type="dxa" w:w="3191"/>
            <w:tcMar>
              <w:top w:w="80" w:type="dxa"/>
              <w:start w:w="110" w:type="dxa"/>
              <w:bottom w:w="80" w:type="dxa"/>
              <w:end w:w="110" w:type="dxa"/>
            </w:tcMar>
            <w:vAlign w:val="center"/>
          </w:tcPr>
          <w:p>
            <w:pPr>
              <w:spacing w:after="0" w:line="240" w:lineRule="auto"/>
            </w:pPr>
            <w:r>
              <w:rPr>
                <w:sz w:val="16"/>
              </w:rPr>
              <w:t>identifiant commande/ticket/conversation</w:t>
            </w:r>
          </w:p>
        </w:tc>
        <w:tc>
          <w:tcPr>
            <w:tcW w:type="dxa" w:w="2553"/>
            <w:tcMar>
              <w:top w:w="80" w:type="dxa"/>
              <w:start w:w="110" w:type="dxa"/>
              <w:bottom w:w="80" w:type="dxa"/>
              <w:end w:w="110" w:type="dxa"/>
            </w:tcMar>
            <w:vAlign w:val="center"/>
          </w:tcPr>
          <w:p>
            <w:pPr>
              <w:spacing w:after="0" w:line="240" w:lineRule="auto"/>
            </w:pPr>
            <w:r>
              <w:rPr>
                <w:sz w:val="16"/>
              </w:rPr>
              <w:t>Fuite ou mutation croisée</w:t>
            </w:r>
          </w:p>
        </w:tc>
        <w:tc>
          <w:tcPr>
            <w:tcW w:type="dxa" w:w="3350"/>
            <w:tcMar>
              <w:top w:w="80" w:type="dxa"/>
              <w:start w:w="110" w:type="dxa"/>
              <w:bottom w:w="80" w:type="dxa"/>
              <w:end w:w="110" w:type="dxa"/>
            </w:tcMar>
            <w:vAlign w:val="center"/>
          </w:tcPr>
          <w:p>
            <w:pPr>
              <w:spacing w:after="0" w:line="240" w:lineRule="auto"/>
            </w:pPr>
            <w:r>
              <w:rPr>
                <w:sz w:val="16"/>
              </w:rPr>
              <w:t>propriété vérifiée, requêtes filtrées, RLS</w:t>
            </w:r>
          </w:p>
        </w:tc>
        <w:tc>
          <w:tcPr>
            <w:tcW w:type="dxa" w:w="3350"/>
            <w:tcMar>
              <w:top w:w="80" w:type="dxa"/>
              <w:start w:w="110" w:type="dxa"/>
              <w:bottom w:w="80" w:type="dxa"/>
              <w:end w:w="110" w:type="dxa"/>
            </w:tcMar>
            <w:vAlign w:val="center"/>
          </w:tcPr>
          <w:p>
            <w:pPr>
              <w:spacing w:after="0" w:line="240" w:lineRule="auto"/>
            </w:pPr>
            <w:r>
              <w:rPr>
                <w:sz w:val="16"/>
              </w:rPr>
              <w:t>Ajouter tests d'intégration systématiques</w:t>
            </w:r>
          </w:p>
        </w:tc>
      </w:tr>
      <w:tr>
        <w:tc>
          <w:tcPr>
            <w:tcW w:type="dxa" w:w="2154"/>
            <w:tcMar>
              <w:top w:w="80" w:type="dxa"/>
              <w:start w:w="110" w:type="dxa"/>
              <w:bottom w:w="80" w:type="dxa"/>
              <w:end w:w="110" w:type="dxa"/>
            </w:tcMar>
            <w:vAlign w:val="center"/>
            <w:shd w:fill="F8F7FC"/>
          </w:tcPr>
          <w:p>
            <w:pPr>
              <w:spacing w:after="0" w:line="240" w:lineRule="auto"/>
            </w:pPr>
            <w:r>
              <w:rPr>
                <w:sz w:val="16"/>
              </w:rPr>
              <w:t>Falsification paiement</w:t>
            </w:r>
          </w:p>
        </w:tc>
        <w:tc>
          <w:tcPr>
            <w:tcW w:type="dxa" w:w="3191"/>
            <w:tcMar>
              <w:top w:w="80" w:type="dxa"/>
              <w:start w:w="110" w:type="dxa"/>
              <w:bottom w:w="80" w:type="dxa"/>
              <w:end w:w="110" w:type="dxa"/>
            </w:tcMar>
            <w:vAlign w:val="center"/>
            <w:shd w:fill="F8F7FC"/>
          </w:tcPr>
          <w:p>
            <w:pPr>
              <w:spacing w:after="0" w:line="240" w:lineRule="auto"/>
            </w:pPr>
            <w:r>
              <w:rPr>
                <w:sz w:val="16"/>
              </w:rPr>
              <w:t>montant client ou faux webhook</w:t>
            </w:r>
          </w:p>
        </w:tc>
        <w:tc>
          <w:tcPr>
            <w:tcW w:type="dxa" w:w="2553"/>
            <w:tcMar>
              <w:top w:w="80" w:type="dxa"/>
              <w:start w:w="110" w:type="dxa"/>
              <w:bottom w:w="80" w:type="dxa"/>
              <w:end w:w="110" w:type="dxa"/>
            </w:tcMar>
            <w:vAlign w:val="center"/>
            <w:shd w:fill="F8F7FC"/>
          </w:tcPr>
          <w:p>
            <w:pPr>
              <w:spacing w:after="0" w:line="240" w:lineRule="auto"/>
            </w:pPr>
            <w:r>
              <w:rPr>
                <w:sz w:val="16"/>
              </w:rPr>
              <w:t>Produit non payé, fraude</w:t>
            </w:r>
          </w:p>
        </w:tc>
        <w:tc>
          <w:tcPr>
            <w:tcW w:type="dxa" w:w="3350"/>
            <w:tcMar>
              <w:top w:w="80" w:type="dxa"/>
              <w:start w:w="110" w:type="dxa"/>
              <w:bottom w:w="80" w:type="dxa"/>
              <w:end w:w="110" w:type="dxa"/>
            </w:tcMar>
            <w:vAlign w:val="center"/>
            <w:shd w:fill="F8F7FC"/>
          </w:tcPr>
          <w:p>
            <w:pPr>
              <w:spacing w:after="0" w:line="240" w:lineRule="auto"/>
            </w:pPr>
            <w:r>
              <w:rPr>
                <w:sz w:val="16"/>
              </w:rPr>
              <w:t>prix relu serveur, signature Stripe, RPC idempotente</w:t>
            </w:r>
          </w:p>
        </w:tc>
        <w:tc>
          <w:tcPr>
            <w:tcW w:type="dxa" w:w="3350"/>
            <w:tcMar>
              <w:top w:w="80" w:type="dxa"/>
              <w:start w:w="110" w:type="dxa"/>
              <w:bottom w:w="80" w:type="dxa"/>
              <w:end w:w="110" w:type="dxa"/>
            </w:tcMar>
            <w:vAlign w:val="center"/>
            <w:shd w:fill="F8F7FC"/>
          </w:tcPr>
          <w:p>
            <w:pPr>
              <w:spacing w:after="0" w:line="240" w:lineRule="auto"/>
            </w:pPr>
            <w:r>
              <w:rPr>
                <w:sz w:val="16"/>
              </w:rPr>
              <w:t>Suivre commandes abandonnées et incohérences</w:t>
            </w:r>
          </w:p>
        </w:tc>
      </w:tr>
      <w:tr>
        <w:tc>
          <w:tcPr>
            <w:tcW w:type="dxa" w:w="2154"/>
            <w:tcMar>
              <w:top w:w="80" w:type="dxa"/>
              <w:start w:w="110" w:type="dxa"/>
              <w:bottom w:w="80" w:type="dxa"/>
              <w:end w:w="110" w:type="dxa"/>
            </w:tcMar>
            <w:vAlign w:val="center"/>
          </w:tcPr>
          <w:p>
            <w:pPr>
              <w:spacing w:after="0" w:line="240" w:lineRule="auto"/>
            </w:pPr>
            <w:r>
              <w:rPr>
                <w:sz w:val="16"/>
              </w:rPr>
              <w:t>Replay webhook</w:t>
            </w:r>
          </w:p>
        </w:tc>
        <w:tc>
          <w:tcPr>
            <w:tcW w:type="dxa" w:w="3191"/>
            <w:tcMar>
              <w:top w:w="80" w:type="dxa"/>
              <w:start w:w="110" w:type="dxa"/>
              <w:bottom w:w="80" w:type="dxa"/>
              <w:end w:w="110" w:type="dxa"/>
            </w:tcMar>
            <w:vAlign w:val="center"/>
          </w:tcPr>
          <w:p>
            <w:pPr>
              <w:spacing w:after="0" w:line="240" w:lineRule="auto"/>
            </w:pPr>
            <w:r>
              <w:rPr>
                <w:sz w:val="16"/>
              </w:rPr>
              <w:t>événement réémis</w:t>
            </w:r>
          </w:p>
        </w:tc>
        <w:tc>
          <w:tcPr>
            <w:tcW w:type="dxa" w:w="2553"/>
            <w:tcMar>
              <w:top w:w="80" w:type="dxa"/>
              <w:start w:w="110" w:type="dxa"/>
              <w:bottom w:w="80" w:type="dxa"/>
              <w:end w:w="110" w:type="dxa"/>
            </w:tcMar>
            <w:vAlign w:val="center"/>
          </w:tcPr>
          <w:p>
            <w:pPr>
              <w:spacing w:after="0" w:line="240" w:lineRule="auto"/>
            </w:pPr>
            <w:r>
              <w:rPr>
                <w:sz w:val="16"/>
              </w:rPr>
              <w:t>doublon commande/facture</w:t>
            </w:r>
          </w:p>
        </w:tc>
        <w:tc>
          <w:tcPr>
            <w:tcW w:type="dxa" w:w="3350"/>
            <w:tcMar>
              <w:top w:w="80" w:type="dxa"/>
              <w:start w:w="110" w:type="dxa"/>
              <w:bottom w:w="80" w:type="dxa"/>
              <w:end w:w="110" w:type="dxa"/>
            </w:tcMar>
            <w:vAlign w:val="center"/>
          </w:tcPr>
          <w:p>
            <w:pPr>
              <w:spacing w:after="0" w:line="240" w:lineRule="auto"/>
            </w:pPr>
            <w:r>
              <w:rPr>
                <w:sz w:val="16"/>
              </w:rPr>
              <w:t>upserts, IDs uniques, finalisation réentrante</w:t>
            </w:r>
          </w:p>
        </w:tc>
        <w:tc>
          <w:tcPr>
            <w:tcW w:type="dxa" w:w="3350"/>
            <w:tcMar>
              <w:top w:w="80" w:type="dxa"/>
              <w:start w:w="110" w:type="dxa"/>
              <w:bottom w:w="80" w:type="dxa"/>
              <w:end w:w="110" w:type="dxa"/>
            </w:tcMar>
            <w:vAlign w:val="center"/>
          </w:tcPr>
          <w:p>
            <w:pPr>
              <w:spacing w:after="0" w:line="240" w:lineRule="auto"/>
            </w:pPr>
            <w:r>
              <w:rPr>
                <w:sz w:val="16"/>
              </w:rPr>
              <w:t>Tester concurrence et replay sur staging</w:t>
            </w:r>
          </w:p>
        </w:tc>
      </w:tr>
      <w:tr>
        <w:tc>
          <w:tcPr>
            <w:tcW w:type="dxa" w:w="2154"/>
            <w:tcMar>
              <w:top w:w="80" w:type="dxa"/>
              <w:start w:w="110" w:type="dxa"/>
              <w:bottom w:w="80" w:type="dxa"/>
              <w:end w:w="110" w:type="dxa"/>
            </w:tcMar>
            <w:vAlign w:val="center"/>
            <w:shd w:fill="F8F7FC"/>
          </w:tcPr>
          <w:p>
            <w:pPr>
              <w:spacing w:after="0" w:line="240" w:lineRule="auto"/>
            </w:pPr>
            <w:r>
              <w:rPr>
                <w:sz w:val="16"/>
              </w:rPr>
              <w:t>Injection prompt</w:t>
            </w:r>
          </w:p>
        </w:tc>
        <w:tc>
          <w:tcPr>
            <w:tcW w:type="dxa" w:w="3191"/>
            <w:tcMar>
              <w:top w:w="80" w:type="dxa"/>
              <w:start w:w="110" w:type="dxa"/>
              <w:bottom w:w="80" w:type="dxa"/>
              <w:end w:w="110" w:type="dxa"/>
            </w:tcMar>
            <w:vAlign w:val="center"/>
            <w:shd w:fill="F8F7FC"/>
          </w:tcPr>
          <w:p>
            <w:pPr>
              <w:spacing w:after="0" w:line="240" w:lineRule="auto"/>
            </w:pPr>
            <w:r>
              <w:rPr>
                <w:sz w:val="16"/>
              </w:rPr>
              <w:t>texte demande d'ignorer les règles</w:t>
            </w:r>
          </w:p>
        </w:tc>
        <w:tc>
          <w:tcPr>
            <w:tcW w:type="dxa" w:w="2553"/>
            <w:tcMar>
              <w:top w:w="80" w:type="dxa"/>
              <w:start w:w="110" w:type="dxa"/>
              <w:bottom w:w="80" w:type="dxa"/>
              <w:end w:w="110" w:type="dxa"/>
            </w:tcMar>
            <w:vAlign w:val="center"/>
            <w:shd w:fill="F8F7FC"/>
          </w:tcPr>
          <w:p>
            <w:pPr>
              <w:spacing w:after="0" w:line="240" w:lineRule="auto"/>
            </w:pPr>
            <w:r>
              <w:rPr>
                <w:sz w:val="16"/>
              </w:rPr>
              <w:t>mauvaise réponse ou exfiltration</w:t>
            </w:r>
          </w:p>
        </w:tc>
        <w:tc>
          <w:tcPr>
            <w:tcW w:type="dxa" w:w="3350"/>
            <w:tcMar>
              <w:top w:w="80" w:type="dxa"/>
              <w:start w:w="110" w:type="dxa"/>
              <w:bottom w:w="80" w:type="dxa"/>
              <w:end w:w="110" w:type="dxa"/>
            </w:tcMar>
            <w:vAlign w:val="center"/>
            <w:shd w:fill="F8F7FC"/>
          </w:tcPr>
          <w:p>
            <w:pPr>
              <w:spacing w:after="0" w:line="240" w:lineRule="auto"/>
            </w:pPr>
            <w:r>
              <w:rPr>
                <w:sz w:val="16"/>
              </w:rPr>
              <w:t>instruction système, outils fermés, projections minimales</w:t>
            </w:r>
          </w:p>
        </w:tc>
        <w:tc>
          <w:tcPr>
            <w:tcW w:type="dxa" w:w="3350"/>
            <w:tcMar>
              <w:top w:w="80" w:type="dxa"/>
              <w:start w:w="110" w:type="dxa"/>
              <w:bottom w:w="80" w:type="dxa"/>
              <w:end w:w="110" w:type="dxa"/>
            </w:tcMar>
            <w:vAlign w:val="center"/>
            <w:shd w:fill="F8F7FC"/>
          </w:tcPr>
          <w:p>
            <w:pPr>
              <w:spacing w:after="0" w:line="240" w:lineRule="auto"/>
            </w:pPr>
            <w:r>
              <w:rPr>
                <w:sz w:val="16"/>
              </w:rPr>
              <w:t>Rate limit, tests adversariaux, limite de taille</w:t>
            </w:r>
          </w:p>
        </w:tc>
      </w:tr>
      <w:tr>
        <w:tc>
          <w:tcPr>
            <w:tcW w:type="dxa" w:w="2154"/>
            <w:tcMar>
              <w:top w:w="80" w:type="dxa"/>
              <w:start w:w="110" w:type="dxa"/>
              <w:bottom w:w="80" w:type="dxa"/>
              <w:end w:w="110" w:type="dxa"/>
            </w:tcMar>
            <w:vAlign w:val="center"/>
          </w:tcPr>
          <w:p>
            <w:pPr>
              <w:spacing w:after="0" w:line="240" w:lineRule="auto"/>
            </w:pPr>
            <w:r>
              <w:rPr>
                <w:sz w:val="16"/>
              </w:rPr>
              <w:t>Déni chatbot</w:t>
            </w:r>
          </w:p>
        </w:tc>
        <w:tc>
          <w:tcPr>
            <w:tcW w:type="dxa" w:w="3191"/>
            <w:tcMar>
              <w:top w:w="80" w:type="dxa"/>
              <w:start w:w="110" w:type="dxa"/>
              <w:bottom w:w="80" w:type="dxa"/>
              <w:end w:w="110" w:type="dxa"/>
            </w:tcMar>
            <w:vAlign w:val="center"/>
          </w:tcPr>
          <w:p>
            <w:pPr>
              <w:spacing w:after="0" w:line="240" w:lineRule="auto"/>
            </w:pPr>
            <w:r>
              <w:rPr>
                <w:sz w:val="16"/>
              </w:rPr>
              <w:t>volume, messages immenses, boucle outils</w:t>
            </w:r>
          </w:p>
        </w:tc>
        <w:tc>
          <w:tcPr>
            <w:tcW w:type="dxa" w:w="2553"/>
            <w:tcMar>
              <w:top w:w="80" w:type="dxa"/>
              <w:start w:w="110" w:type="dxa"/>
              <w:bottom w:w="80" w:type="dxa"/>
              <w:end w:w="110" w:type="dxa"/>
            </w:tcMar>
            <w:vAlign w:val="center"/>
          </w:tcPr>
          <w:p>
            <w:pPr>
              <w:spacing w:after="0" w:line="240" w:lineRule="auto"/>
            </w:pPr>
            <w:r>
              <w:rPr>
                <w:sz w:val="16"/>
              </w:rPr>
              <w:t>coût et indisponibilité</w:t>
            </w:r>
          </w:p>
        </w:tc>
        <w:tc>
          <w:tcPr>
            <w:tcW w:type="dxa" w:w="3350"/>
            <w:tcMar>
              <w:top w:w="80" w:type="dxa"/>
              <w:start w:w="110" w:type="dxa"/>
              <w:bottom w:w="80" w:type="dxa"/>
              <w:end w:w="110" w:type="dxa"/>
            </w:tcMar>
            <w:vAlign w:val="center"/>
          </w:tcPr>
          <w:p>
            <w:pPr>
              <w:spacing w:after="0" w:line="240" w:lineRule="auto"/>
            </w:pPr>
            <w:r>
              <w:rPr>
                <w:sz w:val="16"/>
              </w:rPr>
              <w:t>boucle 4 rounds</w:t>
            </w:r>
          </w:p>
        </w:tc>
        <w:tc>
          <w:tcPr>
            <w:tcW w:type="dxa" w:w="3350"/>
            <w:tcMar>
              <w:top w:w="80" w:type="dxa"/>
              <w:start w:w="110" w:type="dxa"/>
              <w:bottom w:w="80" w:type="dxa"/>
              <w:end w:w="110" w:type="dxa"/>
            </w:tcMar>
            <w:vAlign w:val="center"/>
          </w:tcPr>
          <w:p>
            <w:pPr>
              <w:spacing w:after="0" w:line="240" w:lineRule="auto"/>
            </w:pPr>
            <w:r>
              <w:rPr>
                <w:sz w:val="16"/>
              </w:rPr>
              <w:t>Pas de rate limiting ; priorité haute</w:t>
            </w:r>
          </w:p>
        </w:tc>
      </w:tr>
      <w:tr>
        <w:tc>
          <w:tcPr>
            <w:tcW w:type="dxa" w:w="2154"/>
            <w:tcMar>
              <w:top w:w="80" w:type="dxa"/>
              <w:start w:w="110" w:type="dxa"/>
              <w:bottom w:w="80" w:type="dxa"/>
              <w:end w:w="110" w:type="dxa"/>
            </w:tcMar>
            <w:vAlign w:val="center"/>
            <w:shd w:fill="F8F7FC"/>
          </w:tcPr>
          <w:p>
            <w:pPr>
              <w:spacing w:after="0" w:line="240" w:lineRule="auto"/>
            </w:pPr>
            <w:r>
              <w:rPr>
                <w:sz w:val="16"/>
              </w:rPr>
              <w:t>Fuite observabilité</w:t>
            </w:r>
          </w:p>
        </w:tc>
        <w:tc>
          <w:tcPr>
            <w:tcW w:type="dxa" w:w="3191"/>
            <w:tcMar>
              <w:top w:w="80" w:type="dxa"/>
              <w:start w:w="110" w:type="dxa"/>
              <w:bottom w:w="80" w:type="dxa"/>
              <w:end w:w="110" w:type="dxa"/>
            </w:tcMar>
            <w:vAlign w:val="center"/>
            <w:shd w:fill="F8F7FC"/>
          </w:tcPr>
          <w:p>
            <w:pPr>
              <w:spacing w:after="0" w:line="240" w:lineRule="auto"/>
            </w:pPr>
            <w:r>
              <w:rPr>
                <w:sz w:val="16"/>
              </w:rPr>
              <w:t>corps, cookie, auth dans erreur</w:t>
            </w:r>
          </w:p>
        </w:tc>
        <w:tc>
          <w:tcPr>
            <w:tcW w:type="dxa" w:w="2553"/>
            <w:tcMar>
              <w:top w:w="80" w:type="dxa"/>
              <w:start w:w="110" w:type="dxa"/>
              <w:bottom w:w="80" w:type="dxa"/>
              <w:end w:w="110" w:type="dxa"/>
            </w:tcMar>
            <w:vAlign w:val="center"/>
            <w:shd w:fill="F8F7FC"/>
          </w:tcPr>
          <w:p>
            <w:pPr>
              <w:spacing w:after="0" w:line="240" w:lineRule="auto"/>
            </w:pPr>
            <w:r>
              <w:rPr>
                <w:sz w:val="16"/>
              </w:rPr>
              <w:t>données personnelles/secrets</w:t>
            </w:r>
          </w:p>
        </w:tc>
        <w:tc>
          <w:tcPr>
            <w:tcW w:type="dxa" w:w="3350"/>
            <w:tcMar>
              <w:top w:w="80" w:type="dxa"/>
              <w:start w:w="110" w:type="dxa"/>
              <w:bottom w:w="80" w:type="dxa"/>
              <w:end w:w="110" w:type="dxa"/>
            </w:tcMar>
            <w:vAlign w:val="center"/>
            <w:shd w:fill="F8F7FC"/>
          </w:tcPr>
          <w:p>
            <w:pPr>
              <w:spacing w:after="0" w:line="240" w:lineRule="auto"/>
            </w:pPr>
            <w:r>
              <w:rPr>
                <w:sz w:val="16"/>
              </w:rPr>
              <w:t xml:space="preserve">filtre </w:t>
            </w:r>
            <w:r>
              <w:rPr>
                <w:rFonts w:ascii="Consolas" w:hAnsi="Consolas"/>
                <w:color w:val="4A339E"/>
                <w:sz w:val="16"/>
              </w:rPr>
              <w:t>beforeSend</w:t>
            </w:r>
            <w:r>
              <w:rPr>
                <w:sz w:val="16"/>
              </w:rPr>
              <w:t>, PII off, pas de replay/log</w:t>
            </w:r>
          </w:p>
        </w:tc>
        <w:tc>
          <w:tcPr>
            <w:tcW w:type="dxa" w:w="3350"/>
            <w:tcMar>
              <w:top w:w="80" w:type="dxa"/>
              <w:start w:w="110" w:type="dxa"/>
              <w:bottom w:w="80" w:type="dxa"/>
              <w:end w:w="110" w:type="dxa"/>
            </w:tcMar>
            <w:vAlign w:val="center"/>
            <w:shd w:fill="F8F7FC"/>
          </w:tcPr>
          <w:p>
            <w:pPr>
              <w:spacing w:after="0" w:line="240" w:lineRule="auto"/>
            </w:pPr>
            <w:r>
              <w:rPr>
                <w:sz w:val="16"/>
              </w:rPr>
              <w:t>Tester les nouveaux SDK/intégrations</w:t>
            </w:r>
          </w:p>
        </w:tc>
      </w:tr>
      <w:tr>
        <w:tc>
          <w:tcPr>
            <w:tcW w:type="dxa" w:w="2154"/>
            <w:tcMar>
              <w:top w:w="80" w:type="dxa"/>
              <w:start w:w="110" w:type="dxa"/>
              <w:bottom w:w="80" w:type="dxa"/>
              <w:end w:w="110" w:type="dxa"/>
            </w:tcMar>
            <w:vAlign w:val="center"/>
          </w:tcPr>
          <w:p>
            <w:pPr>
              <w:spacing w:after="0" w:line="240" w:lineRule="auto"/>
            </w:pPr>
            <w:r>
              <w:rPr>
                <w:sz w:val="16"/>
              </w:rPr>
              <w:t>Supply chain</w:t>
            </w:r>
          </w:p>
        </w:tc>
        <w:tc>
          <w:tcPr>
            <w:tcW w:type="dxa" w:w="3191"/>
            <w:tcMar>
              <w:top w:w="80" w:type="dxa"/>
              <w:start w:w="110" w:type="dxa"/>
              <w:bottom w:w="80" w:type="dxa"/>
              <w:end w:w="110" w:type="dxa"/>
            </w:tcMar>
            <w:vAlign w:val="center"/>
          </w:tcPr>
          <w:p>
            <w:pPr>
              <w:spacing w:after="0" w:line="240" w:lineRule="auto"/>
            </w:pPr>
            <w:r>
              <w:rPr>
                <w:sz w:val="16"/>
              </w:rPr>
              <w:t>paquet npm ou Action compromis</w:t>
            </w:r>
          </w:p>
        </w:tc>
        <w:tc>
          <w:tcPr>
            <w:tcW w:type="dxa" w:w="2553"/>
            <w:tcMar>
              <w:top w:w="80" w:type="dxa"/>
              <w:start w:w="110" w:type="dxa"/>
              <w:bottom w:w="80" w:type="dxa"/>
              <w:end w:w="110" w:type="dxa"/>
            </w:tcMar>
            <w:vAlign w:val="center"/>
          </w:tcPr>
          <w:p>
            <w:pPr>
              <w:spacing w:after="0" w:line="240" w:lineRule="auto"/>
            </w:pPr>
            <w:r>
              <w:rPr>
                <w:sz w:val="16"/>
              </w:rPr>
              <w:t>exécution de code</w:t>
            </w:r>
          </w:p>
        </w:tc>
        <w:tc>
          <w:tcPr>
            <w:tcW w:type="dxa" w:w="3350"/>
            <w:tcMar>
              <w:top w:w="80" w:type="dxa"/>
              <w:start w:w="110" w:type="dxa"/>
              <w:bottom w:w="80" w:type="dxa"/>
              <w:end w:w="110" w:type="dxa"/>
            </w:tcMar>
            <w:vAlign w:val="center"/>
          </w:tcPr>
          <w:p>
            <w:pPr>
              <w:spacing w:after="0" w:line="240" w:lineRule="auto"/>
            </w:pPr>
            <w:r>
              <w:rPr>
                <w:sz w:val="16"/>
              </w:rPr>
              <w:t>lockfile, npm ci, audit high, Dependabot</w:t>
            </w:r>
          </w:p>
        </w:tc>
        <w:tc>
          <w:tcPr>
            <w:tcW w:type="dxa" w:w="3350"/>
            <w:tcMar>
              <w:top w:w="80" w:type="dxa"/>
              <w:start w:w="110" w:type="dxa"/>
              <w:bottom w:w="80" w:type="dxa"/>
              <w:end w:w="110" w:type="dxa"/>
            </w:tcMar>
            <w:vAlign w:val="center"/>
          </w:tcPr>
          <w:p>
            <w:pPr>
              <w:spacing w:after="0" w:line="240" w:lineRule="auto"/>
            </w:pPr>
            <w:r>
              <w:rPr>
                <w:sz w:val="16"/>
              </w:rPr>
              <w:t>Épingler/réviser changements sensibles</w:t>
            </w:r>
          </w:p>
        </w:tc>
      </w:tr>
      <w:tr>
        <w:tc>
          <w:tcPr>
            <w:tcW w:type="dxa" w:w="2154"/>
            <w:tcMar>
              <w:top w:w="80" w:type="dxa"/>
              <w:start w:w="110" w:type="dxa"/>
              <w:bottom w:w="80" w:type="dxa"/>
              <w:end w:w="110" w:type="dxa"/>
            </w:tcMar>
            <w:vAlign w:val="center"/>
            <w:shd w:fill="F8F7FC"/>
          </w:tcPr>
          <w:p>
            <w:pPr>
              <w:spacing w:after="0" w:line="240" w:lineRule="auto"/>
            </w:pPr>
            <w:r>
              <w:rPr>
                <w:sz w:val="16"/>
              </w:rPr>
              <w:t>Compromission secret</w:t>
            </w:r>
          </w:p>
        </w:tc>
        <w:tc>
          <w:tcPr>
            <w:tcW w:type="dxa" w:w="3191"/>
            <w:tcMar>
              <w:top w:w="80" w:type="dxa"/>
              <w:start w:w="110" w:type="dxa"/>
              <w:bottom w:w="80" w:type="dxa"/>
              <w:end w:w="110" w:type="dxa"/>
            </w:tcMar>
            <w:vAlign w:val="center"/>
            <w:shd w:fill="F8F7FC"/>
          </w:tcPr>
          <w:p>
            <w:pPr>
              <w:spacing w:after="0" w:line="240" w:lineRule="auto"/>
            </w:pPr>
            <w:r>
              <w:rPr>
                <w:sz w:val="16"/>
              </w:rPr>
              <w:t>variable copiée ou loggée</w:t>
            </w:r>
          </w:p>
        </w:tc>
        <w:tc>
          <w:tcPr>
            <w:tcW w:type="dxa" w:w="2553"/>
            <w:tcMar>
              <w:top w:w="80" w:type="dxa"/>
              <w:start w:w="110" w:type="dxa"/>
              <w:bottom w:w="80" w:type="dxa"/>
              <w:end w:w="110" w:type="dxa"/>
            </w:tcMar>
            <w:vAlign w:val="center"/>
            <w:shd w:fill="F8F7FC"/>
          </w:tcPr>
          <w:p>
            <w:pPr>
              <w:spacing w:after="0" w:line="240" w:lineRule="auto"/>
            </w:pPr>
            <w:r>
              <w:rPr>
                <w:sz w:val="16"/>
              </w:rPr>
              <w:t>accès fournisseur</w:t>
            </w:r>
          </w:p>
        </w:tc>
        <w:tc>
          <w:tcPr>
            <w:tcW w:type="dxa" w:w="3350"/>
            <w:tcMar>
              <w:top w:w="80" w:type="dxa"/>
              <w:start w:w="110" w:type="dxa"/>
              <w:bottom w:w="80" w:type="dxa"/>
              <w:end w:w="110" w:type="dxa"/>
            </w:tcMar>
            <w:vAlign w:val="center"/>
            <w:shd w:fill="F8F7FC"/>
          </w:tcPr>
          <w:p>
            <w:pPr>
              <w:spacing w:after="0" w:line="240" w:lineRule="auto"/>
            </w:pPr>
            <w:r>
              <w:rPr>
                <w:sz w:val="16"/>
              </w:rPr>
              <w:t>secrets Netlify/GitHub, aucun secret Git</w:t>
            </w:r>
          </w:p>
        </w:tc>
        <w:tc>
          <w:tcPr>
            <w:tcW w:type="dxa" w:w="3350"/>
            <w:tcMar>
              <w:top w:w="80" w:type="dxa"/>
              <w:start w:w="110" w:type="dxa"/>
              <w:bottom w:w="80" w:type="dxa"/>
              <w:end w:w="110" w:type="dxa"/>
            </w:tcMar>
            <w:vAlign w:val="center"/>
            <w:shd w:fill="F8F7FC"/>
          </w:tcPr>
          <w:p>
            <w:pPr>
              <w:spacing w:after="0" w:line="240" w:lineRule="auto"/>
            </w:pPr>
            <w:r>
              <w:rPr>
                <w:sz w:val="16"/>
              </w:rPr>
              <w:t>Rotation testée et inventaire trimestriel</w:t>
            </w:r>
          </w:p>
        </w:tc>
      </w:tr>
      <w:tr>
        <w:tc>
          <w:tcPr>
            <w:tcW w:type="dxa" w:w="2154"/>
            <w:tcMar>
              <w:top w:w="80" w:type="dxa"/>
              <w:start w:w="110" w:type="dxa"/>
              <w:bottom w:w="80" w:type="dxa"/>
              <w:end w:w="110" w:type="dxa"/>
            </w:tcMar>
            <w:vAlign w:val="center"/>
          </w:tcPr>
          <w:p>
            <w:pPr>
              <w:spacing w:after="0" w:line="240" w:lineRule="auto"/>
            </w:pPr>
            <w:r>
              <w:rPr>
                <w:sz w:val="16"/>
              </w:rPr>
              <w:t>Indisponibilité fournisseur</w:t>
            </w:r>
          </w:p>
        </w:tc>
        <w:tc>
          <w:tcPr>
            <w:tcW w:type="dxa" w:w="3191"/>
            <w:tcMar>
              <w:top w:w="80" w:type="dxa"/>
              <w:start w:w="110" w:type="dxa"/>
              <w:bottom w:w="80" w:type="dxa"/>
              <w:end w:w="110" w:type="dxa"/>
            </w:tcMar>
            <w:vAlign w:val="center"/>
          </w:tcPr>
          <w:p>
            <w:pPr>
              <w:spacing w:after="0" w:line="240" w:lineRule="auto"/>
            </w:pPr>
            <w:r>
              <w:rPr>
                <w:sz w:val="16"/>
              </w:rPr>
              <w:t>Supabase/Stripe/Gemini/Netlify</w:t>
            </w:r>
          </w:p>
        </w:tc>
        <w:tc>
          <w:tcPr>
            <w:tcW w:type="dxa" w:w="2553"/>
            <w:tcMar>
              <w:top w:w="80" w:type="dxa"/>
              <w:start w:w="110" w:type="dxa"/>
              <w:bottom w:w="80" w:type="dxa"/>
              <w:end w:w="110" w:type="dxa"/>
            </w:tcMar>
            <w:vAlign w:val="center"/>
          </w:tcPr>
          <w:p>
            <w:pPr>
              <w:spacing w:after="0" w:line="240" w:lineRule="auto"/>
            </w:pPr>
            <w:r>
              <w:rPr>
                <w:sz w:val="16"/>
              </w:rPr>
              <w:t>parcours partiel ou total</w:t>
            </w:r>
          </w:p>
        </w:tc>
        <w:tc>
          <w:tcPr>
            <w:tcW w:type="dxa" w:w="3350"/>
            <w:tcMar>
              <w:top w:w="80" w:type="dxa"/>
              <w:start w:w="110" w:type="dxa"/>
              <w:bottom w:w="80" w:type="dxa"/>
              <w:end w:w="110" w:type="dxa"/>
            </w:tcMar>
            <w:vAlign w:val="center"/>
          </w:tcPr>
          <w:p>
            <w:pPr>
              <w:spacing w:after="0" w:line="240" w:lineRule="auto"/>
            </w:pPr>
            <w:r>
              <w:rPr>
                <w:sz w:val="16"/>
              </w:rPr>
              <w:t>erreurs contrôlées, retries Stripe, rollback Netlify</w:t>
            </w:r>
          </w:p>
        </w:tc>
        <w:tc>
          <w:tcPr>
            <w:tcW w:type="dxa" w:w="3350"/>
            <w:tcMar>
              <w:top w:w="80" w:type="dxa"/>
              <w:start w:w="110" w:type="dxa"/>
              <w:bottom w:w="80" w:type="dxa"/>
              <w:end w:w="110" w:type="dxa"/>
            </w:tcMar>
            <w:vAlign w:val="center"/>
          </w:tcPr>
          <w:p>
            <w:pPr>
              <w:spacing w:after="0" w:line="240" w:lineRule="auto"/>
            </w:pPr>
            <w:r>
              <w:rPr>
                <w:sz w:val="16"/>
              </w:rPr>
              <w:t>Définir SLO et procédures fournisseur</w:t>
            </w:r>
          </w:p>
        </w:tc>
      </w:tr>
    </w:tbl>
    <w:p>
      <w:pPr>
        <w:spacing w:after="0"/>
      </w:pPr>
    </w:p>
    <w:p>
      <w:pPr>
        <w:sectPr>
          <w:headerReference w:type="default" r:id="rId16"/>
          <w:footerReference w:type="default" r:id="rId17"/>
          <w:pgSz w:w="16838" w:h="11906" w:orient="landscape"/>
          <w:pgMar w:top="1134" w:right="1020" w:bottom="1020" w:left="1020" w:header="709" w:footer="709" w:gutter="0"/>
          <w:cols w:space="720"/>
          <w:docGrid w:linePitch="360"/>
        </w:sectPr>
      </w:pPr>
    </w:p>
    <w:p>
      <w:bookmarkStart w:id="3" w:name="h_3_Gestion_des_identit_s_et_acc"/>
      <w:pPr>
        <w:pStyle w:val="Heading1"/>
      </w:pPr>
      <w:r>
        <w:t>Gestion des identités et accès</w:t>
      </w:r>
      <w:bookmarkEnd w:id="3"/>
    </w:p>
    <w:p>
      <w:bookmarkStart w:id="4" w:name="h_4_Clients_et_administrateurs"/>
      <w:pPr>
        <w:pStyle w:val="Heading2"/>
      </w:pPr>
      <w:r>
        <w:t>Clients et administrateurs</w:t>
      </w:r>
      <w:bookmarkEnd w:id="4"/>
    </w:p>
    <w:p>
      <w:r>
        <w:t xml:space="preserve">Supabase Auth est la source d'identité. </w:t>
      </w:r>
      <w:r>
        <w:rPr>
          <w:rFonts w:ascii="Consolas" w:hAnsi="Consolas"/>
          <w:color w:val="4A339E"/>
          <w:sz w:val="18"/>
        </w:rPr>
        <w:t>utilisateur</w:t>
      </w:r>
      <w:r>
        <w:t xml:space="preserve"> complète l'identité par les attributs métier ; il ne remplace pas les contrôles Auth. Une session client AAL1 suffit aux données personnelles ordinaires, sous réserve des politiques RLS. Le BackOffice exige un profil actif avec </w:t>
      </w:r>
      <w:r>
        <w:rPr>
          <w:rFonts w:ascii="Consolas" w:hAnsi="Consolas"/>
          <w:color w:val="4A339E"/>
          <w:sz w:val="18"/>
        </w:rPr>
        <w:t>role=admin</w:t>
      </w:r>
      <w:r>
        <w:t>. Les fonctions les plus sensibles et le rapport commerce exigent AAL2 TOTP.</w:t>
      </w:r>
    </w:p>
    <w:p>
      <w:pPr>
        <w:keepNext/>
        <w:jc w:val="center"/>
      </w:pPr>
      <w:r>
        <w:drawing>
          <wp:inline xmlns:a="http://schemas.openxmlformats.org/drawingml/2006/main" xmlns:pic="http://schemas.openxmlformats.org/drawingml/2006/picture">
            <wp:extent cx="5652000" cy="5261230"/>
            <wp:docPr id="3" name="Picture 3" descr="Chaîne de contrôle MFA" title="Chaîne de contrôle MFA"/>
            <wp:cNvGraphicFramePr>
              <a:graphicFrameLocks noChangeAspect="1"/>
            </wp:cNvGraphicFramePr>
            <a:graphic>
              <a:graphicData uri="http://schemas.openxmlformats.org/drawingml/2006/picture">
                <pic:pic>
                  <pic:nvPicPr>
                    <pic:cNvPr id="0" name="06-seq-mfa.png"/>
                    <pic:cNvPicPr/>
                  </pic:nvPicPr>
                  <pic:blipFill>
                    <a:blip r:embed="rId11"/>
                    <a:stretch>
                      <a:fillRect/>
                    </a:stretch>
                  </pic:blipFill>
                  <pic:spPr>
                    <a:xfrm>
                      <a:off x="0" y="0"/>
                      <a:ext cx="5652000" cy="5261230"/>
                    </a:xfrm>
                    <a:prstGeom prst="rect"/>
                  </pic:spPr>
                </pic:pic>
              </a:graphicData>
            </a:graphic>
          </wp:inline>
        </w:drawing>
      </w:r>
    </w:p>
    <w:p>
      <w:pPr>
        <w:pStyle w:val="CYNACaption"/>
      </w:pPr>
      <w:r>
        <w:t>Chaîne de contrôle MFA</w:t>
      </w:r>
    </w:p>
    <w:p>
      <w:r>
        <w:t>Les comptes administrateurs doivent être nominatifs, protégés par MFA et révisés au moins trimestriellement. Un départ ou changement de fonction déclenche désactivation du profil, révocation des sessions et retrait des accès GitHub, Netlify, Supabase, Stripe, Sentry et Google AI. Les comptes de plateforme partagés sont proscrits quand une identité nominative est possible.</w:t>
      </w:r>
    </w:p>
    <w:p>
      <w:bookmarkStart w:id="5" w:name="h_5_RBAC__RLS_et_service_role"/>
      <w:pPr>
        <w:pStyle w:val="Heading2"/>
      </w:pPr>
      <w:r>
        <w:t>RBAC, RLS et service role</w:t>
      </w:r>
      <w:bookmarkEnd w:id="5"/>
    </w:p>
    <w:p>
      <w:r>
        <w:t xml:space="preserve">Le RBAC applicatif décide des capacités. La RLS limite les lignes à </w:t>
      </w:r>
      <w:r>
        <w:rPr>
          <w:rFonts w:ascii="Consolas" w:hAnsi="Consolas"/>
          <w:color w:val="4A339E"/>
          <w:sz w:val="18"/>
        </w:rPr>
        <w:t>auth.uid()</w:t>
      </w:r>
      <w:r>
        <w:t xml:space="preserve"> et forme une seconde barrière. Les opérations publiques utilisent la clé anon ; les opérations authentifiées utilisent la session. </w:t>
      </w:r>
      <w:r>
        <w:rPr>
          <w:rFonts w:ascii="Consolas" w:hAnsi="Consolas"/>
          <w:color w:val="4A339E"/>
          <w:sz w:val="18"/>
        </w:rPr>
        <w:t>SUPABASE_SERVICE_ROLE_KEY</w:t>
      </w:r>
      <w:r>
        <w:t xml:space="preserve"> contourne la RLS et n'est autorisée que dans des modules serveur délimités. Toute nouvelle utilisation doit documenter sa preuve d'entrée et ses filtres de propriété.</w:t>
      </w:r>
    </w:p>
    <w:p>
      <w:r>
        <w:t>Contrôles de revue :</w:t>
      </w:r>
    </w:p>
    <w:p>
      <w:pPr>
        <w:pStyle w:val="ListBullet"/>
      </w:pPr>
      <w:r>
        <w:t>aucune importation d'un client service role dans un Client Component ;</w:t>
      </w:r>
    </w:p>
    <w:p>
      <w:pPr>
        <w:pStyle w:val="ListBullet"/>
      </w:pPr>
      <w:r>
        <w:t xml:space="preserve">aucune autorisation fondée uniquement sur un paramètre </w:t>
      </w:r>
      <w:r>
        <w:rPr>
          <w:rFonts w:ascii="Consolas" w:hAnsi="Consolas"/>
          <w:color w:val="4A339E"/>
          <w:sz w:val="18"/>
        </w:rPr>
        <w:t>role</w:t>
      </w:r>
      <w:r>
        <w:t xml:space="preserve"> ou un élément masqué ;</w:t>
      </w:r>
    </w:p>
    <w:p>
      <w:pPr>
        <w:pStyle w:val="ListBullet"/>
      </w:pPr>
      <w:r>
        <w:t>politiques RLS activées sur chaque table exposée ;</w:t>
      </w:r>
    </w:p>
    <w:p>
      <w:pPr>
        <w:pStyle w:val="ListBullet"/>
      </w:pPr>
      <w:r>
        <w:t>tests avec propriétaire, autre utilisateur, anonyme et administrateur ;</w:t>
      </w:r>
    </w:p>
    <w:p>
      <w:pPr>
        <w:pStyle w:val="ListBullet"/>
      </w:pPr>
      <w:r>
        <w:t xml:space="preserve">fonctions </w:t>
      </w:r>
      <w:r>
        <w:rPr>
          <w:rFonts w:ascii="Consolas" w:hAnsi="Consolas"/>
          <w:color w:val="4A339E"/>
          <w:sz w:val="18"/>
        </w:rPr>
        <w:t>security definer</w:t>
      </w:r>
      <w:r>
        <w:t xml:space="preserve"> minimales, </w:t>
      </w:r>
      <w:r>
        <w:rPr>
          <w:rFonts w:ascii="Consolas" w:hAnsi="Consolas"/>
          <w:color w:val="4A339E"/>
          <w:sz w:val="18"/>
        </w:rPr>
        <w:t>search_path</w:t>
      </w:r>
      <w:r>
        <w:t xml:space="preserve"> maîtrisé et exécution accordée explicitement.</w:t>
      </w:r>
    </w:p>
    <w:p>
      <w:bookmarkStart w:id="6" w:name="h_6_Secrets_et_configuration"/>
      <w:pPr>
        <w:pStyle w:val="Heading1"/>
      </w:pPr>
      <w:r>
        <w:t>Secrets et configuration</w:t>
      </w:r>
      <w:bookmarkEnd w:id="6"/>
    </w:p>
    <w:p>
      <w:r>
        <w:t xml:space="preserve">Les secrets vivent dans les variables chiffrées des plateformes et ne sont ni copiés dans les DOCX ni imprimés dans la CI. </w:t>
      </w:r>
      <w:r>
        <w:rPr>
          <w:rFonts w:ascii="Consolas" w:hAnsi="Consolas"/>
          <w:color w:val="4A339E"/>
          <w:sz w:val="18"/>
        </w:rPr>
        <w:t>.env.exemple</w:t>
      </w:r>
      <w:r>
        <w:t xml:space="preserve"> utilise des marqueurs fictifs. Les previews doivent employer des clés de test isolées. </w:t>
      </w:r>
      <w:r>
        <w:rPr>
          <w:rFonts w:ascii="Consolas" w:hAnsi="Consolas"/>
          <w:color w:val="4A339E"/>
          <w:sz w:val="18"/>
        </w:rPr>
        <w:t>SENTRY_AUTH_TOKEN</w:t>
      </w:r>
      <w:r>
        <w:t xml:space="preserve"> et les clés Stripe live sont limités au contexte Netlify Production.</w:t>
      </w:r>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982"/>
        <w:gridCol w:w="1468"/>
        <w:gridCol w:w="2864"/>
        <w:gridCol w:w="2864"/>
      </w:tblGrid>
      <w:tr>
        <w:trPr>
          <w:tblHeader w:val="true"/>
        </w:trPr>
        <w:tc>
          <w:tcPr>
            <w:tcW w:type="dxa" w:w="1982"/>
            <w:tcMar>
              <w:top w:w="80" w:type="dxa"/>
              <w:start w:w="110" w:type="dxa"/>
              <w:bottom w:w="80" w:type="dxa"/>
              <w:end w:w="110" w:type="dxa"/>
            </w:tcMar>
            <w:vAlign w:val="center"/>
            <w:shd w:fill="E8EEF5"/>
          </w:tcPr>
          <w:p>
            <w:pPr>
              <w:spacing w:after="0" w:line="240" w:lineRule="auto"/>
            </w:pPr>
            <w:r>
              <w:rPr>
                <w:b/>
                <w:color w:val="302082"/>
                <w:sz w:val="17"/>
              </w:rPr>
              <w:t>Secret</w:t>
            </w:r>
          </w:p>
        </w:tc>
        <w:tc>
          <w:tcPr>
            <w:tcW w:type="dxa" w:w="1468"/>
            <w:tcMar>
              <w:top w:w="80" w:type="dxa"/>
              <w:start w:w="110" w:type="dxa"/>
              <w:bottom w:w="80" w:type="dxa"/>
              <w:end w:w="110" w:type="dxa"/>
            </w:tcMar>
            <w:vAlign w:val="center"/>
            <w:shd w:fill="E8EEF5"/>
          </w:tcPr>
          <w:p>
            <w:pPr>
              <w:spacing w:after="0" w:line="240" w:lineRule="auto"/>
            </w:pPr>
            <w:r>
              <w:rPr>
                <w:b/>
                <w:color w:val="302082"/>
                <w:sz w:val="17"/>
              </w:rPr>
              <w:t>Détenteur</w:t>
            </w:r>
          </w:p>
        </w:tc>
        <w:tc>
          <w:tcPr>
            <w:tcW w:type="dxa" w:w="2864"/>
            <w:tcMar>
              <w:top w:w="80" w:type="dxa"/>
              <w:start w:w="110" w:type="dxa"/>
              <w:bottom w:w="80" w:type="dxa"/>
              <w:end w:w="110" w:type="dxa"/>
            </w:tcMar>
            <w:vAlign w:val="center"/>
            <w:shd w:fill="E8EEF5"/>
          </w:tcPr>
          <w:p>
            <w:pPr>
              <w:spacing w:after="0" w:line="240" w:lineRule="auto"/>
            </w:pPr>
            <w:r>
              <w:rPr>
                <w:b/>
                <w:color w:val="302082"/>
                <w:sz w:val="17"/>
              </w:rPr>
              <w:t>Rotation / révocation</w:t>
            </w:r>
          </w:p>
        </w:tc>
        <w:tc>
          <w:tcPr>
            <w:tcW w:type="dxa" w:w="2864"/>
            <w:tcMar>
              <w:top w:w="80" w:type="dxa"/>
              <w:start w:w="110" w:type="dxa"/>
              <w:bottom w:w="80" w:type="dxa"/>
              <w:end w:w="110" w:type="dxa"/>
            </w:tcMar>
            <w:vAlign w:val="center"/>
            <w:shd w:fill="E8EEF5"/>
          </w:tcPr>
          <w:p>
            <w:pPr>
              <w:spacing w:after="0" w:line="240" w:lineRule="auto"/>
            </w:pPr>
            <w:r>
              <w:rPr>
                <w:b/>
                <w:color w:val="302082"/>
                <w:sz w:val="17"/>
              </w:rPr>
              <w:t>Détection d'usage anormal</w:t>
            </w:r>
          </w:p>
        </w:tc>
      </w:tr>
      <w:tr>
        <w:tc>
          <w:tcPr>
            <w:tcW w:type="dxa" w:w="1982"/>
            <w:tcMar>
              <w:top w:w="80" w:type="dxa"/>
              <w:start w:w="110" w:type="dxa"/>
              <w:bottom w:w="80" w:type="dxa"/>
              <w:end w:w="110" w:type="dxa"/>
            </w:tcMar>
            <w:vAlign w:val="center"/>
          </w:tcPr>
          <w:p>
            <w:pPr>
              <w:spacing w:after="0" w:line="240" w:lineRule="auto"/>
            </w:pPr>
            <w:r>
              <w:rPr>
                <w:rFonts w:ascii="Consolas" w:hAnsi="Consolas"/>
                <w:color w:val="4A339E"/>
                <w:sz w:val="17"/>
              </w:rPr>
              <w:t>SUPABASE_SERVICE_ROLE_KEY</w:t>
            </w:r>
          </w:p>
        </w:tc>
        <w:tc>
          <w:tcPr>
            <w:tcW w:type="dxa" w:w="1468"/>
            <w:tcMar>
              <w:top w:w="80" w:type="dxa"/>
              <w:start w:w="110" w:type="dxa"/>
              <w:bottom w:w="80" w:type="dxa"/>
              <w:end w:w="110" w:type="dxa"/>
            </w:tcMar>
            <w:vAlign w:val="center"/>
          </w:tcPr>
          <w:p>
            <w:pPr>
              <w:spacing w:after="0" w:line="240" w:lineRule="auto"/>
            </w:pPr>
            <w:r>
              <w:rPr>
                <w:sz w:val="17"/>
              </w:rPr>
              <w:t>Netlify Production</w:t>
            </w:r>
          </w:p>
        </w:tc>
        <w:tc>
          <w:tcPr>
            <w:tcW w:type="dxa" w:w="2864"/>
            <w:tcMar>
              <w:top w:w="80" w:type="dxa"/>
              <w:start w:w="110" w:type="dxa"/>
              <w:bottom w:w="80" w:type="dxa"/>
              <w:end w:w="110" w:type="dxa"/>
            </w:tcMar>
            <w:vAlign w:val="center"/>
          </w:tcPr>
          <w:p>
            <w:pPr>
              <w:spacing w:after="0" w:line="240" w:lineRule="auto"/>
            </w:pPr>
            <w:r>
              <w:rPr>
                <w:sz w:val="17"/>
              </w:rPr>
              <w:t>rotation projet et redéploiement</w:t>
            </w:r>
          </w:p>
        </w:tc>
        <w:tc>
          <w:tcPr>
            <w:tcW w:type="dxa" w:w="2864"/>
            <w:tcMar>
              <w:top w:w="80" w:type="dxa"/>
              <w:start w:w="110" w:type="dxa"/>
              <w:bottom w:w="80" w:type="dxa"/>
              <w:end w:w="110" w:type="dxa"/>
            </w:tcMar>
            <w:vAlign w:val="center"/>
          </w:tcPr>
          <w:p>
            <w:pPr>
              <w:spacing w:after="0" w:line="240" w:lineRule="auto"/>
            </w:pPr>
            <w:r>
              <w:rPr>
                <w:sz w:val="17"/>
              </w:rPr>
              <w:t>logs Supabase et changements inattendus</w:t>
            </w:r>
          </w:p>
        </w:tc>
      </w:tr>
      <w:tr>
        <w:tc>
          <w:tcPr>
            <w:tcW w:type="dxa" w:w="1982"/>
            <w:tcMar>
              <w:top w:w="80" w:type="dxa"/>
              <w:start w:w="110" w:type="dxa"/>
              <w:bottom w:w="80" w:type="dxa"/>
              <w:end w:w="110" w:type="dxa"/>
            </w:tcMar>
            <w:vAlign w:val="center"/>
            <w:shd w:fill="F8F7FC"/>
          </w:tcPr>
          <w:p>
            <w:pPr>
              <w:spacing w:after="0" w:line="240" w:lineRule="auto"/>
            </w:pPr>
            <w:r>
              <w:rPr>
                <w:rFonts w:ascii="Consolas" w:hAnsi="Consolas"/>
                <w:color w:val="4A339E"/>
                <w:sz w:val="17"/>
              </w:rPr>
              <w:t>STRIPE_SECRET_KEY</w:t>
            </w:r>
          </w:p>
        </w:tc>
        <w:tc>
          <w:tcPr>
            <w:tcW w:type="dxa" w:w="1468"/>
            <w:tcMar>
              <w:top w:w="80" w:type="dxa"/>
              <w:start w:w="110" w:type="dxa"/>
              <w:bottom w:w="80" w:type="dxa"/>
              <w:end w:w="110" w:type="dxa"/>
            </w:tcMar>
            <w:vAlign w:val="center"/>
            <w:shd w:fill="F8F7FC"/>
          </w:tcPr>
          <w:p>
            <w:pPr>
              <w:spacing w:after="0" w:line="240" w:lineRule="auto"/>
            </w:pPr>
            <w:r>
              <w:rPr>
                <w:sz w:val="17"/>
              </w:rPr>
              <w:t>Netlify Production</w:t>
            </w:r>
          </w:p>
        </w:tc>
        <w:tc>
          <w:tcPr>
            <w:tcW w:type="dxa" w:w="2864"/>
            <w:tcMar>
              <w:top w:w="80" w:type="dxa"/>
              <w:start w:w="110" w:type="dxa"/>
              <w:bottom w:w="80" w:type="dxa"/>
              <w:end w:w="110" w:type="dxa"/>
            </w:tcMar>
            <w:vAlign w:val="center"/>
            <w:shd w:fill="F8F7FC"/>
          </w:tcPr>
          <w:p>
            <w:pPr>
              <w:spacing w:after="0" w:line="240" w:lineRule="auto"/>
            </w:pPr>
            <w:r>
              <w:rPr>
                <w:sz w:val="17"/>
              </w:rPr>
              <w:t>rotation Stripe, double clé si possible</w:t>
            </w:r>
          </w:p>
        </w:tc>
        <w:tc>
          <w:tcPr>
            <w:tcW w:type="dxa" w:w="2864"/>
            <w:tcMar>
              <w:top w:w="80" w:type="dxa"/>
              <w:start w:w="110" w:type="dxa"/>
              <w:bottom w:w="80" w:type="dxa"/>
              <w:end w:w="110" w:type="dxa"/>
            </w:tcMar>
            <w:vAlign w:val="center"/>
            <w:shd w:fill="F8F7FC"/>
          </w:tcPr>
          <w:p>
            <w:pPr>
              <w:spacing w:after="0" w:line="240" w:lineRule="auto"/>
            </w:pPr>
            <w:r>
              <w:rPr>
                <w:sz w:val="17"/>
              </w:rPr>
              <w:t>Dashboard et alertes Stripe</w:t>
            </w:r>
          </w:p>
        </w:tc>
      </w:tr>
      <w:tr>
        <w:tc>
          <w:tcPr>
            <w:tcW w:type="dxa" w:w="1982"/>
            <w:tcMar>
              <w:top w:w="80" w:type="dxa"/>
              <w:start w:w="110" w:type="dxa"/>
              <w:bottom w:w="80" w:type="dxa"/>
              <w:end w:w="110" w:type="dxa"/>
            </w:tcMar>
            <w:vAlign w:val="center"/>
          </w:tcPr>
          <w:p>
            <w:pPr>
              <w:spacing w:after="0" w:line="240" w:lineRule="auto"/>
            </w:pPr>
            <w:r>
              <w:rPr>
                <w:rFonts w:ascii="Consolas" w:hAnsi="Consolas"/>
                <w:color w:val="4A339E"/>
                <w:sz w:val="17"/>
              </w:rPr>
              <w:t>STRIPE_WEBHOOK_SECRET</w:t>
            </w:r>
          </w:p>
        </w:tc>
        <w:tc>
          <w:tcPr>
            <w:tcW w:type="dxa" w:w="1468"/>
            <w:tcMar>
              <w:top w:w="80" w:type="dxa"/>
              <w:start w:w="110" w:type="dxa"/>
              <w:bottom w:w="80" w:type="dxa"/>
              <w:end w:w="110" w:type="dxa"/>
            </w:tcMar>
            <w:vAlign w:val="center"/>
          </w:tcPr>
          <w:p>
            <w:pPr>
              <w:spacing w:after="0" w:line="240" w:lineRule="auto"/>
            </w:pPr>
            <w:r>
              <w:rPr>
                <w:sz w:val="17"/>
              </w:rPr>
              <w:t>Netlify Production</w:t>
            </w:r>
          </w:p>
        </w:tc>
        <w:tc>
          <w:tcPr>
            <w:tcW w:type="dxa" w:w="2864"/>
            <w:tcMar>
              <w:top w:w="80" w:type="dxa"/>
              <w:start w:w="110" w:type="dxa"/>
              <w:bottom w:w="80" w:type="dxa"/>
              <w:end w:w="110" w:type="dxa"/>
            </w:tcMar>
            <w:vAlign w:val="center"/>
          </w:tcPr>
          <w:p>
            <w:pPr>
              <w:spacing w:after="0" w:line="240" w:lineRule="auto"/>
            </w:pPr>
            <w:r>
              <w:rPr>
                <w:sz w:val="17"/>
              </w:rPr>
              <w:t>recréer endpoint ou secret</w:t>
            </w:r>
          </w:p>
        </w:tc>
        <w:tc>
          <w:tcPr>
            <w:tcW w:type="dxa" w:w="2864"/>
            <w:tcMar>
              <w:top w:w="80" w:type="dxa"/>
              <w:start w:w="110" w:type="dxa"/>
              <w:bottom w:w="80" w:type="dxa"/>
              <w:end w:w="110" w:type="dxa"/>
            </w:tcMar>
            <w:vAlign w:val="center"/>
          </w:tcPr>
          <w:p>
            <w:pPr>
              <w:spacing w:after="0" w:line="240" w:lineRule="auto"/>
            </w:pPr>
            <w:r>
              <w:rPr>
                <w:sz w:val="17"/>
              </w:rPr>
              <w:t>taux de signatures invalides</w:t>
            </w:r>
          </w:p>
        </w:tc>
      </w:tr>
      <w:tr>
        <w:tc>
          <w:tcPr>
            <w:tcW w:type="dxa" w:w="1982"/>
            <w:tcMar>
              <w:top w:w="80" w:type="dxa"/>
              <w:start w:w="110" w:type="dxa"/>
              <w:bottom w:w="80" w:type="dxa"/>
              <w:end w:w="110" w:type="dxa"/>
            </w:tcMar>
            <w:vAlign w:val="center"/>
            <w:shd w:fill="F8F7FC"/>
          </w:tcPr>
          <w:p>
            <w:pPr>
              <w:spacing w:after="0" w:line="240" w:lineRule="auto"/>
            </w:pPr>
            <w:r>
              <w:rPr>
                <w:rFonts w:ascii="Consolas" w:hAnsi="Consolas"/>
                <w:color w:val="4A339E"/>
                <w:sz w:val="17"/>
              </w:rPr>
              <w:t>GEMINI_API_KEY</w:t>
            </w:r>
          </w:p>
        </w:tc>
        <w:tc>
          <w:tcPr>
            <w:tcW w:type="dxa" w:w="1468"/>
            <w:tcMar>
              <w:top w:w="80" w:type="dxa"/>
              <w:start w:w="110" w:type="dxa"/>
              <w:bottom w:w="80" w:type="dxa"/>
              <w:end w:w="110" w:type="dxa"/>
            </w:tcMar>
            <w:vAlign w:val="center"/>
            <w:shd w:fill="F8F7FC"/>
          </w:tcPr>
          <w:p>
            <w:pPr>
              <w:spacing w:after="0" w:line="240" w:lineRule="auto"/>
            </w:pPr>
            <w:r>
              <w:rPr>
                <w:sz w:val="17"/>
              </w:rPr>
              <w:t>Netlify par contexte</w:t>
            </w:r>
          </w:p>
        </w:tc>
        <w:tc>
          <w:tcPr>
            <w:tcW w:type="dxa" w:w="2864"/>
            <w:tcMar>
              <w:top w:w="80" w:type="dxa"/>
              <w:start w:w="110" w:type="dxa"/>
              <w:bottom w:w="80" w:type="dxa"/>
              <w:end w:w="110" w:type="dxa"/>
            </w:tcMar>
            <w:vAlign w:val="center"/>
            <w:shd w:fill="F8F7FC"/>
          </w:tcPr>
          <w:p>
            <w:pPr>
              <w:spacing w:after="0" w:line="240" w:lineRule="auto"/>
            </w:pPr>
            <w:r>
              <w:rPr>
                <w:sz w:val="17"/>
              </w:rPr>
              <w:t>rotation Google AI</w:t>
            </w:r>
          </w:p>
        </w:tc>
        <w:tc>
          <w:tcPr>
            <w:tcW w:type="dxa" w:w="2864"/>
            <w:tcMar>
              <w:top w:w="80" w:type="dxa"/>
              <w:start w:w="110" w:type="dxa"/>
              <w:bottom w:w="80" w:type="dxa"/>
              <w:end w:w="110" w:type="dxa"/>
            </w:tcMar>
            <w:vAlign w:val="center"/>
            <w:shd w:fill="F8F7FC"/>
          </w:tcPr>
          <w:p>
            <w:pPr>
              <w:spacing w:after="0" w:line="240" w:lineRule="auto"/>
            </w:pPr>
            <w:r>
              <w:rPr>
                <w:sz w:val="17"/>
              </w:rPr>
              <w:t>quotas et pics de consommation</w:t>
            </w:r>
          </w:p>
        </w:tc>
      </w:tr>
      <w:tr>
        <w:tc>
          <w:tcPr>
            <w:tcW w:type="dxa" w:w="1982"/>
            <w:tcMar>
              <w:top w:w="80" w:type="dxa"/>
              <w:start w:w="110" w:type="dxa"/>
              <w:bottom w:w="80" w:type="dxa"/>
              <w:end w:w="110" w:type="dxa"/>
            </w:tcMar>
            <w:vAlign w:val="center"/>
          </w:tcPr>
          <w:p>
            <w:pPr>
              <w:spacing w:after="0" w:line="240" w:lineRule="auto"/>
            </w:pPr>
            <w:r>
              <w:rPr>
                <w:rFonts w:ascii="Consolas" w:hAnsi="Consolas"/>
                <w:color w:val="4A339E"/>
                <w:sz w:val="17"/>
              </w:rPr>
              <w:t>SENTRY_AUTH_TOKEN</w:t>
            </w:r>
          </w:p>
        </w:tc>
        <w:tc>
          <w:tcPr>
            <w:tcW w:type="dxa" w:w="1468"/>
            <w:tcMar>
              <w:top w:w="80" w:type="dxa"/>
              <w:start w:w="110" w:type="dxa"/>
              <w:bottom w:w="80" w:type="dxa"/>
              <w:end w:w="110" w:type="dxa"/>
            </w:tcMar>
            <w:vAlign w:val="center"/>
          </w:tcPr>
          <w:p>
            <w:pPr>
              <w:spacing w:after="0" w:line="240" w:lineRule="auto"/>
            </w:pPr>
            <w:r>
              <w:rPr>
                <w:sz w:val="17"/>
              </w:rPr>
              <w:t>build Production</w:t>
            </w:r>
          </w:p>
        </w:tc>
        <w:tc>
          <w:tcPr>
            <w:tcW w:type="dxa" w:w="2864"/>
            <w:tcMar>
              <w:top w:w="80" w:type="dxa"/>
              <w:start w:w="110" w:type="dxa"/>
              <w:bottom w:w="80" w:type="dxa"/>
              <w:end w:w="110" w:type="dxa"/>
            </w:tcMar>
            <w:vAlign w:val="center"/>
          </w:tcPr>
          <w:p>
            <w:pPr>
              <w:spacing w:after="0" w:line="240" w:lineRule="auto"/>
            </w:pPr>
            <w:r>
              <w:rPr>
                <w:sz w:val="17"/>
              </w:rPr>
              <w:t>révocation et jeton minimal</w:t>
            </w:r>
          </w:p>
        </w:tc>
        <w:tc>
          <w:tcPr>
            <w:tcW w:type="dxa" w:w="2864"/>
            <w:tcMar>
              <w:top w:w="80" w:type="dxa"/>
              <w:start w:w="110" w:type="dxa"/>
              <w:bottom w:w="80" w:type="dxa"/>
              <w:end w:w="110" w:type="dxa"/>
            </w:tcMar>
            <w:vAlign w:val="center"/>
          </w:tcPr>
          <w:p>
            <w:pPr>
              <w:spacing w:after="0" w:line="240" w:lineRule="auto"/>
            </w:pPr>
            <w:r>
              <w:rPr>
                <w:sz w:val="17"/>
              </w:rPr>
              <w:t>audit Sentry</w:t>
            </w:r>
          </w:p>
        </w:tc>
      </w:tr>
    </w:tbl>
    <w:p>
      <w:pPr>
        <w:spacing w:after="0"/>
      </w:pPr>
    </w:p>
    <w:p>
      <w:r>
        <w:t>Un secret suspecté compromis est révoqué avant l'analyse exhaustive. Le nouveau secret est déployé, les services sont testés, puis la fenêtre d'exposition et les journaux sont analysés. Les commits ne sont pas « nettoyés » comme seule mesure : une valeur présente dans Git est considérée divulguée.</w:t>
      </w:r>
    </w:p>
    <w:p>
      <w:bookmarkStart w:id="7" w:name="h_7_S_curit__Stripe_et_commerce"/>
      <w:pPr>
        <w:pStyle w:val="Heading1"/>
      </w:pPr>
      <w:r>
        <w:t>Sécurité Stripe et commerce</w:t>
      </w:r>
      <w:bookmarkEnd w:id="7"/>
    </w:p>
    <w:p>
      <w:pPr>
        <w:keepNext/>
        <w:jc w:val="center"/>
      </w:pPr>
      <w:r>
        <w:drawing>
          <wp:inline xmlns:a="http://schemas.openxmlformats.org/drawingml/2006/main" xmlns:pic="http://schemas.openxmlformats.org/drawingml/2006/picture">
            <wp:extent cx="5652000" cy="5199840"/>
            <wp:docPr id="4" name="Picture 4" descr="Frontière de confiance du checkout et du webhook" title="Frontière de confiance du checkout et du webhook"/>
            <wp:cNvGraphicFramePr>
              <a:graphicFrameLocks noChangeAspect="1"/>
            </wp:cNvGraphicFramePr>
            <a:graphic>
              <a:graphicData uri="http://schemas.openxmlformats.org/drawingml/2006/picture">
                <pic:pic>
                  <pic:nvPicPr>
                    <pic:cNvPr id="0" name="05-seq-checkout.png"/>
                    <pic:cNvPicPr/>
                  </pic:nvPicPr>
                  <pic:blipFill>
                    <a:blip r:embed="rId12"/>
                    <a:stretch>
                      <a:fillRect/>
                    </a:stretch>
                  </pic:blipFill>
                  <pic:spPr>
                    <a:xfrm>
                      <a:off x="0" y="0"/>
                      <a:ext cx="5652000" cy="5199840"/>
                    </a:xfrm>
                    <a:prstGeom prst="rect"/>
                  </pic:spPr>
                </pic:pic>
              </a:graphicData>
            </a:graphic>
          </wp:inline>
        </w:drawing>
      </w:r>
    </w:p>
    <w:p>
      <w:pPr>
        <w:pStyle w:val="CYNACaption"/>
      </w:pPr>
      <w:r>
        <w:t>Frontière de confiance du checkout et du webhook</w:t>
      </w:r>
    </w:p>
    <w:p>
      <w:r>
        <w:t>La création Checkout relit prix et produits côté serveur. La carte bancaire reste dans les surfaces Stripe ; CYNA ne stocke que marque et quatre derniers chiffres lorsqu'ils sont disponibles. Le webhook refuse toute signature manquante ou invalide avant d'instancier une écriture privilégiée. Les événements valides en erreur répondent 500 afin d'obtenir un retry.</w:t>
      </w:r>
    </w:p>
    <w:p>
      <w:r>
        <w:t xml:space="preserve">Les métadonnées Stripe ne sont pas une autorisation en elles-mêmes. </w:t>
      </w:r>
      <w:r>
        <w:rPr>
          <w:rFonts w:ascii="Consolas" w:hAnsi="Consolas"/>
          <w:color w:val="4A339E"/>
          <w:sz w:val="18"/>
        </w:rPr>
        <w:t>id_commande</w:t>
      </w:r>
      <w:r>
        <w:t xml:space="preserve"> doit être un entier positif et </w:t>
      </w:r>
      <w:r>
        <w:rPr>
          <w:rFonts w:ascii="Consolas" w:hAnsi="Consolas"/>
          <w:color w:val="4A339E"/>
          <w:sz w:val="18"/>
        </w:rPr>
        <w:t>id_compte</w:t>
      </w:r>
      <w:r>
        <w:t xml:space="preserve"> est normalisé. La finalisation et les upserts doivent tolérer un replay et une concurrence raisonnable. Une réconciliation régulière compare commandes payées, abonnements, factures et événements Stripe. Une divergence ne se corrige pas par une modification manuelle non tracée.</w:t>
      </w:r>
    </w:p>
    <w:p>
      <w:r>
        <w:t xml:space="preserve">Les PDFs de facture sont stockés dans un bucket privé. Les URLs signées éventuelles doivent être courtes et émises après autorisation. Le rapport administrateur utilise </w:t>
      </w:r>
      <w:r>
        <w:rPr>
          <w:rFonts w:ascii="Consolas" w:hAnsi="Consolas"/>
          <w:color w:val="4A339E"/>
          <w:sz w:val="18"/>
        </w:rPr>
        <w:t>private, no-store</w:t>
      </w:r>
      <w:r>
        <w:t xml:space="preserve"> et exige AAL2.</w:t>
      </w:r>
    </w:p>
    <w:p>
      <w:bookmarkStart w:id="8" w:name="h_8_S_curit__du_chatbot_et_prote"/>
      <w:pPr>
        <w:pStyle w:val="Heading1"/>
      </w:pPr>
      <w:r>
        <w:t>Sécurité du chatbot et protection des données</w:t>
      </w:r>
      <w:bookmarkEnd w:id="8"/>
    </w:p>
    <w:p>
      <w:bookmarkStart w:id="9" w:name="h_9_Donn_es_et_propri_t_"/>
      <w:pPr>
        <w:pStyle w:val="Heading2"/>
      </w:pPr>
      <w:r>
        <w:t>Données et propriété</w:t>
      </w:r>
      <w:bookmarkEnd w:id="9"/>
    </w:p>
    <w:p>
      <w:r>
        <w:t xml:space="preserve">Un invité reçoit un cookie aléatoire HTTP-only, SameSite Lax, Secure en production. Seul son hash SHA-256 est persistant. Un compte authentifié utilise </w:t>
      </w:r>
      <w:r>
        <w:rPr>
          <w:rFonts w:ascii="Consolas" w:hAnsi="Consolas"/>
          <w:color w:val="4A339E"/>
          <w:sz w:val="18"/>
        </w:rPr>
        <w:t>auth.users.id</w:t>
      </w:r>
      <w:r>
        <w:t>; une conversation est rattachée à l'un ou l'autre et sa reprise vérifie cette propriété. Le contenu des tours est conservé pour le service et le support pendant 90 jours. La purge doit être planifiée et contrôlée.</w:t>
      </w:r>
    </w:p>
    <w:p>
      <w:r>
        <w:t xml:space="preserve">Gemini reçoit les messages nécessaires au tour et les réponses compactes d'outils. </w:t>
      </w:r>
      <w:r>
        <w:rPr>
          <w:rFonts w:ascii="Consolas" w:hAnsi="Consolas"/>
          <w:color w:val="4A339E"/>
          <w:sz w:val="18"/>
        </w:rPr>
        <w:t>search_products</w:t>
      </w:r>
      <w:r>
        <w:t xml:space="preserve"> et </w:t>
      </w:r>
      <w:r>
        <w:rPr>
          <w:rFonts w:ascii="Consolas" w:hAnsi="Consolas"/>
          <w:color w:val="4A339E"/>
          <w:sz w:val="18"/>
        </w:rPr>
        <w:t>list_categories</w:t>
      </w:r>
      <w:r>
        <w:t xml:space="preserve"> travaillent sur le catalogue public. </w:t>
      </w:r>
      <w:r>
        <w:rPr>
          <w:rFonts w:ascii="Consolas" w:hAnsi="Consolas"/>
          <w:color w:val="4A339E"/>
          <w:sz w:val="18"/>
        </w:rPr>
        <w:t>open_support_form</w:t>
      </w:r>
      <w:r>
        <w:t xml:space="preserve"> ne remet que l'e-mail courant et les libellés de commandes autorisées au composant ; le modèle reçoit une confirmation minimale. Les métadonnées persistées excluent arguments et réponses brutes.</w:t>
      </w:r>
    </w:p>
    <w:p>
      <w:bookmarkStart w:id="10" w:name="h_10_Prompt_injection_et_abus"/>
      <w:pPr>
        <w:pStyle w:val="Heading2"/>
      </w:pPr>
      <w:r>
        <w:t>Prompt injection et abus</w:t>
      </w:r>
      <w:bookmarkEnd w:id="10"/>
    </w:p>
    <w:p>
      <w:r>
        <w:t>L'instruction système limite CynAI à CYNA, au catalogue, à la cybersécurité et au support. Les quatre outils sont fermés et n'acceptent pas de SQL, URL arbitraire ou nom de table. Les réponses produit sont ancrées dans les résultats réels. Le nombre de rounds est limité à quatre et le nombre de cartes est limité.</w:t>
      </w:r>
    </w:p>
    <w:p>
      <w:r>
        <w:t xml:space="preserve">Ces contrôles ne constituent pas un pare-feu complet contre l'abus. Il manque un rate limiting par session/IP, des quotas métier, une limite explicite stricte de taille et des tests adversariaux automatisés. En attendant, les quotas fournisseurs et alertes de consommation doivent être activés ; un pic peut justifier la désactivation temporaire de </w:t>
      </w:r>
      <w:r>
        <w:rPr>
          <w:rFonts w:ascii="Consolas" w:hAnsi="Consolas"/>
          <w:color w:val="4A339E"/>
          <w:sz w:val="18"/>
        </w:rPr>
        <w:t>GEMINI_API_KEY</w:t>
      </w:r>
      <w:r>
        <w:t xml:space="preserve"> ou du widget.</w:t>
      </w:r>
    </w:p>
    <w:p>
      <w:bookmarkStart w:id="11" w:name="h_11_Escalade_support"/>
      <w:pPr>
        <w:pStyle w:val="Heading2"/>
      </w:pPr>
      <w:r>
        <w:t>Escalade support</w:t>
      </w:r>
      <w:bookmarkEnd w:id="11"/>
    </w:p>
    <w:p>
      <w:r>
        <w:t>Le chatbot n'enregistre pas librement une commande fournie par l'utilisateur. Le formulaire propose seulement les commandes retournées par le service de propriété. La création de ticket valide à nouveau la commande et l'identité. Les agents BackOffice accèdent à l'historique selon leur rôle et leur MFA ; cet accès doit être justifié par le support.</w:t>
      </w:r>
    </w:p>
    <w:p>
      <w:bookmarkStart w:id="12" w:name="h_12_Observabilit__respectueuse_d"/>
      <w:pPr>
        <w:pStyle w:val="Heading1"/>
      </w:pPr>
      <w:r>
        <w:t>Observabilité respectueuse de la vie privée</w:t>
      </w:r>
      <w:bookmarkEnd w:id="12"/>
    </w:p>
    <w:p>
      <w:r>
        <w:t xml:space="preserve">Sentry est désactivé sans DSN. En production, </w:t>
      </w:r>
      <w:r>
        <w:rPr>
          <w:rFonts w:ascii="Consolas" w:hAnsi="Consolas"/>
          <w:color w:val="4A339E"/>
          <w:sz w:val="18"/>
        </w:rPr>
        <w:t>sendDefaultPii</w:t>
      </w:r>
      <w:r>
        <w:t xml:space="preserve"> vaut false, le taux de traces vaut zéro et replay/logs sont absents. </w:t>
      </w:r>
      <w:r>
        <w:rPr>
          <w:rFonts w:ascii="Consolas" w:hAnsi="Consolas"/>
          <w:color w:val="4A339E"/>
          <w:sz w:val="18"/>
        </w:rPr>
        <w:t>beforeSend</w:t>
      </w:r>
      <w:r>
        <w:t xml:space="preserve"> retire l'objet user, les corps, cookies, autorisations, </w:t>
      </w:r>
      <w:r>
        <w:rPr>
          <w:rFonts w:ascii="Consolas" w:hAnsi="Consolas"/>
          <w:color w:val="4A339E"/>
          <w:sz w:val="18"/>
        </w:rPr>
        <w:t>Set-Cookie</w:t>
      </w:r>
      <w:r>
        <w:t>, clés API et en-têtes privés, indépendamment de la casse. Les captures explicites ajoutent uniquement des tags de zone, d'étape et de type d'événement.</w:t>
      </w:r>
    </w:p>
    <w:p>
      <w:r>
        <w:t>Une évolution du SDK, l'ajout d'un breadcrumb ou d'un nouvel enrichissement réseau exige de rejouer le test de confidentialité. Les événements de recette doivent employer des données fictives. Sentry aide au diagnostic technique ; il n'est ni un entrepôt d'audit ni un outil de profilage utilisateur.</w:t>
      </w:r>
    </w:p>
    <w:p>
      <w:bookmarkStart w:id="13" w:name="h_13_D_pendances__CI_et_cha_ne_de"/>
      <w:pPr>
        <w:pStyle w:val="Heading1"/>
      </w:pPr>
      <w:r>
        <w:t>Dépendances, CI et chaîne de livraison</w:t>
      </w:r>
      <w:bookmarkEnd w:id="13"/>
    </w:p>
    <w:p>
      <w:pPr>
        <w:keepNext/>
        <w:jc w:val="center"/>
      </w:pPr>
      <w:r>
        <w:drawing>
          <wp:inline xmlns:a="http://schemas.openxmlformats.org/drawingml/2006/main" xmlns:pic="http://schemas.openxmlformats.org/drawingml/2006/picture">
            <wp:extent cx="5652000" cy="2779741"/>
            <wp:docPr id="5" name="Picture 5" descr="Contrôles de la chaîne de livraison" title="Contrôles de la chaîne de livraison"/>
            <wp:cNvGraphicFramePr>
              <a:graphicFrameLocks noChangeAspect="1"/>
            </wp:cNvGraphicFramePr>
            <a:graphic>
              <a:graphicData uri="http://schemas.openxmlformats.org/drawingml/2006/picture">
                <pic:pic>
                  <pic:nvPicPr>
                    <pic:cNvPr id="0" name="08-ci-observabilite.png"/>
                    <pic:cNvPicPr/>
                  </pic:nvPicPr>
                  <pic:blipFill>
                    <a:blip r:embed="rId13"/>
                    <a:stretch>
                      <a:fillRect/>
                    </a:stretch>
                  </pic:blipFill>
                  <pic:spPr>
                    <a:xfrm>
                      <a:off x="0" y="0"/>
                      <a:ext cx="5652000" cy="2779741"/>
                    </a:xfrm>
                    <a:prstGeom prst="rect"/>
                  </pic:spPr>
                </pic:pic>
              </a:graphicData>
            </a:graphic>
          </wp:inline>
        </w:drawing>
      </w:r>
    </w:p>
    <w:p>
      <w:pPr>
        <w:pStyle w:val="CYNACaption"/>
      </w:pPr>
      <w:r>
        <w:t>Contrôles de la chaîne de livraison</w:t>
      </w:r>
    </w:p>
    <w:p>
      <w:r>
        <w:t xml:space="preserve">La CI utilise un lockfile, </w:t>
      </w:r>
      <w:r>
        <w:rPr>
          <w:rFonts w:ascii="Consolas" w:hAnsi="Consolas"/>
          <w:color w:val="4A339E"/>
          <w:sz w:val="18"/>
        </w:rPr>
        <w:t>npm ci</w:t>
      </w:r>
      <w:r>
        <w:t xml:space="preserve">, Node 24 et des permissions GitHub minimales. Elle bloque lint, tests, vulnérabilités production hautes/critiques et build. Le statut </w:t>
      </w:r>
      <w:r>
        <w:rPr>
          <w:rFonts w:ascii="Consolas" w:hAnsi="Consolas"/>
          <w:color w:val="4A339E"/>
          <w:sz w:val="18"/>
        </w:rPr>
        <w:t>CI / quality</w:t>
      </w:r>
      <w:r>
        <w:t xml:space="preserve"> doit être requis sur </w:t>
      </w:r>
      <w:r>
        <w:rPr>
          <w:rFonts w:ascii="Consolas" w:hAnsi="Consolas"/>
          <w:color w:val="4A339E"/>
          <w:sz w:val="18"/>
        </w:rPr>
        <w:t>dev</w:t>
      </w:r>
      <w:r>
        <w:t xml:space="preserve"> et </w:t>
      </w:r>
      <w:r>
        <w:rPr>
          <w:rFonts w:ascii="Consolas" w:hAnsi="Consolas"/>
          <w:color w:val="4A339E"/>
          <w:sz w:val="18"/>
        </w:rPr>
        <w:t>prod</w:t>
      </w:r>
      <w:r>
        <w:t xml:space="preserve">. Dependabot propose les mises à jour npm et GitHub Actions vers </w:t>
      </w:r>
      <w:r>
        <w:rPr>
          <w:rFonts w:ascii="Consolas" w:hAnsi="Consolas"/>
          <w:color w:val="4A339E"/>
          <w:sz w:val="18"/>
        </w:rPr>
        <w:t>dev</w:t>
      </w:r>
      <w:r>
        <w:t>; les majors restent séparées pour une revue explicite.</w:t>
      </w:r>
    </w:p>
    <w:p>
      <w:r>
        <w:t xml:space="preserve">Le graphe de dépendances, les alertes et mises à jour de sécurité GitHub doivent être activés manuellement. Une alerte haute ou critique en production est triée immédiatement : exposition réelle, correctif non majeur, test, preview puis release. </w:t>
      </w:r>
      <w:r>
        <w:rPr>
          <w:rFonts w:ascii="Consolas" w:hAnsi="Consolas"/>
          <w:color w:val="4A339E"/>
          <w:sz w:val="18"/>
        </w:rPr>
        <w:t>npm audit fix --force</w:t>
      </w:r>
      <w:r>
        <w:t xml:space="preserve"> est interdit sans analyse, car il peut imposer une rupture majeure. Les actions tierces doivent rester limitées et leurs mises à jour relues.</w:t>
      </w:r>
    </w:p>
    <w:p>
      <w:r>
        <w:t xml:space="preserve">Les previews ne reçoivent pas les secrets live. Le passage production se fait par PR </w:t>
      </w:r>
      <w:r>
        <w:rPr>
          <w:rFonts w:ascii="Consolas" w:hAnsi="Consolas"/>
          <w:color w:val="4A339E"/>
          <w:sz w:val="18"/>
        </w:rPr>
        <w:t>dev → prod</w:t>
      </w:r>
      <w:r>
        <w:t>, CI et preview vertes, validation humaine et possibilité de restaurer le déploiement Netlify précédent.</w:t>
      </w:r>
    </w:p>
    <w:p>
      <w:bookmarkStart w:id="14" w:name="h_14_RGPD_et_cycle_de_vie"/>
      <w:pPr>
        <w:pStyle w:val="Heading1"/>
      </w:pPr>
      <w:r>
        <w:t>RGPD et cycle de vie</w:t>
      </w:r>
      <w:bookmarkEnd w:id="14"/>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896"/>
        <w:gridCol w:w="1981"/>
        <w:gridCol w:w="2134"/>
        <w:gridCol w:w="2032"/>
        <w:gridCol w:w="2134"/>
      </w:tblGrid>
      <w:tr>
        <w:trPr>
          <w:tblHeader w:val="true"/>
        </w:trPr>
        <w:tc>
          <w:tcPr>
            <w:tcW w:type="dxa" w:w="896"/>
            <w:tcMar>
              <w:top w:w="80" w:type="dxa"/>
              <w:start w:w="110" w:type="dxa"/>
              <w:bottom w:w="80" w:type="dxa"/>
              <w:end w:w="110" w:type="dxa"/>
            </w:tcMar>
            <w:vAlign w:val="center"/>
            <w:shd w:fill="E8EEF5"/>
          </w:tcPr>
          <w:p>
            <w:pPr>
              <w:spacing w:after="0" w:line="240" w:lineRule="auto"/>
            </w:pPr>
            <w:r>
              <w:rPr>
                <w:b/>
                <w:color w:val="302082"/>
                <w:sz w:val="16"/>
              </w:rPr>
              <w:t>Finalité</w:t>
            </w:r>
          </w:p>
        </w:tc>
        <w:tc>
          <w:tcPr>
            <w:tcW w:type="dxa" w:w="1981"/>
            <w:tcMar>
              <w:top w:w="80" w:type="dxa"/>
              <w:start w:w="110" w:type="dxa"/>
              <w:bottom w:w="80" w:type="dxa"/>
              <w:end w:w="110" w:type="dxa"/>
            </w:tcMar>
            <w:vAlign w:val="center"/>
            <w:shd w:fill="E8EEF5"/>
          </w:tcPr>
          <w:p>
            <w:pPr>
              <w:spacing w:after="0" w:line="240" w:lineRule="auto"/>
            </w:pPr>
            <w:r>
              <w:rPr>
                <w:b/>
                <w:color w:val="302082"/>
                <w:sz w:val="16"/>
              </w:rPr>
              <w:t>Données</w:t>
            </w:r>
          </w:p>
        </w:tc>
        <w:tc>
          <w:tcPr>
            <w:tcW w:type="dxa" w:w="2134"/>
            <w:tcMar>
              <w:top w:w="80" w:type="dxa"/>
              <w:start w:w="110" w:type="dxa"/>
              <w:bottom w:w="80" w:type="dxa"/>
              <w:end w:w="110" w:type="dxa"/>
            </w:tcMar>
            <w:vAlign w:val="center"/>
            <w:shd w:fill="E8EEF5"/>
          </w:tcPr>
          <w:p>
            <w:pPr>
              <w:spacing w:after="0" w:line="240" w:lineRule="auto"/>
            </w:pPr>
            <w:r>
              <w:rPr>
                <w:b/>
                <w:color w:val="302082"/>
                <w:sz w:val="16"/>
              </w:rPr>
              <w:t>Base / justification</w:t>
            </w:r>
          </w:p>
        </w:tc>
        <w:tc>
          <w:tcPr>
            <w:tcW w:type="dxa" w:w="2032"/>
            <w:tcMar>
              <w:top w:w="80" w:type="dxa"/>
              <w:start w:w="110" w:type="dxa"/>
              <w:bottom w:w="80" w:type="dxa"/>
              <w:end w:w="110" w:type="dxa"/>
            </w:tcMar>
            <w:vAlign w:val="center"/>
            <w:shd w:fill="E8EEF5"/>
          </w:tcPr>
          <w:p>
            <w:pPr>
              <w:spacing w:after="0" w:line="240" w:lineRule="auto"/>
            </w:pPr>
            <w:r>
              <w:rPr>
                <w:b/>
                <w:color w:val="302082"/>
                <w:sz w:val="16"/>
              </w:rPr>
              <w:t>Conservation cible</w:t>
            </w:r>
          </w:p>
        </w:tc>
        <w:tc>
          <w:tcPr>
            <w:tcW w:type="dxa" w:w="2134"/>
            <w:tcMar>
              <w:top w:w="80" w:type="dxa"/>
              <w:start w:w="110" w:type="dxa"/>
              <w:bottom w:w="80" w:type="dxa"/>
              <w:end w:w="110" w:type="dxa"/>
            </w:tcMar>
            <w:vAlign w:val="center"/>
            <w:shd w:fill="E8EEF5"/>
          </w:tcPr>
          <w:p>
            <w:pPr>
              <w:spacing w:after="0" w:line="240" w:lineRule="auto"/>
            </w:pPr>
            <w:r>
              <w:rPr>
                <w:b/>
                <w:color w:val="302082"/>
                <w:sz w:val="16"/>
              </w:rPr>
              <w:t>Droit / action</w:t>
            </w:r>
          </w:p>
        </w:tc>
      </w:tr>
      <w:tr>
        <w:tc>
          <w:tcPr>
            <w:tcW w:type="dxa" w:w="896"/>
            <w:tcMar>
              <w:top w:w="80" w:type="dxa"/>
              <w:start w:w="110" w:type="dxa"/>
              <w:bottom w:w="80" w:type="dxa"/>
              <w:end w:w="110" w:type="dxa"/>
            </w:tcMar>
            <w:vAlign w:val="center"/>
          </w:tcPr>
          <w:p>
            <w:pPr>
              <w:spacing w:after="0" w:line="240" w:lineRule="auto"/>
            </w:pPr>
            <w:r>
              <w:rPr>
                <w:sz w:val="16"/>
              </w:rPr>
              <w:t>Compte et contrat</w:t>
            </w:r>
          </w:p>
        </w:tc>
        <w:tc>
          <w:tcPr>
            <w:tcW w:type="dxa" w:w="1981"/>
            <w:tcMar>
              <w:top w:w="80" w:type="dxa"/>
              <w:start w:w="110" w:type="dxa"/>
              <w:bottom w:w="80" w:type="dxa"/>
              <w:end w:w="110" w:type="dxa"/>
            </w:tcMar>
            <w:vAlign w:val="center"/>
          </w:tcPr>
          <w:p>
            <w:pPr>
              <w:spacing w:after="0" w:line="240" w:lineRule="auto"/>
            </w:pPr>
            <w:r>
              <w:rPr>
                <w:sz w:val="16"/>
              </w:rPr>
              <w:t>identité, commandes, factures</w:t>
            </w:r>
          </w:p>
        </w:tc>
        <w:tc>
          <w:tcPr>
            <w:tcW w:type="dxa" w:w="2134"/>
            <w:tcMar>
              <w:top w:w="80" w:type="dxa"/>
              <w:start w:w="110" w:type="dxa"/>
              <w:bottom w:w="80" w:type="dxa"/>
              <w:end w:w="110" w:type="dxa"/>
            </w:tcMar>
            <w:vAlign w:val="center"/>
          </w:tcPr>
          <w:p>
            <w:pPr>
              <w:spacing w:after="0" w:line="240" w:lineRule="auto"/>
            </w:pPr>
            <w:r>
              <w:rPr>
                <w:sz w:val="16"/>
              </w:rPr>
              <w:t>contrat et obligations</w:t>
            </w:r>
          </w:p>
        </w:tc>
        <w:tc>
          <w:tcPr>
            <w:tcW w:type="dxa" w:w="2032"/>
            <w:tcMar>
              <w:top w:w="80" w:type="dxa"/>
              <w:start w:w="110" w:type="dxa"/>
              <w:bottom w:w="80" w:type="dxa"/>
              <w:end w:w="110" w:type="dxa"/>
            </w:tcMar>
            <w:vAlign w:val="center"/>
          </w:tcPr>
          <w:p>
            <w:pPr>
              <w:spacing w:after="0" w:line="240" w:lineRule="auto"/>
            </w:pPr>
            <w:r>
              <w:rPr>
                <w:sz w:val="16"/>
              </w:rPr>
              <w:t>selon obligations légales et contrat</w:t>
            </w:r>
          </w:p>
        </w:tc>
        <w:tc>
          <w:tcPr>
            <w:tcW w:type="dxa" w:w="2134"/>
            <w:tcMar>
              <w:top w:w="80" w:type="dxa"/>
              <w:start w:w="110" w:type="dxa"/>
              <w:bottom w:w="80" w:type="dxa"/>
              <w:end w:w="110" w:type="dxa"/>
            </w:tcMar>
            <w:vAlign w:val="center"/>
          </w:tcPr>
          <w:p>
            <w:pPr>
              <w:spacing w:after="0" w:line="240" w:lineRule="auto"/>
            </w:pPr>
            <w:r>
              <w:rPr>
                <w:sz w:val="16"/>
              </w:rPr>
              <w:t>accès, rectification, restrictions applicables</w:t>
            </w:r>
          </w:p>
        </w:tc>
      </w:tr>
      <w:tr>
        <w:tc>
          <w:tcPr>
            <w:tcW w:type="dxa" w:w="896"/>
            <w:tcMar>
              <w:top w:w="80" w:type="dxa"/>
              <w:start w:w="110" w:type="dxa"/>
              <w:bottom w:w="80" w:type="dxa"/>
              <w:end w:w="110" w:type="dxa"/>
            </w:tcMar>
            <w:vAlign w:val="center"/>
            <w:shd w:fill="F8F7FC"/>
          </w:tcPr>
          <w:p>
            <w:pPr>
              <w:spacing w:after="0" w:line="240" w:lineRule="auto"/>
            </w:pPr>
            <w:r>
              <w:rPr>
                <w:sz w:val="16"/>
              </w:rPr>
              <w:t>Support</w:t>
            </w:r>
          </w:p>
        </w:tc>
        <w:tc>
          <w:tcPr>
            <w:tcW w:type="dxa" w:w="1981"/>
            <w:tcMar>
              <w:top w:w="80" w:type="dxa"/>
              <w:start w:w="110" w:type="dxa"/>
              <w:bottom w:w="80" w:type="dxa"/>
              <w:end w:w="110" w:type="dxa"/>
            </w:tcMar>
            <w:vAlign w:val="center"/>
            <w:shd w:fill="F8F7FC"/>
          </w:tcPr>
          <w:p>
            <w:pPr>
              <w:spacing w:after="0" w:line="240" w:lineRule="auto"/>
            </w:pPr>
            <w:r>
              <w:rPr>
                <w:sz w:val="16"/>
              </w:rPr>
              <w:t>e-mail, ticket, messages, commande liée</w:t>
            </w:r>
          </w:p>
        </w:tc>
        <w:tc>
          <w:tcPr>
            <w:tcW w:type="dxa" w:w="2134"/>
            <w:tcMar>
              <w:top w:w="80" w:type="dxa"/>
              <w:start w:w="110" w:type="dxa"/>
              <w:bottom w:w="80" w:type="dxa"/>
              <w:end w:w="110" w:type="dxa"/>
            </w:tcMar>
            <w:vAlign w:val="center"/>
            <w:shd w:fill="F8F7FC"/>
          </w:tcPr>
          <w:p>
            <w:pPr>
              <w:spacing w:after="0" w:line="240" w:lineRule="auto"/>
            </w:pPr>
            <w:r>
              <w:rPr>
                <w:sz w:val="16"/>
              </w:rPr>
              <w:t>assistance contractuelle ou demande</w:t>
            </w:r>
          </w:p>
        </w:tc>
        <w:tc>
          <w:tcPr>
            <w:tcW w:type="dxa" w:w="2032"/>
            <w:tcMar>
              <w:top w:w="80" w:type="dxa"/>
              <w:start w:w="110" w:type="dxa"/>
              <w:bottom w:w="80" w:type="dxa"/>
              <w:end w:w="110" w:type="dxa"/>
            </w:tcMar>
            <w:vAlign w:val="center"/>
            <w:shd w:fill="F8F7FC"/>
          </w:tcPr>
          <w:p>
            <w:pPr>
              <w:spacing w:after="0" w:line="240" w:lineRule="auto"/>
            </w:pPr>
            <w:r>
              <w:rPr>
                <w:sz w:val="16"/>
              </w:rPr>
              <w:t>politique support à formaliser</w:t>
            </w:r>
          </w:p>
        </w:tc>
        <w:tc>
          <w:tcPr>
            <w:tcW w:type="dxa" w:w="2134"/>
            <w:tcMar>
              <w:top w:w="80" w:type="dxa"/>
              <w:start w:w="110" w:type="dxa"/>
              <w:bottom w:w="80" w:type="dxa"/>
              <w:end w:w="110" w:type="dxa"/>
            </w:tcMar>
            <w:vAlign w:val="center"/>
            <w:shd w:fill="F8F7FC"/>
          </w:tcPr>
          <w:p>
            <w:pPr>
              <w:spacing w:after="0" w:line="240" w:lineRule="auto"/>
            </w:pPr>
            <w:r>
              <w:rPr>
                <w:sz w:val="16"/>
              </w:rPr>
              <w:t>accès, rectification, effacement selon contraintes</w:t>
            </w:r>
          </w:p>
        </w:tc>
      </w:tr>
      <w:tr>
        <w:tc>
          <w:tcPr>
            <w:tcW w:type="dxa" w:w="896"/>
            <w:tcMar>
              <w:top w:w="80" w:type="dxa"/>
              <w:start w:w="110" w:type="dxa"/>
              <w:bottom w:w="80" w:type="dxa"/>
              <w:end w:w="110" w:type="dxa"/>
            </w:tcMar>
            <w:vAlign w:val="center"/>
          </w:tcPr>
          <w:p>
            <w:pPr>
              <w:spacing w:after="0" w:line="240" w:lineRule="auto"/>
            </w:pPr>
            <w:r>
              <w:rPr>
                <w:sz w:val="16"/>
              </w:rPr>
              <w:t>CynAI</w:t>
            </w:r>
          </w:p>
        </w:tc>
        <w:tc>
          <w:tcPr>
            <w:tcW w:type="dxa" w:w="1981"/>
            <w:tcMar>
              <w:top w:w="80" w:type="dxa"/>
              <w:start w:w="110" w:type="dxa"/>
              <w:bottom w:w="80" w:type="dxa"/>
              <w:end w:w="110" w:type="dxa"/>
            </w:tcMar>
            <w:vAlign w:val="center"/>
          </w:tcPr>
          <w:p>
            <w:pPr>
              <w:spacing w:after="0" w:line="240" w:lineRule="auto"/>
            </w:pPr>
            <w:r>
              <w:rPr>
                <w:sz w:val="16"/>
              </w:rPr>
              <w:t>tours, locale, cartes/outils résumés</w:t>
            </w:r>
          </w:p>
        </w:tc>
        <w:tc>
          <w:tcPr>
            <w:tcW w:type="dxa" w:w="2134"/>
            <w:tcMar>
              <w:top w:w="80" w:type="dxa"/>
              <w:start w:w="110" w:type="dxa"/>
              <w:bottom w:w="80" w:type="dxa"/>
              <w:end w:w="110" w:type="dxa"/>
            </w:tcMar>
            <w:vAlign w:val="center"/>
          </w:tcPr>
          <w:p>
            <w:pPr>
              <w:spacing w:after="0" w:line="240" w:lineRule="auto"/>
            </w:pPr>
            <w:r>
              <w:rPr>
                <w:sz w:val="16"/>
              </w:rPr>
              <w:t>service demandé et amélioration opérationnelle</w:t>
            </w:r>
          </w:p>
        </w:tc>
        <w:tc>
          <w:tcPr>
            <w:tcW w:type="dxa" w:w="2032"/>
            <w:tcMar>
              <w:top w:w="80" w:type="dxa"/>
              <w:start w:w="110" w:type="dxa"/>
              <w:bottom w:w="80" w:type="dxa"/>
              <w:end w:w="110" w:type="dxa"/>
            </w:tcMar>
            <w:vAlign w:val="center"/>
          </w:tcPr>
          <w:p>
            <w:pPr>
              <w:spacing w:after="0" w:line="240" w:lineRule="auto"/>
            </w:pPr>
            <w:r>
              <w:rPr>
                <w:sz w:val="16"/>
              </w:rPr>
              <w:t>90 jours</w:t>
            </w:r>
          </w:p>
        </w:tc>
        <w:tc>
          <w:tcPr>
            <w:tcW w:type="dxa" w:w="2134"/>
            <w:tcMar>
              <w:top w:w="80" w:type="dxa"/>
              <w:start w:w="110" w:type="dxa"/>
              <w:bottom w:w="80" w:type="dxa"/>
              <w:end w:w="110" w:type="dxa"/>
            </w:tcMar>
            <w:vAlign w:val="center"/>
          </w:tcPr>
          <w:p>
            <w:pPr>
              <w:spacing w:after="0" w:line="240" w:lineRule="auto"/>
            </w:pPr>
            <w:r>
              <w:rPr>
                <w:sz w:val="16"/>
              </w:rPr>
              <w:t>purge automatique et traitement de demande</w:t>
            </w:r>
          </w:p>
        </w:tc>
      </w:tr>
      <w:tr>
        <w:tc>
          <w:tcPr>
            <w:tcW w:type="dxa" w:w="896"/>
            <w:tcMar>
              <w:top w:w="80" w:type="dxa"/>
              <w:start w:w="110" w:type="dxa"/>
              <w:bottom w:w="80" w:type="dxa"/>
              <w:end w:w="110" w:type="dxa"/>
            </w:tcMar>
            <w:vAlign w:val="center"/>
            <w:shd w:fill="F8F7FC"/>
          </w:tcPr>
          <w:p>
            <w:pPr>
              <w:spacing w:after="0" w:line="240" w:lineRule="auto"/>
            </w:pPr>
            <w:r>
              <w:rPr>
                <w:sz w:val="16"/>
              </w:rPr>
              <w:t>Sécurité</w:t>
            </w:r>
          </w:p>
        </w:tc>
        <w:tc>
          <w:tcPr>
            <w:tcW w:type="dxa" w:w="1981"/>
            <w:tcMar>
              <w:top w:w="80" w:type="dxa"/>
              <w:start w:w="110" w:type="dxa"/>
              <w:bottom w:w="80" w:type="dxa"/>
              <w:end w:w="110" w:type="dxa"/>
            </w:tcMar>
            <w:vAlign w:val="center"/>
            <w:shd w:fill="F8F7FC"/>
          </w:tcPr>
          <w:p>
            <w:pPr>
              <w:spacing w:after="0" w:line="240" w:lineRule="auto"/>
            </w:pPr>
            <w:r>
              <w:rPr>
                <w:sz w:val="16"/>
              </w:rPr>
              <w:t>audit MFA, erreurs filtrées</w:t>
            </w:r>
          </w:p>
        </w:tc>
        <w:tc>
          <w:tcPr>
            <w:tcW w:type="dxa" w:w="2134"/>
            <w:tcMar>
              <w:top w:w="80" w:type="dxa"/>
              <w:start w:w="110" w:type="dxa"/>
              <w:bottom w:w="80" w:type="dxa"/>
              <w:end w:w="110" w:type="dxa"/>
            </w:tcMar>
            <w:vAlign w:val="center"/>
            <w:shd w:fill="F8F7FC"/>
          </w:tcPr>
          <w:p>
            <w:pPr>
              <w:spacing w:after="0" w:line="240" w:lineRule="auto"/>
            </w:pPr>
            <w:r>
              <w:rPr>
                <w:sz w:val="16"/>
              </w:rPr>
              <w:t>intérêt légitime sécurité</w:t>
            </w:r>
          </w:p>
        </w:tc>
        <w:tc>
          <w:tcPr>
            <w:tcW w:type="dxa" w:w="2032"/>
            <w:tcMar>
              <w:top w:w="80" w:type="dxa"/>
              <w:start w:w="110" w:type="dxa"/>
              <w:bottom w:w="80" w:type="dxa"/>
              <w:end w:w="110" w:type="dxa"/>
            </w:tcMar>
            <w:vAlign w:val="center"/>
            <w:shd w:fill="F8F7FC"/>
          </w:tcPr>
          <w:p>
            <w:pPr>
              <w:spacing w:after="0" w:line="240" w:lineRule="auto"/>
            </w:pPr>
            <w:r>
              <w:rPr>
                <w:sz w:val="16"/>
              </w:rPr>
              <w:t>durée minimale documentée par plateforme</w:t>
            </w:r>
          </w:p>
        </w:tc>
        <w:tc>
          <w:tcPr>
            <w:tcW w:type="dxa" w:w="2134"/>
            <w:tcMar>
              <w:top w:w="80" w:type="dxa"/>
              <w:start w:w="110" w:type="dxa"/>
              <w:bottom w:w="80" w:type="dxa"/>
              <w:end w:w="110" w:type="dxa"/>
            </w:tcMar>
            <w:vAlign w:val="center"/>
            <w:shd w:fill="F8F7FC"/>
          </w:tcPr>
          <w:p>
            <w:pPr>
              <w:spacing w:after="0" w:line="240" w:lineRule="auto"/>
            </w:pPr>
            <w:r>
              <w:rPr>
                <w:sz w:val="16"/>
              </w:rPr>
              <w:t>accès restreint et suppression planifiée</w:t>
            </w:r>
          </w:p>
        </w:tc>
      </w:tr>
    </w:tbl>
    <w:p>
      <w:pPr>
        <w:spacing w:after="0"/>
      </w:pPr>
    </w:p>
    <w:p>
      <w:r>
        <w:t>CYNA doit tenir un registre des traitements, contractualiser les sous-traitants, préciser les transferts éventuels et publier une information utilisateur cohérente. Une demande d'accès ou d'effacement doit rechercher les données Supabase, Storage et, selon la fenêtre, Sentry. Les données soumises aux obligations de facturation peuvent devoir être conservées ou pseudonymisées plutôt qu'effacées.</w:t>
      </w:r>
    </w:p>
    <w:p>
      <w:bookmarkStart w:id="15" w:name="h_15_R_ponse___incident"/>
      <w:pPr>
        <w:pStyle w:val="Heading1"/>
      </w:pPr>
      <w:r>
        <w:t>Réponse à incident</w:t>
      </w:r>
      <w:bookmarkEnd w:id="15"/>
    </w:p>
    <w:p>
      <w:bookmarkStart w:id="16" w:name="h_16_Qualification_et_confinement"/>
      <w:pPr>
        <w:pStyle w:val="Heading2"/>
      </w:pPr>
      <w:r>
        <w:t>Qualification et confinement</w:t>
      </w:r>
      <w:bookmarkEnd w:id="16"/>
    </w:p>
    <w:p>
      <w:pPr>
        <w:pStyle w:val="ListNumber"/>
      </w:pPr>
      <w:r>
        <w:t>Ouvrir un incident horodaté, désigner le responsable et préserver les preuves pertinentes.</w:t>
      </w:r>
    </w:p>
    <w:p>
      <w:pPr>
        <w:pStyle w:val="ListNumber"/>
      </w:pPr>
      <w:r>
        <w:t>Qualifier disponibilité, intégrité, confidentialité, comptes touchés et services fournisseurs.</w:t>
      </w:r>
    </w:p>
    <w:p>
      <w:pPr>
        <w:pStyle w:val="ListNumber"/>
      </w:pPr>
      <w:r>
        <w:t>Confinement : restaurer un déploiement, désactiver une intégration, révoquer une clé ou bloquer un compte selon la cause.</w:t>
      </w:r>
    </w:p>
    <w:p>
      <w:pPr>
        <w:pStyle w:val="ListNumber"/>
      </w:pPr>
      <w:r>
        <w:t>Vérifier les événements Stripe en attente avant toute conclusion financière.</w:t>
      </w:r>
    </w:p>
    <w:p>
      <w:pPr>
        <w:pStyle w:val="ListNumber"/>
      </w:pPr>
      <w:r>
        <w:t>Corriger sur branche, faire passer CI et preview, puis déployer sous validation.</w:t>
      </w:r>
    </w:p>
    <w:p>
      <w:pPr>
        <w:pStyle w:val="ListNumber"/>
      </w:pPr>
      <w:r>
        <w:t>Contrôler la récupération et surveiller les régressions.</w:t>
      </w:r>
    </w:p>
    <w:p>
      <w:pPr>
        <w:pStyle w:val="ListNumber"/>
      </w:pPr>
      <w:r>
        <w:t>Documenter cause racine, fenêtre, données, actions et prévention.</w:t>
      </w:r>
    </w:p>
    <w:p>
      <w:bookmarkStart w:id="17" w:name="h_17_Niveaux_indicatifs"/>
      <w:pPr>
        <w:pStyle w:val="Heading2"/>
      </w:pPr>
      <w:r>
        <w:t>Niveaux indicatifs</w:t>
      </w:r>
      <w:bookmarkEnd w:id="17"/>
    </w:p>
    <w:tbl>
      <w:tblPr>
        <w:tblW w:type="auto" w:w="0"/>
        <w:jc w:val="center"/>
        <w:tblLayout w:type="fixed"/>
        <w:tblLook w:firstColumn="1" w:firstRow="1" w:lastColumn="0" w:lastRow="0" w:noHBand="0" w:noVBand="1" w:val="04A0"/>
        <w:tblBorders>
          <w:top w:val="single" w:sz="5" w:color="C9C5DB"/>
          <w:left w:val="single" w:sz="5" w:color="C9C5DB"/>
          <w:bottom w:val="single" w:sz="5" w:color="C9C5DB"/>
          <w:right w:val="single" w:sz="5" w:color="C9C5DB"/>
          <w:insideH w:val="single" w:sz="5" w:color="C9C5DB"/>
          <w:insideV w:val="single" w:sz="5" w:color="C9C5DB"/>
        </w:tblBorders>
      </w:tblPr>
      <w:tblGrid>
        <w:gridCol w:w="1147"/>
        <w:gridCol w:w="4016"/>
        <w:gridCol w:w="4016"/>
      </w:tblGrid>
      <w:tr>
        <w:trPr>
          <w:tblHeader w:val="true"/>
        </w:trPr>
        <w:tc>
          <w:tcPr>
            <w:tcW w:type="dxa" w:w="1147"/>
            <w:tcMar>
              <w:top w:w="80" w:type="dxa"/>
              <w:start w:w="110" w:type="dxa"/>
              <w:bottom w:w="80" w:type="dxa"/>
              <w:end w:w="110" w:type="dxa"/>
            </w:tcMar>
            <w:vAlign w:val="center"/>
            <w:shd w:fill="E8EEF5"/>
          </w:tcPr>
          <w:p>
            <w:pPr>
              <w:spacing w:after="0" w:line="240" w:lineRule="auto"/>
            </w:pPr>
            <w:r>
              <w:rPr>
                <w:b/>
                <w:color w:val="302082"/>
                <w:sz w:val="17"/>
              </w:rPr>
              <w:t>Niveau</w:t>
            </w:r>
          </w:p>
        </w:tc>
        <w:tc>
          <w:tcPr>
            <w:tcW w:type="dxa" w:w="4016"/>
            <w:tcMar>
              <w:top w:w="80" w:type="dxa"/>
              <w:start w:w="110" w:type="dxa"/>
              <w:bottom w:w="80" w:type="dxa"/>
              <w:end w:w="110" w:type="dxa"/>
            </w:tcMar>
            <w:vAlign w:val="center"/>
            <w:shd w:fill="E8EEF5"/>
          </w:tcPr>
          <w:p>
            <w:pPr>
              <w:spacing w:after="0" w:line="240" w:lineRule="auto"/>
            </w:pPr>
            <w:r>
              <w:rPr>
                <w:b/>
                <w:color w:val="302082"/>
                <w:sz w:val="17"/>
              </w:rPr>
              <w:t>Exemple</w:t>
            </w:r>
          </w:p>
        </w:tc>
        <w:tc>
          <w:tcPr>
            <w:tcW w:type="dxa" w:w="4016"/>
            <w:tcMar>
              <w:top w:w="80" w:type="dxa"/>
              <w:start w:w="110" w:type="dxa"/>
              <w:bottom w:w="80" w:type="dxa"/>
              <w:end w:w="110" w:type="dxa"/>
            </w:tcMar>
            <w:vAlign w:val="center"/>
            <w:shd w:fill="E8EEF5"/>
          </w:tcPr>
          <w:p>
            <w:pPr>
              <w:spacing w:after="0" w:line="240" w:lineRule="auto"/>
            </w:pPr>
            <w:r>
              <w:rPr>
                <w:b/>
                <w:color w:val="302082"/>
                <w:sz w:val="17"/>
              </w:rPr>
              <w:t>Réponse initiale</w:t>
            </w:r>
          </w:p>
        </w:tc>
      </w:tr>
      <w:tr>
        <w:tc>
          <w:tcPr>
            <w:tcW w:type="dxa" w:w="1147"/>
            <w:tcMar>
              <w:top w:w="80" w:type="dxa"/>
              <w:start w:w="110" w:type="dxa"/>
              <w:bottom w:w="80" w:type="dxa"/>
              <w:end w:w="110" w:type="dxa"/>
            </w:tcMar>
            <w:vAlign w:val="center"/>
          </w:tcPr>
          <w:p>
            <w:pPr>
              <w:spacing w:after="0" w:line="240" w:lineRule="auto"/>
            </w:pPr>
            <w:r>
              <w:rPr>
                <w:sz w:val="17"/>
              </w:rPr>
              <w:t>SEV-1</w:t>
            </w:r>
          </w:p>
        </w:tc>
        <w:tc>
          <w:tcPr>
            <w:tcW w:type="dxa" w:w="4016"/>
            <w:tcMar>
              <w:top w:w="80" w:type="dxa"/>
              <w:start w:w="110" w:type="dxa"/>
              <w:bottom w:w="80" w:type="dxa"/>
              <w:end w:w="110" w:type="dxa"/>
            </w:tcMar>
            <w:vAlign w:val="center"/>
          </w:tcPr>
          <w:p>
            <w:pPr>
              <w:spacing w:after="0" w:line="240" w:lineRule="auto"/>
            </w:pPr>
            <w:r>
              <w:rPr>
                <w:sz w:val="17"/>
              </w:rPr>
              <w:t>fuite de secret production, paiement incohérent massif, accès admin non autorisé</w:t>
            </w:r>
          </w:p>
        </w:tc>
        <w:tc>
          <w:tcPr>
            <w:tcW w:type="dxa" w:w="4016"/>
            <w:tcMar>
              <w:top w:w="80" w:type="dxa"/>
              <w:start w:w="110" w:type="dxa"/>
              <w:bottom w:w="80" w:type="dxa"/>
              <w:end w:w="110" w:type="dxa"/>
            </w:tcMar>
            <w:vAlign w:val="center"/>
          </w:tcPr>
          <w:p>
            <w:pPr>
              <w:spacing w:after="0" w:line="240" w:lineRule="auto"/>
            </w:pPr>
            <w:r>
              <w:rPr>
                <w:sz w:val="17"/>
              </w:rPr>
              <w:t>immédiate, confinement prioritaire, direction/DPO selon cas</w:t>
            </w:r>
          </w:p>
        </w:tc>
      </w:tr>
      <w:tr>
        <w:tc>
          <w:tcPr>
            <w:tcW w:type="dxa" w:w="1147"/>
            <w:tcMar>
              <w:top w:w="80" w:type="dxa"/>
              <w:start w:w="110" w:type="dxa"/>
              <w:bottom w:w="80" w:type="dxa"/>
              <w:end w:w="110" w:type="dxa"/>
            </w:tcMar>
            <w:vAlign w:val="center"/>
            <w:shd w:fill="F8F7FC"/>
          </w:tcPr>
          <w:p>
            <w:pPr>
              <w:spacing w:after="0" w:line="240" w:lineRule="auto"/>
            </w:pPr>
            <w:r>
              <w:rPr>
                <w:sz w:val="17"/>
              </w:rPr>
              <w:t>SEV-2</w:t>
            </w:r>
          </w:p>
        </w:tc>
        <w:tc>
          <w:tcPr>
            <w:tcW w:type="dxa" w:w="4016"/>
            <w:tcMar>
              <w:top w:w="80" w:type="dxa"/>
              <w:start w:w="110" w:type="dxa"/>
              <w:bottom w:w="80" w:type="dxa"/>
              <w:end w:w="110" w:type="dxa"/>
            </w:tcMar>
            <w:vAlign w:val="center"/>
            <w:shd w:fill="F8F7FC"/>
          </w:tcPr>
          <w:p>
            <w:pPr>
              <w:spacing w:after="0" w:line="240" w:lineRule="auto"/>
            </w:pPr>
            <w:r>
              <w:rPr>
                <w:sz w:val="17"/>
              </w:rPr>
              <w:t>parcours checkout indisponible, fuite limitée suspectée, perte de données</w:t>
            </w:r>
          </w:p>
        </w:tc>
        <w:tc>
          <w:tcPr>
            <w:tcW w:type="dxa" w:w="4016"/>
            <w:tcMar>
              <w:top w:w="80" w:type="dxa"/>
              <w:start w:w="110" w:type="dxa"/>
              <w:bottom w:w="80" w:type="dxa"/>
              <w:end w:w="110" w:type="dxa"/>
            </w:tcMar>
            <w:vAlign w:val="center"/>
            <w:shd w:fill="F8F7FC"/>
          </w:tcPr>
          <w:p>
            <w:pPr>
              <w:spacing w:after="0" w:line="240" w:lineRule="auto"/>
            </w:pPr>
            <w:r>
              <w:rPr>
                <w:sz w:val="17"/>
              </w:rPr>
              <w:t>moins d'une heure ouvrée, équipe technique mobilisée</w:t>
            </w:r>
          </w:p>
        </w:tc>
      </w:tr>
      <w:tr>
        <w:tc>
          <w:tcPr>
            <w:tcW w:type="dxa" w:w="1147"/>
            <w:tcMar>
              <w:top w:w="80" w:type="dxa"/>
              <w:start w:w="110" w:type="dxa"/>
              <w:bottom w:w="80" w:type="dxa"/>
              <w:end w:w="110" w:type="dxa"/>
            </w:tcMar>
            <w:vAlign w:val="center"/>
          </w:tcPr>
          <w:p>
            <w:pPr>
              <w:spacing w:after="0" w:line="240" w:lineRule="auto"/>
            </w:pPr>
            <w:r>
              <w:rPr>
                <w:sz w:val="17"/>
              </w:rPr>
              <w:t>SEV-3</w:t>
            </w:r>
          </w:p>
        </w:tc>
        <w:tc>
          <w:tcPr>
            <w:tcW w:type="dxa" w:w="4016"/>
            <w:tcMar>
              <w:top w:w="80" w:type="dxa"/>
              <w:start w:w="110" w:type="dxa"/>
              <w:bottom w:w="80" w:type="dxa"/>
              <w:end w:w="110" w:type="dxa"/>
            </w:tcMar>
            <w:vAlign w:val="center"/>
          </w:tcPr>
          <w:p>
            <w:pPr>
              <w:spacing w:after="0" w:line="240" w:lineRule="auto"/>
            </w:pPr>
            <w:r>
              <w:rPr>
                <w:sz w:val="17"/>
              </w:rPr>
              <w:t>erreur localisée avec contournement, vulnérabilité non exploitée</w:t>
            </w:r>
          </w:p>
        </w:tc>
        <w:tc>
          <w:tcPr>
            <w:tcW w:type="dxa" w:w="4016"/>
            <w:tcMar>
              <w:top w:w="80" w:type="dxa"/>
              <w:start w:w="110" w:type="dxa"/>
              <w:bottom w:w="80" w:type="dxa"/>
              <w:end w:w="110" w:type="dxa"/>
            </w:tcMar>
            <w:vAlign w:val="center"/>
          </w:tcPr>
          <w:p>
            <w:pPr>
              <w:spacing w:after="0" w:line="240" w:lineRule="auto"/>
            </w:pPr>
            <w:r>
              <w:rPr>
                <w:sz w:val="17"/>
              </w:rPr>
              <w:t>planification rapide et suivi</w:t>
            </w:r>
          </w:p>
        </w:tc>
      </w:tr>
      <w:tr>
        <w:tc>
          <w:tcPr>
            <w:tcW w:type="dxa" w:w="1147"/>
            <w:tcMar>
              <w:top w:w="80" w:type="dxa"/>
              <w:start w:w="110" w:type="dxa"/>
              <w:bottom w:w="80" w:type="dxa"/>
              <w:end w:w="110" w:type="dxa"/>
            </w:tcMar>
            <w:vAlign w:val="center"/>
            <w:shd w:fill="F8F7FC"/>
          </w:tcPr>
          <w:p>
            <w:pPr>
              <w:spacing w:after="0" w:line="240" w:lineRule="auto"/>
            </w:pPr>
            <w:r>
              <w:rPr>
                <w:sz w:val="17"/>
              </w:rPr>
              <w:t>SEV-4</w:t>
            </w:r>
          </w:p>
        </w:tc>
        <w:tc>
          <w:tcPr>
            <w:tcW w:type="dxa" w:w="4016"/>
            <w:tcMar>
              <w:top w:w="80" w:type="dxa"/>
              <w:start w:w="110" w:type="dxa"/>
              <w:bottom w:w="80" w:type="dxa"/>
              <w:end w:w="110" w:type="dxa"/>
            </w:tcMar>
            <w:vAlign w:val="center"/>
            <w:shd w:fill="F8F7FC"/>
          </w:tcPr>
          <w:p>
            <w:pPr>
              <w:spacing w:after="0" w:line="240" w:lineRule="auto"/>
            </w:pPr>
            <w:r>
              <w:rPr>
                <w:sz w:val="17"/>
              </w:rPr>
              <w:t>anomalie documentaire ou amélioration de durcissement</w:t>
            </w:r>
          </w:p>
        </w:tc>
        <w:tc>
          <w:tcPr>
            <w:tcW w:type="dxa" w:w="4016"/>
            <w:tcMar>
              <w:top w:w="80" w:type="dxa"/>
              <w:start w:w="110" w:type="dxa"/>
              <w:bottom w:w="80" w:type="dxa"/>
              <w:end w:w="110" w:type="dxa"/>
            </w:tcMar>
            <w:vAlign w:val="center"/>
            <w:shd w:fill="F8F7FC"/>
          </w:tcPr>
          <w:p>
            <w:pPr>
              <w:spacing w:after="0" w:line="240" w:lineRule="auto"/>
            </w:pPr>
            <w:r>
              <w:rPr>
                <w:sz w:val="17"/>
              </w:rPr>
              <w:t>backlog priorisé</w:t>
            </w:r>
          </w:p>
        </w:tc>
      </w:tr>
    </w:tbl>
    <w:p>
      <w:pPr>
        <w:spacing w:after="0"/>
      </w:pPr>
    </w:p>
    <w:p>
      <w:r>
        <w:t>Une violation de données personnelles est évaluée avec le DPO. Si elle crée un risque pour les personnes, la notification à l'autorité compétente et, si nécessaire, aux personnes doit respecter les délais légaux applicables. Ce plan ne remplace pas un avis juridique.</w:t>
      </w:r>
    </w:p>
    <w:p>
      <w:bookmarkStart w:id="18" w:name="h_18_V_rifications_et_risques_r_s"/>
      <w:pPr>
        <w:pStyle w:val="Heading1"/>
      </w:pPr>
      <w:r>
        <w:t>Vérifications et risques résiduels</w:t>
      </w:r>
      <w:bookmarkEnd w:id="18"/>
    </w:p>
    <w:p>
      <w:r>
        <w:t>La revue de release vérifie absence de secret dans Git, variables par contexte, politiques RLS, compte admin AAL2, signature/replay webhook, bucket facture privé, filtre Sentry, audit high, Dependabot et smoke test. Une erreur contrôlée doit être visible et nettoyée dans Sentry.</w:t>
      </w:r>
    </w:p>
    <w:p>
      <w:r>
        <w:t>Risques résiduels prioritaires : rate limiting et tailles chat, couverture E2E/API, planification prouvée de la purge 90 jours, restauration Supabase testée, revue exhaustive RLS après chaque migration, SLO et astreinte formalisés, et durée légale précise de chaque catégorie de donnée. Ils doivent être suivis dans le backlog avec propriétaire et échéance.</w:t>
      </w:r>
    </w:p>
    <w:sectPr w:rsidR="00FC693F" w:rsidRPr="0006063C" w:rsidSect="00034616">
      <w:headerReference w:type="default" r:id="rId18"/>
      <w:footerReference w:type="default" r:id="rId19"/>
      <w:pgSz w:w="11906" w:h="16838"/>
      <w:pgMar w:top="1361" w:right="1361" w:bottom="1247" w:left="136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273"/>
        <w:sz w:val="16"/>
      </w:rPr>
      <w:t xml:space="preserve">CYNA | Groupe 1  ·  </w:t>
    </w:r>
    <w:r>
      <w:rPr>
        <w:sz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273"/>
        <w:sz w:val="16"/>
      </w:rPr>
      <w:t xml:space="preserve">CYNA | Groupe 1  ·  </w:t>
    </w:r>
    <w:r>
      <w:rPr>
        <w:sz w:val="16"/>
      </w:rPr>
      <w:fldChar w:fldCharType="begin"/>
      <w:instrText xml:space="preserve">PAGE</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26273"/>
        <w:sz w:val="16"/>
      </w:rPr>
      <w:t xml:space="preserve">CYNA | Groupe 1  ·  </w:t>
    </w:r>
    <w:r>
      <w:rPr>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26273"/>
        <w:sz w:val="16"/>
      </w:rPr>
      <w:t>CYNA  ·  CYNA-SEC-001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26273"/>
        <w:sz w:val="16"/>
      </w:rPr>
      <w:t>CYNA  ·  CYNA-SEC-001</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26273"/>
        <w:sz w:val="16"/>
      </w:rPr>
      <w:t>CYNA  ·  CYNA-SEC-001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Rule="auto" w:line="276"/>
    </w:pPr>
    <w:rPr>
      <w:rFonts w:ascii="Calibri" w:hAnsi="Calibri"/>
      <w:color w:val="1A1A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80"/>
      <w:outlineLvl w:val="0"/>
    </w:pPr>
    <w:rPr>
      <w:rFonts w:asciiTheme="majorHAnsi" w:eastAsiaTheme="majorEastAsia" w:hAnsiTheme="majorHAnsi" w:cstheme="majorBidi" w:ascii="Calibri" w:hAnsi="Calibri"/>
      <w:b/>
      <w:bCs/>
      <w:color w:val="302082"/>
      <w:sz w:val="34"/>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302082"/>
      <w:sz w:val="27"/>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4A339E"/>
      <w:sz w:val="23"/>
    </w:rPr>
  </w:style>
  <w:style w:type="paragraph" w:styleId="Heading4">
    <w:name w:val="heading 4"/>
    <w:basedOn w:val="Normal"/>
    <w:next w:val="Normal"/>
    <w:link w:val="Heading4Char"/>
    <w:uiPriority w:val="9"/>
    <w:semiHidden/>
    <w:unhideWhenUsed/>
    <w:qFormat/>
    <w:rsid w:val="00FC693F"/>
    <w:pPr>
      <w:keepNext/>
      <w:keepLines/>
      <w:widowControl/>
      <w:spacing w:before="160" w:after="80"/>
      <w:outlineLvl w:val="3"/>
    </w:pPr>
    <w:rPr>
      <w:rFonts w:asciiTheme="majorHAnsi" w:eastAsiaTheme="majorEastAsia" w:hAnsiTheme="majorHAnsi" w:cstheme="majorBidi" w:ascii="Calibri" w:hAnsi="Calibri"/>
      <w:b/>
      <w:bCs/>
      <w:i/>
      <w:iCs/>
      <w:color w:val="4A339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30208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YNASubtitle">
    <w:name w:val="CYNA Subtitle"/>
    <w:basedOn w:val="Normal"/>
    <w:pPr>
      <w:spacing w:after="280"/>
    </w:pPr>
    <w:rPr>
      <w:rFonts w:ascii="Calibri" w:hAnsi="Calibri"/>
      <w:color w:val="4A339E"/>
      <w:sz w:val="28"/>
    </w:rPr>
  </w:style>
  <w:style w:type="paragraph" w:customStyle="1" w:styleId="CYNACaption">
    <w:name w:val="CYNA Caption"/>
    <w:basedOn w:val="Normal"/>
    <w:pPr>
      <w:spacing w:before="60" w:after="160"/>
      <w:jc w:val="center"/>
    </w:pPr>
    <w:rPr>
      <w:rFonts w:ascii="Calibri" w:hAnsi="Calibri"/>
      <w:i/>
      <w:color w:val="626273"/>
      <w:sz w:val="17"/>
    </w:rPr>
  </w:style>
  <w:style w:type="paragraph" w:customStyle="1" w:styleId="CYNACode">
    <w:name w:val="CYNA Code"/>
    <w:basedOn w:val="Normal"/>
    <w:pPr>
      <w:spacing w:after="80"/>
      <w:ind w:left="255" w:right="142"/>
    </w:pPr>
    <w:rPr>
      <w:rFonts w:ascii="Consolas" w:hAnsi="Consolas"/>
      <w:color w:val="1A1A2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sécurité</dc:title>
  <dc:subject>Menaces, contrôles, confidentialité et réponse à incident CYNA</dc:subject>
  <dc:creator>Groupe 1: Hugo FAURE, Samuel KAKEZ, Mathieu FRAUX, Florian BELLOC</dc:creator>
  <cp:keywords>CYNA, documentation, cybersécurité, SaaS</cp:keywords>
  <dc:description>Généré depuis les sources Markdown versionnées.</dc:description>
  <cp:lastModifiedBy>Groupe 1</cp:lastModifiedBy>
  <cp:revision>1</cp:revision>
  <dcterms:created xsi:type="dcterms:W3CDTF">2013-12-23T23:15:00Z</dcterms:created>
  <dcterms:modified xsi:type="dcterms:W3CDTF">2013-12-23T23:15:00Z</dcterms:modified>
  <cp:category/>
</cp:coreProperties>
</file>