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Methods</w:t>
      </w:r>
    </w:p>
    <w:p>
      <w:pPr>
        <w:pStyle w:val="Heading1"/>
        <w:rPr/>
      </w:pPr>
      <w:r>
        <w:rPr>
          <w:rStyle w:val="SectionNumber"/>
        </w:rPr>
        <w:t>1</w:t>
      </w:r>
      <w:r>
        <w:rPr/>
        <w:tab/>
        <w:t>Receptor model</w:t>
      </w:r>
    </w:p>
    <w:p>
      <w:pPr>
        <w:pStyle w:val="FirstParagraph"/>
        <w:rPr/>
      </w:pPr>
      <w:r>
        <w:rPr/>
        <w:t xml:space="preserve">Our receptors are heteropentamers, rings of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sub</m:t>
            </m:r>
          </m:sub>
        </m:sSub>
      </m:oMath>
      <w:r>
        <w:rPr/>
        <w:t xml:space="preserve"> subunits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u</m:t>
                </m:r>
              </m:e>
              <m:sub>
                <m:sSub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sub</m:t>
                    </m:r>
                  </m:sub>
                </m:sSub>
              </m:sub>
            </m:sSub>
          </m:e>
        </m:d>
      </m:oMath>
      <w:r>
        <w:rPr/>
        <w:t xml:space="preserve"> each drawn from a pool of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genes</m:t>
            </m:r>
          </m:sub>
        </m:sSub>
      </m:oMath>
      <w:r>
        <w:rPr/>
        <w:t xml:space="preserve"> gene products. A ligand binds the pocket formed at the interface between two neighbouring subunits. Each subunit presents two chemically distinct faces, “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+</m:t>
        </m:r>
      </m:oMath>
      <w:r>
        <w:rPr/>
        <w:t>” and “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/>
        <w:t xml:space="preserve">”, so the ring carries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k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sub</m:t>
            </m:r>
          </m:sub>
        </m:sSub>
      </m:oMath>
      <w:r>
        <w:rPr/>
        <w:t xml:space="preserve"> pockets, pocket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 formed by the “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+</m:t>
        </m:r>
      </m:oMath>
      <w:r>
        <w:rPr/>
        <w:t xml:space="preserve">” face of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and the “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−</m:t>
        </m:r>
      </m:oMath>
      <w:r>
        <w:rPr/>
        <w:t xml:space="preserve">” face of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u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 (Fig. S1).</w:t>
      </w:r>
    </w:p>
    <w:p>
      <w:pPr>
        <w:pStyle w:val="BodyText"/>
        <w:rPr/>
      </w:pPr>
      <w:r>
        <w:rPr/>
        <w:t xml:space="preserve">We describe channel opening with the Monod-Wyman-Changeux (MWC) model extended to heteromers, in the binary limit where a receptor activates once the ligand concentration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 xml:space="preserve"> exceeds the activation threshold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ℓ</m:t>
            </m:r>
          </m:sub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*</m:t>
            </m:r>
          </m:sup>
        </m:sSubSup>
      </m:oMath>
      <w:r>
        <w:rPr/>
        <w:t xml:space="preserve">. In this limit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ℓ</m:t>
            </m:r>
          </m:sub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*</m:t>
            </m:r>
          </m:sup>
        </m:sSubSup>
      </m:oMath>
      <w:r>
        <w:rPr/>
        <w:t xml:space="preserve"> is the geometric mean of its pockets’ open-state affinities, so that in log-concentration space it is the arithmetic mean of the pocket energies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o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ℓ</m:t>
                </m:r>
              </m:e>
            </m:d>
          </m:sup>
        </m:sSubSup>
      </m:oMath>
      <w:r>
        <w:rPr/>
        <w:t>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ln</m:t>
          </m:r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ℓ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sub</m:t>
                  </m:r>
                </m:sub>
              </m:sSub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sub</m:t>
                  </m:r>
                </m:sub>
              </m:sSub>
            </m:sup>
            <m:e>
              <m:sSub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o</m:t>
                  </m:r>
                </m:sub>
                <m: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ℓ</m:t>
                      </m:r>
                    </m:e>
                  </m:d>
                </m:sup>
              </m:sSubSup>
            </m:e>
          </m:nary>
          <m:r>
            <w:rPr>
              <w:rFonts w:ascii="Cambria Math" w:hAnsi="Cambria Math"/>
            </w:rPr>
            <m:t xml:space="preserve">.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</m:e>
          </m:d>
        </m:oMath>
      </m:oMathPara>
    </w:p>
    <w:p>
      <w:pPr>
        <w:pStyle w:val="FirstParagraph"/>
        <w:rPr/>
      </w:pPr>
      <w:bookmarkStart w:id="0" w:name="sec%25253Areceptor"/>
      <w:r>
        <w:rPr/>
        <w:t>The MWC derivation of Eq. (1) is given in Supplementary Sec. S1.</w:t>
      </w:r>
      <w:bookmarkEnd w:id="0"/>
    </w:p>
    <w:p>
      <w:pPr>
        <w:pStyle w:val="Heading1"/>
        <w:rPr/>
      </w:pPr>
      <w:bookmarkStart w:id="1" w:name="sec%25253Akernel"/>
      <w:r>
        <w:rPr>
          <w:rStyle w:val="SectionNumber"/>
        </w:rPr>
        <w:t>2</w:t>
      </w:r>
      <w:r>
        <w:rPr/>
        <w:tab/>
        <w:t>Affinity kernel</w:t>
      </w:r>
    </w:p>
    <w:p>
      <w:pPr>
        <w:pStyle w:val="FirstParagraph"/>
        <w:rPr/>
      </w:pPr>
      <w:r>
        <w:rPr/>
        <w:t xml:space="preserve">We place ligands and pockets in an abstract morphochemical space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D</m:t>
            </m:r>
          </m:sup>
        </m:sSup>
      </m:oMath>
      <w:r>
        <w:rPr/>
        <w:t xml:space="preserve">, in which each dimension stands for an arbitrary combination of morphological and chemical properties and proximity means chemical similarity. We call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ℓ</m:t>
            </m:r>
          </m:sub>
        </m:sSub>
      </m:oMath>
      <w:r>
        <w:rPr/>
        <w:t xml:space="preserve"> the coordinate of ligand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ℓ</m:t>
        </m:r>
      </m:oMath>
      <w:r>
        <w:rPr/>
        <w:t xml:space="preserve"> and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</m:oMath>
      <w:r>
        <w:rPr/>
        <w:t xml:space="preserve"> that of pocket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. The open-state energy of pocket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 for ligand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ℓ</m:t>
        </m:r>
      </m:oMath>
      <w:r>
        <w:rPr/>
        <w:t xml:space="preserve"> rises with their distance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∥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ℓ</m:t>
            </m:r>
          </m:sub>
        </m:sSub>
        <m:r>
          <w:rPr>
            <w:rFonts w:ascii="Cambria Math" w:hAnsi="Cambria Math"/>
          </w:rPr>
          <m:t xml:space="preserve">∥</m:t>
        </m:r>
      </m:oMath>
      <w:r>
        <w:rPr/>
        <w:t xml:space="preserve"> as a saturating Gaussian radial basis function,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Sup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w:rPr>
                  <w:rFonts w:ascii="Cambria Math" w:hAnsi="Cambria Math"/>
                </w:rPr>
                <m:t xml:space="preserve">o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ℓ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</m:t>
          </m:r>
          <m:sSubSup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base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max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</m:sup>
          </m:sSubSup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exp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f>
                    <m:num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bSup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λ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 xml:space="preserve">,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2</m:t>
              </m:r>
            </m:e>
          </m:d>
        </m:oMath>
      </m:oMathPara>
    </w:p>
    <w:p>
      <w:pPr>
        <w:pStyle w:val="FirstParagraph"/>
        <w:rPr/>
      </w:pPr>
      <w:r>
        <w:rPr/>
        <w:t xml:space="preserve">where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base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</m:d>
          </m:sup>
        </m:sSubSup>
      </m:oMath>
      <w:r>
        <w:rPr/>
        <w:t xml:space="preserve"> is the energy at a perfect match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),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base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</m:d>
          </m:sup>
        </m:sSubSup>
        <m:r>
          <w:rPr>
            <w:rFonts w:ascii="Cambria Math" w:hAnsi="Cambria Math"/>
          </w:rPr>
          <m:t xml:space="preserve">+</m:t>
        </m:r>
        <m:sSubSup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max</m:t>
            </m:r>
          </m:sub>
          <m: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i</m:t>
                </m:r>
              </m:e>
            </m:d>
          </m:sup>
        </m:sSubSup>
      </m:oMath>
      <w:r>
        <w:rPr/>
        <w:t xml:space="preserve"> that at a complete mismatch (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∞</m:t>
        </m:r>
      </m:oMath>
      <w:r>
        <w:rPr/>
        <w:t xml:space="preserve">), 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λ</m:t>
        </m:r>
      </m:oMath>
      <w:r>
        <w:rPr/>
        <w:t xml:space="preserve"> sets the length scale of the morphochemical space. The saturating form is motivated in Supplementary Sec. S2.</w:t>
      </w:r>
    </w:p>
    <w:p>
      <w:pPr>
        <w:pStyle w:val="BodyText"/>
        <w:rPr/>
      </w:pPr>
      <w:r>
        <w:rPr/>
        <w:t xml:space="preserve">The two faces of a subunit are chemically distinct, so each face carries its own learnable coordinate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u</m:t>
            </m:r>
          </m:sub>
          <m:sup>
            <m:r>
              <w:rPr>
                <w:rFonts w:ascii="Cambria Math" w:hAnsi="Cambria Math"/>
              </w:rPr>
              <m:t xml:space="preserve">±</m:t>
            </m:r>
          </m:sup>
        </m:sSubSup>
      </m:oMath>
      <w:r>
        <w:rPr/>
        <w:t xml:space="preserve"> and energies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base</m:t>
            </m:r>
          </m:sub>
          <m:sup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±</m:t>
            </m:r>
          </m:sup>
        </m:sSubSup>
        <m:r>
          <w:rPr>
            <w:rFonts w:ascii="Cambria Math" w:hAnsi="Cambria Math"/>
          </w:rPr>
          <m:t xml:space="preserve">,</m:t>
        </m:r>
        <m:sSubSup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max</m:t>
            </m:r>
          </m:sub>
          <m:sup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±</m:t>
            </m:r>
          </m:sup>
        </m:sSubSup>
      </m:oMath>
      <w:r>
        <w:rPr/>
        <w:t xml:space="preserve">. Pocket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 inherits their average,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d>
            <m:dPr>
              <m:begChr m:val="(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</m:sub>
                <m:sup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</m:sup>
              </m:sSubSup>
              <m:r>
                <w:rPr>
                  <w:rFonts w:ascii="Cambria Math" w:hAnsi="Cambria Math"/>
                </w:rPr>
                <m:t xml:space="preserve">+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 xml:space="preserve">−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base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d>
            <m:dPr>
              <m:begChr m:val="(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base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</m:sup>
              </m:sSubSup>
              <m:r>
                <w:rPr>
                  <w:rFonts w:ascii="Cambria Math" w:hAnsi="Cambria Math"/>
                </w:rPr>
                <m:t xml:space="preserve">+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base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,</m:t>
          </m:r>
          <m:sSubSup>
            <m:e>
              <m: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max</m:t>
              </m:r>
            </m:sub>
            <m:sup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i</m:t>
                  </m:r>
                </m:e>
              </m:d>
            </m:sup>
          </m:sSubSup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d>
            <m:dPr>
              <m:begChr m:val="("/>
              <m:endChr m:val=")"/>
            </m:dPr>
            <m:e>
              <m:sSub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max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</m:sup>
              </m:sSubSup>
              <m:r>
                <w:rPr>
                  <w:rFonts w:ascii="Cambria Math" w:hAnsi="Cambria Math"/>
                </w:rPr>
                <m:t xml:space="preserve">+</m:t>
              </m:r>
              <m:sSubSup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max</m:t>
                  </m:r>
                </m:sub>
                <m:sup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i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</m:sup>
              </m:sSubSup>
            </m:e>
          </m:d>
          <m:r>
            <w:rPr>
              <w:rFonts w:ascii="Cambria Math" w:hAnsi="Cambria Math"/>
            </w:rPr>
            <m:t xml:space="preserve">,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3</m:t>
              </m:r>
            </m:e>
          </m:d>
        </m:oMath>
      </m:oMathPara>
    </w:p>
    <w:p>
      <w:pPr>
        <w:pStyle w:val="FirstParagraph"/>
        <w:rPr/>
      </w:pPr>
      <w:r>
        <w:rPr/>
        <w:t>taken before Eq. (2) is applied. With Eq. (1), the heteromer threshold is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ln</m:t>
          </m:r>
          <m:sSubSup>
            <m:e>
              <m:r>
                <w:rPr>
                  <w:rFonts w:ascii="Cambria Math" w:hAnsi="Cambria Math"/>
                </w:rPr>
                <m:t xml:space="preserve">c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ℓ</m:t>
              </m:r>
            </m:sub>
            <m:sup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*</m:t>
              </m:r>
            </m:sup>
          </m:sSubSup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sub</m:t>
                  </m:r>
                </m:sub>
              </m:sSub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sSub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</m:e>
                <m:sub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sub</m:t>
                  </m:r>
                </m:sub>
              </m:sSub>
            </m:sup>
            <m:e>
              <m:d>
                <m:dPr>
                  <m:begChr m:val="["/>
                  <m:endChr m:val=")"/>
                </m:dPr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base</m:t>
                      </m:r>
                    </m:sub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 xml:space="preserve">+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e>
                    <m:sub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max</m:t>
                      </m:r>
                    </m:sub>
                    <m:sup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</m:e>
                      </m:d>
                    </m:sup>
                  </m:sSubSup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exp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−</m:t>
                          </m:r>
                          <m:f>
                            <m:num>
                              <m:sSub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i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sup>
                              </m:sSubSup>
                            </m:num>
                            <m:den>
                              <m:sSup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λ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 xml:space="preserve">.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4</m:t>
              </m:r>
            </m:e>
          </m:d>
        </m:oMath>
      </m:oMathPara>
    </w:p>
    <w:p>
      <w:pPr>
        <w:pStyle w:val="FirstParagraph"/>
        <w:rPr/>
      </w:pPr>
      <w:r>
        <w:rPr/>
        <w:t>Fig. S2</w:t>
      </w:r>
      <w:r>
        <w:rPr>
          <w:b/>
          <w:bCs/>
        </w:rPr>
        <w:t>B</w:t>
      </w:r>
      <w:r>
        <w:rPr/>
        <w:t xml:space="preserve"> shows this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c</m:t>
            </m:r>
          </m:e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*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d</m:t>
            </m:r>
          </m:e>
        </m:d>
      </m:oMath>
      <w:r>
        <w:rPr/>
        <w:t xml:space="preserve"> shape at the single-pocket level.</w:t>
      </w:r>
      <w:bookmarkEnd w:id="1"/>
    </w:p>
    <w:p>
      <w:pPr>
        <w:pStyle w:val="Heading1"/>
        <w:rPr/>
      </w:pPr>
      <w:bookmarkStart w:id="2" w:name="sec%25253Aenv"/>
      <w:r>
        <w:rPr>
          <w:rStyle w:val="SectionNumber"/>
        </w:rPr>
        <w:t>3</w:t>
      </w:r>
      <w:r>
        <w:rPr/>
        <w:tab/>
        <w:t>Environment and simulation loop</w:t>
      </w:r>
    </w:p>
    <w:p>
      <w:pPr>
        <w:pStyle w:val="FirstParagraph"/>
        <w:rPr/>
      </w:pPr>
      <w:r>
        <w:rPr/>
        <w:t xml:space="preserve">We first generate a fixed environment by placing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</m:t>
        </m:r>
      </m:oMath>
      <w:r>
        <w:rPr/>
        <w:t xml:space="preserve"> ligands in the morphochemical space. Ligands belong to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n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families</m:t>
            </m:r>
          </m:sub>
        </m:sSub>
      </m:oMath>
      <w:r>
        <w:rPr/>
        <w:t xml:space="preserve"> chemical families, and we model each family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 xml:space="preserve"> as a Gaussian cloud of coordinates, centered on a prototype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/>
        <w:t xml:space="preserve"> with spread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shape</m:t>
            </m:r>
          </m:sub>
        </m:sSub>
      </m:oMath>
      <w:r>
        <w:rPr/>
        <w:t xml:space="preserve">. We place the prototypes so that two family centers sit, on average, a distance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fam</m:t>
            </m:r>
          </m:sub>
        </m:sSub>
      </m:oMath>
      <w:r>
        <w:rPr/>
        <w:t xml:space="preserve"> apart. Each ligand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ℓ</m:t>
        </m:r>
      </m:oMath>
      <w:r>
        <w:rPr/>
        <w:t xml:space="preserve"> of family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</m:oMath>
      <w:r>
        <w:rPr/>
        <w:t xml:space="preserve"> draws its coordinate from that family’s Gaussian,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ℓ</m:t>
            </m:r>
          </m:sub>
        </m:sSub>
        <m:r>
          <w:rPr>
            <w:rFonts w:ascii="Cambria Math" w:hAnsi="Cambria Math"/>
          </w:rPr>
          <m:t xml:space="preserve">∼</m:t>
        </m:r>
        <m:r>
          <w:rPr>
            <w:rFonts w:ascii="Cambria Math" w:hAnsi="Cambria Math"/>
          </w:rPr>
          <m:t xml:space="preserve">N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</w:rPr>
                  <m:t xml:space="preserve">f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σ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shape</m:t>
                </m:r>
              </m:sub>
            </m:sSub>
          </m:e>
        </m:d>
      </m:oMath>
      <w:r>
        <w:rPr/>
        <w:t xml:space="preserve"> (Fig. S2</w:t>
      </w:r>
      <w:r>
        <w:rPr>
          <w:b/>
          <w:bCs/>
        </w:rPr>
        <w:t>A</w:t>
      </w:r>
      <w:r>
        <w:rPr/>
        <w:t xml:space="preserve">). Beyond this chemistry, a ligand is not always encountered at the same amount, so we also give ligand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ℓ</m:t>
        </m:r>
      </m:oMath>
      <w:r>
        <w:rPr/>
        <w:t xml:space="preserve"> a distribution of concentrations,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ℓ</m:t>
            </m:r>
          </m:sub>
        </m:sSub>
        <m:r>
          <w:rPr>
            <w:rFonts w:ascii="Cambria Math" w:hAnsi="Cambria Math"/>
          </w:rPr>
          <m:t xml:space="preserve">∼</m:t>
        </m:r>
        <m:r>
          <m:rPr>
            <m:lit/>
            <m:nor/>
          </m:rPr>
          <w:rPr>
            <w:rFonts w:ascii="Cambria Math" w:hAnsi="Cambria Math"/>
          </w:rPr>
          <m:t xml:space="preserve">LogNormal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log</m:t>
            </m:r>
            <m:sSub>
              <m:e>
                <m:r>
                  <w:rPr>
                    <w:rFonts w:ascii="Cambria Math" w:hAnsi="Cambria Math"/>
                  </w:rPr>
                  <m:t xml:space="preserve">μ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ℓ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σ</m:t>
                </m:r>
              </m:e>
              <m:sub>
                <m:r>
                  <w:rPr>
                    <w:rFonts w:ascii="Cambria Math" w:hAnsi="Cambria Math"/>
                  </w:rPr>
                  <m:t xml:space="preserve">c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ℓ</m:t>
                </m:r>
              </m:sub>
            </m:sSub>
          </m:e>
        </m:d>
      </m:oMath>
      <w:r>
        <w:rPr/>
        <w:t>, describing how often it is met at each concentration.</w:t>
      </w:r>
    </w:p>
    <w:p>
      <w:pPr>
        <w:pStyle w:val="BodyText"/>
        <w:rPr/>
      </w:pPr>
      <w:r>
        <w:rPr/>
        <w:t xml:space="preserve">We next sample a sniff, one random sensing event drawn from this fixed pool. The number of ligands present,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>, follows a zero-truncated Poisson restricted to the pool size,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S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s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f>
                <m:fPr>
                  <m:type m:val="lin"/>
                </m:fPr>
                <m:num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s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 xml:space="preserve">s</m:t>
                  </m:r>
                </m:den>
              </m:f>
              <m:r>
                <w:rPr>
                  <w:rFonts w:ascii="Cambria Math" w:hAnsi="Cambria Math"/>
                </w:rPr>
                <m:t xml:space="preserve">!</m:t>
              </m:r>
            </m:num>
            <m:den>
              <m:f>
                <m:fPr>
                  <m:type m:val="lin"/>
                </m:fPr>
                <m:num>
                  <m:nary>
                    <m:naryPr>
                      <m:chr m:val="∑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k</m:t>
                      </m:r>
                      <m:r>
                        <w:rPr>
                          <w:rFonts w:ascii="Cambria Math" w:hAnsi="Cambria Math"/>
                        </w:rPr>
                        <m:t xml:space="preserve">=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L</m:t>
                      </m:r>
                    </m:sup>
                    <m:e>
                      <m:sSub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S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k</m:t>
                          </m:r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 xml:space="preserve">k</m:t>
                  </m:r>
                </m:den>
              </m:f>
              <m:r>
                <w:rPr>
                  <w:rFonts w:ascii="Cambria Math" w:hAnsi="Cambria Math"/>
                </w:rPr>
                <m:t xml:space="preserve">!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…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,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5</m:t>
              </m:r>
            </m:e>
          </m:d>
        </m:oMath>
      </m:oMathPara>
    </w:p>
    <w:p>
      <w:pPr>
        <w:pStyle w:val="FirstParagraph"/>
        <w:rPr/>
      </w:pPr>
      <w:r>
        <w:rPr/>
        <w:t xml:space="preserve">whose rate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μ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</m:oMath>
      <w:r>
        <w:rPr/>
        <w:t xml:space="preserve"> sets the mean number of ligands per sniff, with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so that no sniff is empty. The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 xml:space="preserve"> present ligands are chosen uniformly, without replacement, from the pool, which we record in a presence mask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L</m:t>
                </m:r>
              </m:sub>
            </m:sSub>
          </m:e>
        </m:d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sSup>
          <m:e>
            <m:r>
              <w:rPr>
                <w:rFonts w:ascii="Cambria Math" w:hAnsi="Cambria Math"/>
              </w:rPr>
              <m:t xml:space="preserve">}</m:t>
            </m:r>
          </m:e>
          <m:sup>
            <m:r>
              <w:rPr>
                <w:rFonts w:ascii="Cambria Math" w:hAnsi="Cambria Math"/>
              </w:rPr>
              <m:t xml:space="preserve">L</m:t>
            </m:r>
          </m:sup>
        </m:sSup>
      </m:oMath>
      <w:r>
        <w:rPr/>
        <w:t xml:space="preserve">, </w:t>
      </w:r>
      <w:r>
        <w:rPr/>
      </w:r>
      <m:oMath xmlns:m="http://schemas.openxmlformats.org/officeDocument/2006/math">
        <m:nary>
          <m:naryPr>
            <m:chr m:val="∑"/>
            <m:supHide m:val="1"/>
          </m:naryPr>
          <m:sub>
            <m:r>
              <w:rPr>
                <w:rFonts w:ascii="Cambria Math" w:hAnsi="Cambria Math"/>
              </w:rPr>
              <m:t xml:space="preserve">ℓ</m:t>
            </m:r>
          </m:sub>
          <m:sup/>
          <m:e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ℓ</m:t>
                </m:r>
              </m:sub>
            </m:sSub>
          </m:e>
        </m:nary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S</m:t>
        </m:r>
      </m:oMath>
      <w:r>
        <w:rPr/>
        <w:t xml:space="preserve">. Each present ligand draws a concentration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ℓ</m:t>
            </m:r>
          </m:sub>
        </m:sSub>
      </m:oMath>
      <w:r>
        <w:rPr/>
        <w:t xml:space="preserve"> from its distribution, and its coordinate is shifted by a small observation noise,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obs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ℓ</m:t>
            </m:r>
          </m:sub>
        </m:sSub>
        <m:r>
          <w:rPr>
            <w:rFonts w:ascii="Cambria Math" w:hAnsi="Cambria Math"/>
          </w:rPr>
          <m:t xml:space="preserve">∼</m:t>
        </m:r>
        <m:r>
          <w:rPr>
            <w:rFonts w:ascii="Cambria Math" w:hAnsi="Cambria Math"/>
          </w:rPr>
          <m:t xml:space="preserve">N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</w:rPr>
                  <m:t xml:space="preserve">ℓ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σ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noise</m:t>
                </m:r>
              </m:sub>
            </m:sSub>
          </m:e>
        </m:d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noise</m:t>
            </m:r>
          </m:sub>
        </m:sSub>
        <m:r>
          <w:rPr>
            <w:rFonts w:ascii="Cambria Math" w:hAnsi="Cambria Math"/>
          </w:rPr>
          <m:t xml:space="preserve">≪</m:t>
        </m:r>
        <m:sSub>
          <m:e>
            <m:r>
              <w:rPr>
                <w:rFonts w:ascii="Cambria Math" w:hAnsi="Cambria Math"/>
              </w:rPr>
              <m:t xml:space="preserve">σ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shape</m:t>
            </m:r>
          </m:sub>
        </m:sSub>
      </m:oMath>
      <w:r>
        <w:rPr/>
        <w:t xml:space="preserve">, modeling docking or thermal fluctuations. The mask carries no structure linking which ligands co-occur, beyond fixing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</m:oMath>
      <w:r>
        <w:rPr/>
        <w:t>. Table S1 collects the environment parameters.</w:t>
      </w:r>
    </w:p>
    <w:p>
      <w:pPr>
        <w:pStyle w:val="BodyText"/>
        <w:rPr/>
      </w:pPr>
      <w:r>
        <w:rPr/>
        <w:t xml:space="preserve">Given a sniff, the physics turns it into an activation pattern. A single ligand activates receptor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/>
        <w:t xml:space="preserve"> once its concentration exceeds the threshold,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Θ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ln</m:t>
            </m:r>
            <m:r>
              <w:rPr>
                <w:rFonts w:ascii="Cambria Math" w:hAnsi="Cambria Math"/>
              </w:rPr>
              <m:t xml:space="preserve">c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ln</m:t>
            </m:r>
            <m:sSubSup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ℓ</m:t>
                </m:r>
              </m:sub>
              <m: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*</m:t>
                </m:r>
              </m:sup>
            </m:sSubSup>
          </m:e>
        </m:d>
      </m:oMath>
      <w:r>
        <w:rPr/>
        <w:t>. A sniff mixes several ligands, which we combine into the receptor’s drive,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drive</m:t>
              </m:r>
            </m:e>
            <m:sub>
              <m:r>
                <w:rPr>
                  <w:rFonts w:ascii="Cambria Math" w:hAnsi="Cambria Math"/>
                </w:rPr>
                <m:t xml:space="preserve">r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ℓ</m:t>
              </m:r>
              <m:r>
                <w:rPr>
                  <w:rFonts w:ascii="Cambria Math" w:hAnsi="Cambria Math"/>
                </w:rPr>
                <m:t xml:space="preserve">: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M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ℓ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/>
            <m:e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ℓ</m:t>
                      </m:r>
                    </m:sub>
                  </m:sSub>
                </m:num>
                <m:den>
                  <m:sSubSup>
                    <m:e>
                      <m:r>
                        <w:rPr>
                          <w:rFonts w:ascii="Cambria Math" w:hAnsi="Cambria Math"/>
                        </w:rPr>
                        <m:t xml:space="preserve"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ℓ</m:t>
                      </m:r>
                    </m:sub>
                    <m:sup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*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/>
            </w:rPr>
            <m:t xml:space="preserve">,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6</m:t>
              </m:r>
            </m:e>
          </m:d>
        </m:oMath>
      </m:oMathPara>
    </w:p>
    <w:p>
      <w:pPr>
        <w:pStyle w:val="FirstParagraph"/>
        <w:rPr/>
      </w:pPr>
      <w:r>
        <w:rPr/>
        <w:t xml:space="preserve">so that the receptor reaches half-activation at </w:t>
      </w:r>
      <w:r>
        <w:rPr/>
      </w:r>
      <m:oMath xmlns:m="http://schemas.openxmlformats.org/officeDocument/2006/math"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drive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, which recovers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sSubSup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ℓ</m:t>
            </m:r>
          </m:sub>
          <m:sup>
            <m:r>
              <m:rPr>
                <m:lit/>
                <m:nor/>
              </m:rPr>
              <w:rPr>
                <w:rFonts w:ascii="Cambria Math" w:hAnsi="Cambria Math"/>
              </w:rPr>
              <m:t xml:space="preserve">*</m:t>
            </m:r>
          </m:sup>
        </m:sSubSup>
      </m:oMath>
      <w:r>
        <w:rPr/>
        <w:t xml:space="preserve"> for a single ligand. The step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</m:oMath>
      <w:r>
        <w:rPr/>
        <w:t xml:space="preserve"> has zero gradient almost everywhere, so for optimization we soften it into a temperature-scaled sigmoid of the log-drive,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r</m:t>
              </m:r>
              <m:r>
                <w:rPr>
                  <w:rFonts w:ascii="Cambria Math" w:hAnsi="Cambria Math"/>
                </w:rPr>
                <m:t xml:space="preserve">∨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sniff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σ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ln</m:t>
                  </m:r>
                  <m:sSub>
                    <m:e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drive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 xml:space="preserve">T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,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7</m:t>
              </m:r>
            </m:e>
          </m:d>
        </m:oMath>
      </m:oMathPara>
    </w:p>
    <w:p>
      <w:pPr>
        <w:pStyle w:val="FirstParagraph"/>
        <w:rPr/>
      </w:pPr>
      <w:r>
        <w:rPr/>
        <w:t xml:space="preserve">evaluated through the numerically stable logsumexp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ln</m:t>
        </m:r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drive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ln</m:t>
        </m:r>
        <m:nary>
          <m:naryPr>
            <m:chr m:val="∑"/>
            <m:supHide m:val="1"/>
          </m:naryPr>
          <m:sub>
            <m:r>
              <w:rPr>
                <w:rFonts w:ascii="Cambria Math" w:hAnsi="Cambria Math"/>
              </w:rPr>
              <m:t xml:space="preserve">ℓ</m:t>
            </m:r>
            <m:r>
              <w:rPr>
                <w:rFonts w:ascii="Cambria Math" w:hAnsi="Cambria Math"/>
              </w:rPr>
              <m:t xml:space="preserve">:</m:t>
            </m:r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ℓ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1</m:t>
            </m:r>
          </m:sub>
          <m:sup/>
          <m:e>
            <m:r>
              <w:rPr>
                <w:rFonts w:ascii="Cambria Math" w:hAnsi="Cambria Math"/>
              </w:rPr>
              <m:t xml:space="preserve">exp</m:t>
            </m:r>
          </m:e>
        </m:nary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ln</m:t>
            </m:r>
            <m:sSub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ℓ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ln</m:t>
            </m:r>
            <m:sSubSup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ℓ</m:t>
                </m:r>
              </m:sub>
              <m:sup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*</m:t>
                </m:r>
              </m:sup>
            </m:sSubSup>
          </m:e>
        </m:d>
      </m:oMath>
      <w:r>
        <w:rPr/>
        <w:t xml:space="preserve">, since the ratios span many decades. The temperature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 anneals from an initial value to a small target. As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  <m:r>
          <w:rPr>
            <w:rFonts w:ascii="Cambria Math" w:hAnsi="Cambria Math"/>
          </w:rPr>
          <m:t xml:space="preserve">→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, Eq. (7) recovers the discrete activation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∨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sniff</m:t>
            </m:r>
          </m:e>
        </m:d>
        <m:r>
          <w:rPr>
            <w:rFonts w:ascii="Cambria Math" w:hAnsi="Cambria Math"/>
          </w:rPr>
          <m:t xml:space="preserve">→</m:t>
        </m:r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∈</m:t>
        </m:r>
        <m:r>
          <w:rPr>
            <w:rFonts w:ascii="Cambria Math" w:hAnsi="Cambria Math"/>
          </w:rPr>
          <m:t xml:space="preserve">{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}</m:t>
        </m:r>
      </m:oMath>
      <w:r>
        <w:rPr/>
        <w:t xml:space="preserve">, so the array’s response is the binary pattern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d>
      </m:oMath>
      <w:r>
        <w:rPr/>
        <w:t>.</w:t>
      </w:r>
    </w:p>
    <w:p>
      <w:pPr>
        <w:pStyle w:val="BodyText"/>
        <w:rPr/>
      </w:pPr>
      <w:r>
        <w:rPr/>
        <w:t xml:space="preserve">Finally, we optimize the receptors. The environment is drawn once and held fixed. The only free parameters are the receptor chemistry of Sec. 2,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u</m:t>
            </m:r>
          </m:sub>
          <m:sup>
            <m:r>
              <w:rPr>
                <w:rFonts w:ascii="Cambria Math" w:hAnsi="Cambria Math"/>
              </w:rPr>
              <m:t xml:space="preserve">±</m:t>
            </m:r>
          </m:sup>
        </m:sSubSup>
      </m:oMath>
      <w:r>
        <w:rPr/>
        <w:t xml:space="preserve">,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base</m:t>
            </m:r>
          </m:sub>
          <m:sup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±</m:t>
            </m:r>
          </m:sup>
        </m:sSubSup>
      </m:oMath>
      <w:r>
        <w:rPr/>
        <w:t xml:space="preserve">,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max</m:t>
            </m:r>
          </m:sub>
          <m:sup>
            <m:r>
              <w:rPr>
                <w:rFonts w:ascii="Cambria Math" w:hAnsi="Cambria Math"/>
              </w:rPr>
              <m:t xml:space="preserve">u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±</m:t>
            </m:r>
          </m:sup>
        </m:sSubSup>
      </m:oMath>
      <w:r>
        <w:rPr/>
        <w:t>, which we update by backpropagation with the Adam optimizer in PyTorch. Fig. 1</w:t>
      </w:r>
      <w:r>
        <w:rPr>
          <w:b/>
          <w:bCs/>
        </w:rPr>
        <w:t>C</w:t>
      </w:r>
      <w:r>
        <w:rPr/>
        <w:t xml:space="preserve"> summarizes the loop: each sniff yields a pattern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, repeated sniffs build the distribution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</m:oMath>
      <w:r>
        <w:rPr/>
        <w:t xml:space="preserve"> and its entropy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</m:oMath>
      <w:r>
        <w:rPr/>
        <w:t>, and the receptor coordinates are moved to maximize it.</w:t>
      </w:r>
      <w:bookmarkEnd w:id="2"/>
    </w:p>
    <w:p>
      <w:pPr>
        <w:pStyle w:val="Heading1"/>
        <w:rPr/>
      </w:pPr>
      <w:r>
        <w:rPr>
          <w:rStyle w:val="SectionNumber"/>
        </w:rPr>
        <w:t>4</w:t>
      </w:r>
      <w:r>
        <w:rPr/>
        <w:tab/>
        <w:t>Perfect-array regime</w:t>
      </w:r>
    </w:p>
    <w:p>
      <w:pPr>
        <w:pStyle w:val="FirstParagraph"/>
        <w:rPr/>
      </w:pPr>
      <w:r>
        <w:rPr/>
        <w:t xml:space="preserve">We report all results in a regime where the homomer array reaches its architectural ceiling,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R</m:t>
        </m:r>
      </m:oMath>
      <w:r>
        <w:rPr/>
        <w:t xml:space="preserve">. We call such an array </w:t>
      </w:r>
      <w:r>
        <w:rPr>
          <w:i/>
          <w:iCs/>
        </w:rPr>
        <w:t>perfect</w:t>
      </w:r>
      <w:r>
        <w:rPr/>
        <w:t xml:space="preserve">. There,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</m:oMath>
      <w:r>
        <w:rPr/>
        <w:t xml:space="preserve"> is insensitive to the precise environment parameters, so any shortfall of a heteromer array of the same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/>
        <w:t xml:space="preserve"> reflects the array itself. The set </w:t>
      </w:r>
      <w:r>
        <w:rPr/>
        <w:t>of</w:t>
      </w:r>
      <w:r>
        <w:rPr/>
        <w:t xml:space="preserve"> parameter windows </w:t>
      </w:r>
      <w:r>
        <w:rPr/>
        <w:t>are given in</w:t>
      </w:r>
      <w:r>
        <w:rPr/>
        <w:t xml:space="preserve"> Table 2 and are </w:t>
      </w:r>
      <w:r>
        <w:rPr/>
        <w:t>justified</w:t>
      </w:r>
      <w:r>
        <w:rPr/>
        <w:t xml:space="preserve"> in Supplementary Sec. S3.</w:t>
      </w:r>
    </w:p>
    <w:p>
      <w:pPr>
        <w:pStyle w:val="TableCaption"/>
        <w:rPr/>
      </w:pPr>
      <w:r>
        <w:rPr/>
        <w:t>Parameter windows in which the homomer array is perfect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R</m:t>
        </m:r>
      </m:oMath>
      <w:r>
        <w:rPr/>
        <w:t>). Mechanisms are detailed in Supplementary Sec. S3.</w:t>
      </w:r>
    </w:p>
    <w:tbl>
      <w:tblPr>
        <w:tblStyle w:val="Table"/>
        <w:tblW w:w="469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053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205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Range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S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L</m:t>
                </m:r>
              </m:oMath>
            </m:oMathPara>
          </w:p>
        </w:tc>
        <w:tc>
          <w:tcPr>
            <w:tcW w:w="205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 too small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ρ</m:t>
                </m:r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σ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shape</m:t>
                    </m:r>
                  </m:sub>
                </m:sSub>
                <m:f>
                  <m:fPr>
                    <m:type m:val="lin"/>
                  </m:fPr>
                  <m:num>
                    <m:rad>
                      <m:radPr>
                        <m:degHide m:val="1"/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 xml:space="preserve">λ</m:t>
                    </m:r>
                  </m:den>
                </m:f>
              </m:oMath>
            </m:oMathPara>
          </w:p>
        </w:tc>
        <w:tc>
          <w:tcPr>
            <w:tcW w:w="205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∼</m:t>
                </m:r>
                <m:d>
                  <m:dPr>
                    <m:begChr m:val="[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0.2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</m:oMath>
            </m:oMathPara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f>
                  <m:fPr>
                    <m:type m:val="lin"/>
                  </m:fPr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fam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λ</m:t>
                    </m:r>
                  </m:den>
                </m:f>
              </m:oMath>
            </m:oMathPara>
          </w:p>
        </w:tc>
        <w:tc>
          <w:tcPr>
            <w:tcW w:w="205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∼</m:t>
                </m:r>
                <m:d>
                  <m:dPr>
                    <m:begChr m:val="[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0.5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1.5</m:t>
                    </m:r>
                  </m:e>
                </m:d>
              </m:oMath>
            </m:oMathPara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D</m:t>
                </m:r>
              </m:oMath>
            </m:oMathPara>
          </w:p>
        </w:tc>
        <w:tc>
          <w:tcPr>
            <w:tcW w:w="205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d>
                  <m:dPr>
                    <m:begChr m:val="[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5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15</m:t>
                    </m:r>
                  </m:e>
                </m:d>
              </m:oMath>
            </m:oMathPara>
          </w:p>
        </w:tc>
      </w:tr>
    </w:tbl>
    <w:p>
      <w:pPr>
        <w:pStyle w:val="Heading1"/>
        <w:rPr>
          <w:rStyle w:val="SectionNumber"/>
        </w:rPr>
      </w:pPr>
      <w:r>
        <w:rPr/>
      </w:r>
    </w:p>
    <w:p>
      <w:pPr>
        <w:pStyle w:val="Heading1"/>
        <w:rPr/>
      </w:pPr>
      <w:r>
        <w:rPr>
          <w:rStyle w:val="SectionNumber"/>
        </w:rPr>
        <w:t>5</w:t>
      </w:r>
      <w:r>
        <w:rPr/>
        <w:tab/>
        <w:t>Entropy estimation</w:t>
      </w:r>
    </w:p>
    <w:p>
      <w:pPr>
        <w:pStyle w:val="FirstParagraph"/>
        <w:rPr/>
      </w:pPr>
      <w:r>
        <w:rPr/>
        <w:t xml:space="preserve">Evaluating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H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</m:e>
        </m:d>
      </m:oMath>
      <w:r>
        <w:rPr/>
        <w:t xml:space="preserve"> over the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2</m:t>
            </m:r>
          </m:e>
          <m:sup>
            <m:r>
              <w:rPr>
                <w:rFonts w:ascii="Cambria Math" w:hAnsi="Cambria Math"/>
              </w:rPr>
              <m:t xml:space="preserve">R</m:t>
            </m:r>
          </m:sup>
        </m:sSup>
      </m:oMath>
      <w:r>
        <w:rPr/>
        <w:t xml:space="preserve"> activation patterns is intractable beyond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r>
          <w:rPr>
            <w:rFonts w:ascii="Cambria Math" w:hAnsi="Cambria Math"/>
          </w:rPr>
          <m:t xml:space="preserve">∼</m:t>
        </m:r>
        <m:r>
          <w:rPr>
            <w:rFonts w:ascii="Cambria Math" w:hAnsi="Cambria Math"/>
          </w:rPr>
          <m:t xml:space="preserve">15</m:t>
        </m:r>
      </m:oMath>
      <w:r>
        <w:rPr/>
        <w:t xml:space="preserve"> (Supplementary Sec. S4). We instead bracket it with the Kolchinsky-Tracey lower and upper bounds (Kolchinsky and Tracey 2017), built from pairwise affinities between the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 sniffs of a batch. Let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r</m:t>
            </m:r>
          </m:sub>
        </m:sSub>
        <m:r>
          <w:rPr>
            <w:rFonts w:ascii="Cambria Math" w:hAnsi="Cambria Math"/>
          </w:rPr>
          <m:t xml:space="preserve">≡</m:t>
        </m:r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∨</m:t>
            </m:r>
            <m:sSub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sniff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</m:e>
        </m:d>
      </m:oMath>
      <w:r>
        <w:rPr/>
        <w:t xml:space="preserve"> (Eq. (7)) be receptor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/>
        <w:t xml:space="preserve">’s activation probability for sniff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 xml:space="preserve">, and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A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</m:sSub>
        <m:r>
          <w:rPr>
            <w:rFonts w:ascii="Cambria Math" w:hAnsi="Cambria Math"/>
          </w:rPr>
          <m:t xml:space="preserve">≡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…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R</m:t>
                </m:r>
              </m:sub>
            </m:sSub>
          </m:e>
        </m:d>
      </m:oMath>
      <w:r>
        <w:rPr/>
        <w:t>. With the mean per-sniff conditional entropy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cond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1</m:t>
              </m:r>
            </m:num>
            <m:den>
              <m:r>
                <w:rPr>
                  <w:rFonts w:ascii="Cambria Math" w:hAnsi="Cambria Math"/>
                </w:rPr>
                <m:t xml:space="preserve">B</m:t>
              </m:r>
            </m:den>
          </m:f>
          <m:nary>
            <m:naryPr>
              <m:chr m:val="∑"/>
              <m:supHide m:val="1"/>
            </m:naryPr>
            <m:sub>
              <m:r>
                <w:rPr>
                  <w:rFonts w:ascii="Cambria Math" w:hAnsi="Cambria Math"/>
                </w:rPr>
                <m:t xml:space="preserve">i</m:t>
              </m:r>
            </m:sub>
            <m:sup/>
            <m:e>
              <m:nary>
                <m:naryPr>
                  <m:chr m:val="∑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  <m:sup/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b>
                  </m:sSub>
                </m:e>
              </m:nary>
            </m:e>
          </m:nary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r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h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a</m:t>
          </m:r>
          <m:sSub>
            <m:e>
              <m:r>
                <w:rPr>
                  <w:rFonts w:ascii="Cambria Math" w:hAnsi="Cambria Math"/>
                </w:rPr>
                <m:t xml:space="preserve">log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−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sSub>
            <m:e>
              <m:r>
                <w:rPr>
                  <w:rFonts w:ascii="Cambria Math" w:hAnsi="Cambria Math"/>
                </w:rPr>
                <m:t xml:space="preserve">log</m:t>
              </m:r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,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8</m:t>
              </m:r>
            </m:e>
          </m:d>
        </m:oMath>
      </m:oMathPara>
    </w:p>
    <w:p>
      <w:pPr>
        <w:pStyle w:val="FirstParagraph"/>
        <w:rPr/>
      </w:pPr>
      <w:r>
        <w:rPr/>
        <w:t>the two bounds read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m>
            <m:m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H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KT</m:t>
                    </m:r>
                  </m:sub>
                  <m:sup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low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H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cond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B</m:t>
                    </m:r>
                  </m:den>
                </m:f>
                <m:nary>
                  <m:naryPr>
                    <m:chr m:val="∑"/>
                    <m:supHide m:val="1"/>
                  </m:naryPr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den>
                    </m:f>
                    <m:nary>
                      <m:naryPr>
                        <m:chr m:val="∑"/>
                        <m:supHide m:val="1"/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sub>
                      <m:sup/>
                      <m:e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BC</m:t>
                        </m:r>
                      </m:e>
                    </m:nary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  <m:r>
                          <w:rPr>
                            <w:rFonts w:ascii="Cambria Math" w:hAnsi="Cambria Math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 xml:space="preserve">,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 xml:space="preserve">log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BC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j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nary>
                  <m:naryPr>
                    <m:chr m:val="∑"/>
                    <m:supHide m:val="1"/>
                  </m:naryPr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 xml:space="preserve">log</m:t>
                    </m:r>
                  </m:e>
                </m:nary>
                <m:d>
                  <m:dPr>
                    <m:begChr m:val="("/>
                    <m:endChr m:val=")"/>
                  </m:dPr>
                  <m:e>
                    <m:rad>
                      <m:radPr>
                        <m:degHide m:val="1"/>
                      </m:radPr>
                      <m:deg/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i</m:t>
                            </m:r>
                          </m:sub>
                        </m:sSub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j</m:t>
                            </m:r>
                          </m:sub>
                        </m:sSub>
                      </m:e>
                    </m:rad>
                    <m:r>
                      <w:rPr>
                        <w:rFonts w:ascii="Cambria Math" w:hAnsi="Cambria Math"/>
                      </w:rPr>
                      <m:t xml:space="preserve">+</m:t>
                    </m:r>
                    <m:rad>
                      <m:radPr>
                        <m:degHide m:val="1"/>
                      </m:radPr>
                      <m:deg/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j</m:t>
                                </m:r>
                              </m:sub>
                            </m:sSub>
                          </m:e>
                        </m:d>
                      </m:e>
                    </m:rad>
                  </m:e>
                </m:d>
                <m:r>
                  <w:rPr>
                    <w:rFonts w:ascii="Cambria Math" w:hAnsi="Cambria Math"/>
                  </w:rPr>
                  <m:t xml:space="preserve">,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</m:e>
                </m:d>
              </m:e>
            </m:mr>
            <m:m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H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KT</m:t>
                    </m:r>
                  </m:sub>
                  <m:sup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up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H</m:t>
                    </m:r>
                  </m:e>
                  <m:sub>
                    <m:r>
                      <m:rPr>
                        <m:lit/>
                        <m:nor/>
                      </m:rPr>
                      <w:rPr>
                        <w:rFonts w:ascii="Cambria Math" w:hAnsi="Cambria Math"/>
                      </w:rPr>
                      <m:t xml:space="preserve">cond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B</m:t>
                    </m:r>
                  </m:den>
                </m:f>
                <m:nary>
                  <m:naryPr>
                    <m:chr m:val="∑"/>
                    <m:supHide m:val="1"/>
                  </m:naryPr>
                  <m:sub>
                    <m:r>
                      <w:rPr>
                        <w:rFonts w:ascii="Cambria Math" w:hAnsi="Cambria Math"/>
                      </w:rPr>
                      <m:t xml:space="preserve">i</m:t>
                    </m:r>
                  </m:sub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</m:e>
                </m:nary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B</m:t>
                        </m:r>
                      </m:den>
                    </m:f>
                    <m:nary>
                      <m:naryPr>
                        <m:chr m:val="∑"/>
                        <m:supHide m:val="1"/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sub>
                      <m:sup/>
                      <m:e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−</m:t>
                            </m:r>
                            <m:r>
                              <m:rPr>
                                <m:lit/>
                                <m:nor/>
                              </m:rPr>
                              <w:rPr>
                                <w:rFonts w:ascii="Cambria Math" w:hAnsi="Cambria Math"/>
                              </w:rPr>
                              <m:t xml:space="preserve">KL</m:t>
                            </m:r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i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∥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j</m:t>
                                </m:r>
                              </m:e>
                            </m:d>
                          </m:sup>
                        </m:sSup>
                      </m:e>
                    </m:nary>
                  </m:e>
                </m:d>
                <m:r>
                  <w:rPr>
                    <w:rFonts w:ascii="Cambria Math" w:hAnsi="Cambria Math"/>
                  </w:rPr>
                  <m:t xml:space="preserve">,</m:t>
                </m:r>
              </m:e>
            </m:mr>
            <m:mr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KL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∥</m:t>
                    </m:r>
                    <m:r>
                      <w:rPr>
                        <w:rFonts w:ascii="Cambria Math" w:hAnsi="Cambria Math"/>
                      </w:rPr>
                      <m:t xml:space="preserve">j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nary>
                  <m:naryPr>
                    <m:chr m:val="∑"/>
                    <m:supHide m:val="1"/>
                  </m:naryPr>
                  <m:sub>
                    <m:r>
                      <w:rPr>
                        <w:rFonts w:ascii="Cambria Math" w:hAnsi="Cambria Math"/>
                      </w:rPr>
                      <m:t xml:space="preserve">r</m:t>
                    </m:r>
                  </m:sub>
                  <m:sup/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 xml:space="preserve">log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num>
                  <m:den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log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1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j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 xml:space="preserve">,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10</m:t>
                    </m:r>
                  </m:e>
                </m:d>
              </m:e>
            </m:mr>
          </m:m>
        </m:oMath>
      </m:oMathPara>
    </w:p>
    <w:p>
      <w:pPr>
        <w:pStyle w:val="FirstParagraph"/>
        <w:rPr/>
      </w:pPr>
      <w:r>
        <w:rPr/>
        <w:t xml:space="preserve">with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BC</m:t>
        </m:r>
      </m:oMath>
      <w:r>
        <w:rPr/>
        <w:t xml:space="preserve"> the Bhattacharyya affinity and </w:t>
      </w: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KL</m:t>
        </m:r>
      </m:oMath>
      <w:r>
        <w:rPr/>
        <w:t xml:space="preserve"> the Kullback-Leibler divergence between the product-Bernoulli sniff components. The derivation, and why the bracket tightens as the array approaches the perfect-array regime, are given in Supplementary Sec. S4.</w:t>
      </w:r>
    </w:p>
    <w:p>
      <w:pPr>
        <w:pStyle w:val="Bibliography"/>
        <w:spacing w:before="0" w:after="200"/>
        <w:rPr/>
      </w:pPr>
      <w:bookmarkStart w:id="3" w:name="refs"/>
      <w:bookmarkStart w:id="4" w:name="ref-kolchinsky_estimating_2017"/>
      <w:r>
        <w:rPr/>
        <w:t xml:space="preserve">Kolchinsky, Artemy, and Brendan D. Tracey. 2017. “Estimating Mixture Entropy with Pairwise Distances.” </w:t>
      </w:r>
      <w:r>
        <w:rPr>
          <w:i/>
          <w:iCs/>
        </w:rPr>
        <w:t>Entropy</w:t>
      </w:r>
      <w:r>
        <w:rPr/>
        <w:t xml:space="preserve"> 19 (7): 361. </w:t>
      </w:r>
      <w:hyperlink r:id="rId2">
        <w:r>
          <w:rPr>
            <w:rStyle w:val="Hyperlink"/>
          </w:rPr>
          <w:t>https://doi.org/10.3390/e19070361</w:t>
        </w:r>
      </w:hyperlink>
      <w:r>
        <w:rPr/>
        <w:t>.</w:t>
      </w:r>
      <w:bookmarkEnd w:id="3"/>
      <w:bookmarkEnd w:id="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3390/e19070361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4</Pages>
  <Words>858</Words>
  <Characters>4498</Characters>
  <CharactersWithSpaces>5374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2026-08-03T13:02:12Z</dcterms:created>
  <dc:creator/>
  <dc:description/>
  <dc:language>en-US</dc:language>
  <cp:lastModifiedBy>Hugo Le Roy</cp:lastModifiedBy>
  <dcterms:modified xsi:type="dcterms:W3CDTF">2026-08-04T09:14:15Z</dcterms:modified>
  <cp:revision>4</cp:revision>
  <dc:subject/>
  <dc:title>Methods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/mnt/hcleroy/PostDoc2/octopus_smelling/article/article_1/method/smelling.bib</vt:lpwstr>
  </property>
</Properties>
</file>