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0.80, and 0.78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Seven of the ten can be coerced to the common predictive-posterior class; Pillars 8, 9 and 10 have no such method, which is why they are absent from the calibration comparison rather than scoring badly in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br/>
      </w:r>
      <w:r>
        <w:rPr>
          <w:rStyle w:val="CommentTok"/>
        </w:rPr>
        <w:t xml:space="preserve"># The bundle stores short column names; the graph names its nodes after the</w:t>
      </w:r>
      <w:r>
        <w:br/>
      </w:r>
      <w:r>
        <w:rPr>
          <w:rStyle w:val="CommentTok"/>
        </w:rPr>
        <w:t xml:space="preserve"># source products, so the two are joined explicitly rather than by position.</w:t>
      </w:r>
      <w:r>
        <w:br/>
      </w:r>
      <w:r>
        <w:rPr>
          <w:rStyle w:val="NormalTok"/>
        </w:rPr>
        <w:t xml:space="preserve">d</w:t>
      </w:r>
      <w:r>
        <w:rPr>
          <w:rStyle w:val="SpecialCharTok"/>
        </w:rPr>
        <w:t xml:space="preserve">$</w:t>
      </w:r>
      <w:r>
        <w:rPr>
          <w:rStyle w:val="NormalTok"/>
        </w:rPr>
        <w:t xml:space="preserve">soc_topsoil_gkg   </w:t>
      </w:r>
      <w:r>
        <w:rPr>
          <w:rStyle w:val="OtherTok"/>
        </w:rPr>
        <w:t xml:space="preserve">&lt;-</w:t>
      </w:r>
      <w:r>
        <w:rPr>
          <w:rStyle w:val="NormalTok"/>
        </w:rPr>
        <w:t xml:space="preserve"> d</w:t>
      </w:r>
      <w:r>
        <w:rPr>
          <w:rStyle w:val="SpecialCharTok"/>
        </w:rPr>
        <w:t xml:space="preserve">$</w:t>
      </w:r>
      <w:r>
        <w:rPr>
          <w:rStyle w:val="NormalTok"/>
        </w:rPr>
        <w:t xml:space="preserve">soc</w:t>
      </w:r>
      <w:r>
        <w:br/>
      </w:r>
      <w:r>
        <w:rPr>
          <w:rStyle w:val="NormalTok"/>
        </w:rPr>
        <w:t xml:space="preserve">d</w:t>
      </w:r>
      <w:r>
        <w:rPr>
          <w:rStyle w:val="SpecialCharTok"/>
        </w:rPr>
        <w:t xml:space="preserve">$</w:t>
      </w:r>
      <w:r>
        <w:rPr>
          <w:rStyle w:val="NormalTok"/>
        </w:rPr>
        <w:t xml:space="preserve">wc_bio_01         </w:t>
      </w:r>
      <w:r>
        <w:rPr>
          <w:rStyle w:val="OtherTok"/>
        </w:rPr>
        <w:t xml:space="preserve">&lt;-</w:t>
      </w:r>
      <w:r>
        <w:rPr>
          <w:rStyle w:val="NormalTok"/>
        </w:rPr>
        <w:t xml:space="preserve"> d</w:t>
      </w:r>
      <w:r>
        <w:rPr>
          <w:rStyle w:val="SpecialCharTok"/>
        </w:rPr>
        <w:t xml:space="preserve">$</w:t>
      </w:r>
      <w:r>
        <w:rPr>
          <w:rStyle w:val="NormalTok"/>
        </w:rPr>
        <w:t xml:space="preserve">mat</w:t>
      </w:r>
      <w:r>
        <w:br/>
      </w:r>
      <w:r>
        <w:rPr>
          <w:rStyle w:val="NormalTok"/>
        </w:rPr>
        <w:t xml:space="preserve">d</w:t>
      </w:r>
      <w:r>
        <w:rPr>
          <w:rStyle w:val="SpecialCharTok"/>
        </w:rPr>
        <w:t xml:space="preserve">$</w:t>
      </w:r>
      <w:r>
        <w:rPr>
          <w:rStyle w:val="NormalTok"/>
        </w:rPr>
        <w:t xml:space="preserve">wc_bio_12         </w:t>
      </w:r>
      <w:r>
        <w:rPr>
          <w:rStyle w:val="OtherTok"/>
        </w:rPr>
        <w:t xml:space="preserve">&lt;-</w:t>
      </w:r>
      <w:r>
        <w:rPr>
          <w:rStyle w:val="NormalTok"/>
        </w:rPr>
        <w:t xml:space="preserve"> d</w:t>
      </w:r>
      <w:r>
        <w:rPr>
          <w:rStyle w:val="SpecialCharTok"/>
        </w:rPr>
        <w:t xml:space="preserve">$</w:t>
      </w:r>
      <w:r>
        <w:rPr>
          <w:rStyle w:val="NormalTok"/>
        </w:rPr>
        <w:t xml:space="preserve">map</w:t>
      </w:r>
      <w:r>
        <w:br/>
      </w:r>
      <w:r>
        <w:rPr>
          <w:rStyle w:val="NormalTok"/>
        </w:rPr>
        <w:t xml:space="preserve">d</w:t>
      </w:r>
      <w:r>
        <w:rPr>
          <w:rStyle w:val="SpecialCharTok"/>
        </w:rPr>
        <w:t xml:space="preserve">$</w:t>
      </w:r>
      <w:r>
        <w:rPr>
          <w:rStyle w:val="NormalTok"/>
        </w:rPr>
        <w:t xml:space="preserve">wc_landcover_trees </w:t>
      </w:r>
      <w:r>
        <w:rPr>
          <w:rStyle w:val="OtherTok"/>
        </w:rPr>
        <w:t xml:space="preserve">&lt;-</w:t>
      </w:r>
      <w:r>
        <w:rPr>
          <w:rStyle w:val="NormalTok"/>
        </w:rPr>
        <w:t xml:space="preserve"> d</w:t>
      </w:r>
      <w:r>
        <w:rPr>
          <w:rStyle w:val="SpecialCharTok"/>
        </w:rPr>
        <w:t xml:space="preserve">$</w:t>
      </w:r>
      <w:r>
        <w:rPr>
          <w:rStyle w:val="NormalTok"/>
        </w:rPr>
        <w:t xml:space="preserve">trees</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Applying our own standard to our own pillar.</w:t>
      </w:r>
      <w:r>
        <w:t xml:space="preserve"> </w:t>
      </w:r>
      <w:r>
        <w:t xml:space="preserve">This paper argues that coverage belongs beside accuracy. Pillar 2 is the pillar it spends most of its pages on, and every number above it is an error statistic; nothing so far has said whether its interval covers. Scored where the point prediction is scored — the held-out deepest horizon, over profiles in the declared domain — on 150 profiles: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Subset</w:t>
            </w:r>
          </w:p>
        </w:tc>
        <w:tc>
          <w:tcPr/>
          <w:p>
            <w:pPr>
              <w:pStyle w:val="Compact"/>
              <w:jc w:val="right"/>
            </w:pPr>
            <w:r>
              <w:t xml:space="preserve">n</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Interval score</w:t>
            </w:r>
          </w:p>
        </w:tc>
      </w:tr>
      <w:tr>
        <w:tc>
          <w:tcPr/>
          <w:p>
            <w:pPr>
              <w:pStyle w:val="Compact"/>
              <w:jc w:val="left"/>
            </w:pPr>
            <w:r>
              <w:t xml:space="preserve">all fits</w:t>
            </w:r>
          </w:p>
        </w:tc>
        <w:tc>
          <w:tcPr/>
          <w:p>
            <w:pPr>
              <w:pStyle w:val="Compact"/>
              <w:jc w:val="right"/>
            </w:pPr>
            <w:r>
              <w:t xml:space="preserve">150</w:t>
            </w:r>
          </w:p>
        </w:tc>
        <w:tc>
          <w:tcPr/>
          <w:p>
            <w:pPr>
              <w:pStyle w:val="Compact"/>
              <w:jc w:val="right"/>
            </w:pPr>
            <w:r>
              <w:t xml:space="preserve">0.520</w:t>
            </w:r>
          </w:p>
        </w:tc>
        <w:tc>
          <w:tcPr/>
          <w:p>
            <w:pPr>
              <w:pStyle w:val="Compact"/>
              <w:jc w:val="right"/>
            </w:pPr>
            <w:r>
              <w:t xml:space="preserve">3.38</w:t>
            </w:r>
          </w:p>
        </w:tc>
        <w:tc>
          <w:tcPr/>
          <w:p>
            <w:pPr>
              <w:pStyle w:val="Compact"/>
              <w:jc w:val="right"/>
            </w:pPr>
            <w:r>
              <w:t xml:space="preserve">5.22</w:t>
            </w:r>
          </w:p>
        </w:tc>
      </w:tr>
      <w:tr>
        <w:tc>
          <w:tcPr/>
          <w:p>
            <w:pPr>
              <w:pStyle w:val="Compact"/>
              <w:jc w:val="left"/>
            </w:pPr>
            <w:r>
              <w:t xml:space="preserve">converged fits only</w:t>
            </w:r>
          </w:p>
        </w:tc>
        <w:tc>
          <w:tcPr/>
          <w:p>
            <w:pPr>
              <w:pStyle w:val="Compact"/>
              <w:jc w:val="right"/>
            </w:pPr>
            <w:r>
              <w:t xml:space="preserve">41</w:t>
            </w:r>
          </w:p>
        </w:tc>
        <w:tc>
          <w:tcPr/>
          <w:p>
            <w:pPr>
              <w:pStyle w:val="Compact"/>
              <w:jc w:val="right"/>
            </w:pPr>
            <w:r>
              <w:t xml:space="preserve">0.756</w:t>
            </w:r>
          </w:p>
        </w:tc>
        <w:tc>
          <w:tcPr/>
          <w:p>
            <w:pPr>
              <w:pStyle w:val="Compact"/>
              <w:jc w:val="right"/>
            </w:pPr>
            <w:r>
              <w:t xml:space="preserve">6.00</w:t>
            </w:r>
          </w:p>
        </w:tc>
        <w:tc>
          <w:tcPr/>
          <w:p>
            <w:pPr>
              <w:pStyle w:val="Compact"/>
              <w:jc w:val="right"/>
            </w:pPr>
            <w:r>
              <w:t xml:space="preserve">5.53</w:t>
            </w:r>
          </w:p>
        </w:tc>
      </w:tr>
    </w:tbl>
    <w:p>
      <w:pPr>
        <w:pStyle w:val="BodyText"/>
      </w:pPr>
      <w:r>
        <w:rPr>
          <w:b/>
          <w:bCs/>
        </w:rPr>
        <w:t xml:space="preserve">Table 7. Coverage of the Pillar-2 predictive interval.</w:t>
      </w:r>
      <w:r>
        <w:t xml:space="preserve"> </w:t>
      </w:r>
      <w:r>
        <w:t xml:space="preserve">Nominal 0.90. The interval is the predictive one for a future</w:t>
      </w:r>
      <w:r>
        <w:t xml:space="preserve"> </w:t>
      </w:r>
      <w:r>
        <w:rPr>
          <w:i/>
          <w:iCs/>
        </w:rPr>
        <w:t xml:space="preserve">observation</w:t>
      </w:r>
      <w:r>
        <w:t xml:space="preserve">, which is what a held-out laboratory value is. The interval score</w:t>
      </w:r>
      <w:r>
        <w:t xml:space="preserve"> </w:t>
      </w:r>
      <w:r>
        <w:t xml:space="preserve">[10]</w:t>
      </w:r>
      <w:r>
        <w:t xml:space="preserve"> </w:t>
      </w:r>
      <w:r>
        <w:t xml:space="preserve">is width plus a penalty per miss, so coverage cannot be bought with width alone; lower is better.</w:t>
      </w:r>
    </w:p>
    <w:p>
      <w:pPr>
        <w:pStyle w:val="BodyText"/>
      </w:pPr>
      <w:r>
        <w:t xml:space="preserve">It undercovers badly. A nominal 90% interval contains the held-out value 52% of the time, and restricting to the fits that genuinely converge — 27% of them — only lifts it to 76%. Widening is not the missing ingredient: the converged subset already has intervals 1.8 times wider and still misses a quarter of the time.</w:t>
      </w:r>
    </w:p>
    <w:p>
      <w:pPr>
        <w:pStyle w:val="BodyText"/>
      </w:pPr>
      <w:r>
        <w:t xml:space="preserve">The reason is a limitation of the interval rather than of the sampler, and it is worth stating precisely because it applies to every physics-informed model of this shape. What the posterior propagates is uncertainty in the</w:t>
      </w:r>
      <w:r>
        <w:t xml:space="preserve"> </w:t>
      </w:r>
      <w:r>
        <w:rPr>
          <w:i/>
          <w:iCs/>
        </w:rPr>
        <w:t xml:space="preserve">parameters</w:t>
      </w:r>
      <w:r>
        <w:t xml:space="preserve"> </w:t>
      </w:r>
      <w:r>
        <w:t xml:space="preserve">and in the observation noise, conditional on the equation being right. The held-out horizon is deeper than anything the fit saw, so the dominant error there is that the equation’s shape is wrong below the data — and a within-model interval cannot represent that. Coverage improves with depth (0.54 for horizons at 100–200 cm against 0.35 at 50–100 cm), which is consistent with that reading: a profile whose deepest horizon is already at 200 cm has been observed through most of its curvature.</w:t>
      </w:r>
    </w:p>
    <w:p>
      <w:pPr>
        <w:pStyle w:val="BodyText"/>
      </w:pPr>
      <w:r>
        <w:t xml:space="preserve">We report this as a failure of the pillar’s uncertainty, not as a caveat. A method that is more confident than it is correct is exactly what this paper’s benchmark section is built to expose, and the same standard has to survive being turned inward.</w:t>
      </w:r>
    </w:p>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8.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w:t>
      </w:r>
    </w:p>
    <w:p>
      <w:pPr>
        <w:pStyle w:val="BodyText"/>
      </w:pPr>
      <w:r>
        <w:rPr>
          <w:b/>
          <w:bCs/>
        </w:rPr>
        <w:t xml:space="preserve">Building the pedotransfer function, and what it turned out to cost.</w:t>
      </w:r>
      <w:r>
        <w:t xml:space="preserve"> </w:t>
      </w:r>
      <w:r>
        <w:t xml:space="preserve">The paragraph above used to end by saying a stock comparison at scale would need a pedotransfer function we had not built. It exists now, and reporting it changes the conclusion less than building it suggested it would.</w:t>
      </w:r>
    </w:p>
    <w:p>
      <w:pPr>
        <w:pStyle w:val="BodyText"/>
      </w:pPr>
      <w:r>
        <w:t xml:space="preserve">The obstacle was never the method but the calibration data: WoSIS carries a measured density for 3.9% of these horizons. The</w:t>
      </w:r>
      <w:r>
        <w:t xml:space="preserve"> </w:t>
      </w:r>
      <w:r>
        <w:rPr>
          <w:rStyle w:val="VerbatimChar"/>
        </w:rPr>
        <w:t xml:space="preserve">febr</w:t>
      </w:r>
      <w:r>
        <w:t xml:space="preserve"> </w:t>
      </w:r>
      <w:r>
        <w:t xml:space="preserve">package’s static snapshot does not help — its copy of dataset ctb0017 has no density column at all — but the live SoilData repository’s copy of the</w:t>
      </w:r>
      <w:r>
        <w:t xml:space="preserve"> </w:t>
      </w:r>
      <w:r>
        <w:rPr>
          <w:i/>
          <w:iCs/>
        </w:rPr>
        <w:t xml:space="preserve">same</w:t>
      </w:r>
      <w:r>
        <w:t xml:space="preserve"> </w:t>
      </w:r>
      <w:r>
        <w:t xml:space="preserve">dataset carries 166 horizons over 83 profiles in the Rio Uberaba basin, Minas Gerais, every one with measured bulk density, carbon and particle size, and 144 of them Latossolos — the order the Cerrado is mostly made of.</w:t>
      </w:r>
    </w:p>
    <w:p>
      <w:pPr>
        <w:pStyle w:val="BodyText"/>
      </w:pPr>
      <w:r>
        <w:t xml:space="preserve">Calibrated there and validated on spatially blocked folds, the function is barely worth having:</w:t>
      </w:r>
    </w:p>
    <w:tbl>
      <w:tblPr>
        <w:tblStyle w:val="Table"/>
        <w:tblW w:type="pct" w:w="5000"/>
        <w:tblLayout w:type="fixed"/>
        <w:tblLook w:firstRow="1" w:lastRow="0" w:firstColumn="0" w:lastColumn="0" w:noHBand="0" w:noVBand="0" w:val="0020"/>
      </w:tblPr>
      <w:tblGrid>
        <w:gridCol w:w="2996"/>
        <w:gridCol w:w="749"/>
        <w:gridCol w:w="749"/>
        <w:gridCol w:w="1498"/>
        <w:gridCol w:w="1926"/>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Relative RMSE</w:t>
            </w:r>
          </w:p>
        </w:tc>
        <w:tc>
          <w:tcPr/>
          <w:p>
            <w:pPr>
              <w:pStyle w:val="Compact"/>
              <w:jc w:val="right"/>
            </w:pPr>
            <w:r>
              <w:t xml:space="preserve">Skill vs constant</w:t>
            </w:r>
          </w:p>
        </w:tc>
      </w:tr>
      <w:tr>
        <w:tc>
          <w:tcPr/>
          <w:p>
            <w:pPr>
              <w:pStyle w:val="Compact"/>
              <w:jc w:val="left"/>
            </w:pPr>
            <w:r>
              <w:t xml:space="preserve">carbon only (log-linear)</w:t>
            </w:r>
          </w:p>
        </w:tc>
        <w:tc>
          <w:tcPr/>
          <w:p>
            <w:pPr>
              <w:pStyle w:val="Compact"/>
              <w:jc w:val="right"/>
            </w:pPr>
            <w:r>
              <w:t xml:space="preserve">0.1701</w:t>
            </w:r>
          </w:p>
        </w:tc>
        <w:tc>
          <w:tcPr/>
          <w:p>
            <w:pPr>
              <w:pStyle w:val="Compact"/>
              <w:jc w:val="right"/>
            </w:pPr>
            <w:r>
              <w:t xml:space="preserve">0.1359</w:t>
            </w:r>
          </w:p>
        </w:tc>
        <w:tc>
          <w:tcPr/>
          <w:p>
            <w:pPr>
              <w:pStyle w:val="Compact"/>
              <w:jc w:val="right"/>
            </w:pPr>
            <w:r>
              <w:t xml:space="preserve">11.8%</w:t>
            </w:r>
          </w:p>
        </w:tc>
        <w:tc>
          <w:tcPr/>
          <w:p>
            <w:pPr>
              <w:pStyle w:val="Compact"/>
              <w:jc w:val="right"/>
            </w:pPr>
            <w:r>
              <w:t xml:space="preserve">0.044</w:t>
            </w:r>
          </w:p>
        </w:tc>
      </w:tr>
      <w:tr>
        <w:tc>
          <w:tcPr/>
          <w:p>
            <w:pPr>
              <w:pStyle w:val="Compact"/>
              <w:jc w:val="left"/>
            </w:pPr>
            <w:r>
              <w:t xml:space="preserve">carbon + depth + texture</w:t>
            </w:r>
          </w:p>
        </w:tc>
        <w:tc>
          <w:tcPr/>
          <w:p>
            <w:pPr>
              <w:pStyle w:val="Compact"/>
              <w:jc w:val="right"/>
            </w:pPr>
            <w:r>
              <w:t xml:space="preserve">0.1710</w:t>
            </w:r>
          </w:p>
        </w:tc>
        <w:tc>
          <w:tcPr/>
          <w:p>
            <w:pPr>
              <w:pStyle w:val="Compact"/>
              <w:jc w:val="right"/>
            </w:pPr>
            <w:r>
              <w:t xml:space="preserve">0.1320</w:t>
            </w:r>
          </w:p>
        </w:tc>
        <w:tc>
          <w:tcPr/>
          <w:p>
            <w:pPr>
              <w:pStyle w:val="Compact"/>
              <w:jc w:val="right"/>
            </w:pPr>
            <w:r>
              <w:t xml:space="preserve">11.9%</w:t>
            </w:r>
          </w:p>
        </w:tc>
        <w:tc>
          <w:tcPr/>
          <w:p>
            <w:pPr>
              <w:pStyle w:val="Compact"/>
              <w:jc w:val="right"/>
            </w:pPr>
            <w:r>
              <w:t xml:space="preserve">0.034</w:t>
            </w:r>
          </w:p>
        </w:tc>
      </w:tr>
      <w:tr>
        <w:tc>
          <w:tcPr/>
          <w:p>
            <w:pPr>
              <w:pStyle w:val="Compact"/>
              <w:jc w:val="left"/>
            </w:pPr>
            <w:r>
              <w:t xml:space="preserve">random forest</w:t>
            </w:r>
          </w:p>
        </w:tc>
        <w:tc>
          <w:tcPr/>
          <w:p>
            <w:pPr>
              <w:pStyle w:val="Compact"/>
              <w:jc w:val="right"/>
            </w:pPr>
            <w:r>
              <w:t xml:space="preserve">0.1711</w:t>
            </w:r>
          </w:p>
        </w:tc>
        <w:tc>
          <w:tcPr/>
          <w:p>
            <w:pPr>
              <w:pStyle w:val="Compact"/>
              <w:jc w:val="right"/>
            </w:pPr>
            <w:r>
              <w:t xml:space="preserve">0.1360</w:t>
            </w:r>
          </w:p>
        </w:tc>
        <w:tc>
          <w:tcPr/>
          <w:p>
            <w:pPr>
              <w:pStyle w:val="Compact"/>
              <w:jc w:val="right"/>
            </w:pPr>
            <w:r>
              <w:t xml:space="preserve">11.9%</w:t>
            </w:r>
          </w:p>
        </w:tc>
        <w:tc>
          <w:tcPr/>
          <w:p>
            <w:pPr>
              <w:pStyle w:val="Compact"/>
              <w:jc w:val="right"/>
            </w:pPr>
            <w:r>
              <w:t xml:space="preserve">0.033</w:t>
            </w:r>
          </w:p>
        </w:tc>
      </w:tr>
      <w:tr>
        <w:tc>
          <w:tcPr/>
          <w:p>
            <w:pPr>
              <w:pStyle w:val="Compact"/>
              <w:jc w:val="left"/>
            </w:pPr>
            <w:r>
              <w:t xml:space="preserve">constant (profile-set mean)</w:t>
            </w:r>
          </w:p>
        </w:tc>
        <w:tc>
          <w:tcPr/>
          <w:p>
            <w:pPr>
              <w:pStyle w:val="Compact"/>
              <w:jc w:val="right"/>
            </w:pPr>
            <w:r>
              <w:t xml:space="preserve">0.1740</w:t>
            </w:r>
          </w:p>
        </w:tc>
        <w:tc>
          <w:tcPr/>
          <w:p>
            <w:pPr>
              <w:pStyle w:val="Compact"/>
              <w:jc w:val="right"/>
            </w:pPr>
            <w:r>
              <w:t xml:space="preserve">0.1396</w:t>
            </w:r>
          </w:p>
        </w:tc>
        <w:tc>
          <w:tcPr/>
          <w:p>
            <w:pPr>
              <w:pStyle w:val="Compact"/>
              <w:jc w:val="right"/>
            </w:pPr>
            <w:r>
              <w:t xml:space="preserve">12.1%</w:t>
            </w:r>
          </w:p>
        </w:tc>
        <w:tc>
          <w:tcPr/>
          <w:p>
            <w:pPr>
              <w:pStyle w:val="Compact"/>
              <w:jc w:val="right"/>
            </w:pPr>
            <w:r>
              <w:t xml:space="preserve">0.000</w:t>
            </w:r>
          </w:p>
        </w:tc>
      </w:tr>
    </w:tbl>
    <w:p>
      <w:pPr>
        <w:pStyle w:val="BodyText"/>
      </w:pPr>
      <w:r>
        <w:rPr>
          <w:b/>
          <w:bCs/>
        </w:rPr>
        <w:t xml:space="preserve">Table 9. A bulk-density pedotransfer function, on spatially blocked folds.</w:t>
      </w:r>
      <w:r>
        <w:t xml:space="preserve"> </w:t>
      </w:r>
      <w:r>
        <w:t xml:space="preserve">Calibrated on the Rio Uberaba horizons.</w:t>
      </w:r>
      <w:r>
        <w:t xml:space="preserve"> </w:t>
      </w:r>
      <w:r>
        <w:t xml:space="preserve">“Skill”</w:t>
      </w:r>
      <w:r>
        <w:t xml:space="preserve"> </w:t>
      </w:r>
      <w:r>
        <w:t xml:space="preserve">is the proportional reduction in squared error against a single mean density — the achievable null, not the test-fold mean.</w:t>
      </w:r>
    </w:p>
    <w:p>
      <w:pPr>
        <w:pStyle w:val="BodyText"/>
      </w:pPr>
      <w:r>
        <w:t xml:space="preserve">A log-linear function of carbon is the best of the four and improves on a constant density by 4.4% of squared error. A random forest with texture and depth does no better. On this basin, in other words, one number is very nearly as good as any function we could fit.</w:t>
      </w:r>
    </w:p>
    <w:p>
      <w:pPr>
        <w:pStyle w:val="BodyText"/>
      </w:pPr>
      <w:r>
        <w:rPr>
          <w:b/>
          <w:bCs/>
        </w:rPr>
        <w:t xml:space="preserve">And it is worse than that where it is used.</w:t>
      </w:r>
      <w:r>
        <w:t xml:space="preserve"> </w:t>
      </w:r>
      <w:r>
        <w:t xml:space="preserve">The blocked estimate is what the function achieves inside its own basin. Applied to the WoSIS profiles that carry a measured density, it is not a 11.8% error but a 26.0% one, and most of that is bias: the measured densities run from 0.83 to 1.50 g/cm³ while the function never predicts below 1.41. Substituting it for the measured density raises the stock error on those profiles from 6.85 to 9.19 Mg/ha. A cross-validated error estimated inside one basin understates the error in application by more than a factor of two, which is worth stating plainly because it is the ordinary fate of a pedotransfer function moved off its calibration set.</w:t>
      </w:r>
    </w:p>
    <w:p>
      <w:pPr>
        <w:pStyle w:val="BodyText"/>
      </w:pPr>
      <w:r>
        <w:rPr>
          <w:b/>
          <w:bCs/>
        </w:rPr>
        <w:t xml:space="preserve">What it does buy.</w:t>
      </w:r>
      <w:r>
        <w:t xml:space="preserve"> </w:t>
      </w:r>
      <w:r>
        <w:t xml:space="preserve">Because the density model is common to every method, its error largely cancels in a paired comparison, so it extends the</w:t>
      </w:r>
      <w:r>
        <w:t xml:space="preserve"> </w:t>
      </w:r>
      <w:r>
        <w:rPr>
          <w:i/>
          <w:iCs/>
        </w:rPr>
        <w:t xml:space="preserve">ranking</w:t>
      </w:r>
      <w:r>
        <w:t xml:space="preserve"> </w:t>
      </w:r>
      <w:r>
        <w:t xml:space="preserve">— not the absolute stock — from 24 profiles to 935: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87.8</w:t>
            </w:r>
          </w:p>
        </w:tc>
        <w:tc>
          <w:tcPr/>
          <w:p>
            <w:pPr>
              <w:pStyle w:val="Compact"/>
              <w:jc w:val="right"/>
            </w:pPr>
            <w:r>
              <w:t xml:space="preserve">11.33</w:t>
            </w:r>
          </w:p>
        </w:tc>
        <w:tc>
          <w:tcPr/>
          <w:p>
            <w:pPr>
              <w:pStyle w:val="Compact"/>
              <w:jc w:val="right"/>
            </w:pPr>
            <w:r>
              <w:t xml:space="preserve">-1.18</w:t>
            </w:r>
          </w:p>
        </w:tc>
      </w:tr>
      <w:tr>
        <w:tc>
          <w:tcPr/>
          <w:p>
            <w:pPr>
              <w:pStyle w:val="Compact"/>
              <w:jc w:val="left"/>
            </w:pPr>
            <w:r>
              <w:t xml:space="preserve">copy nearest training horizon</w:t>
            </w:r>
          </w:p>
        </w:tc>
        <w:tc>
          <w:tcPr/>
          <w:p>
            <w:pPr>
              <w:pStyle w:val="Compact"/>
              <w:jc w:val="right"/>
            </w:pPr>
            <w:r>
              <w:t xml:space="preserve">88.3</w:t>
            </w:r>
          </w:p>
        </w:tc>
        <w:tc>
          <w:tcPr/>
          <w:p>
            <w:pPr>
              <w:pStyle w:val="Compact"/>
              <w:jc w:val="right"/>
            </w:pPr>
            <w:r>
              <w:t xml:space="preserve">13.06</w:t>
            </w:r>
          </w:p>
        </w:tc>
        <w:tc>
          <w:tcPr/>
          <w:p>
            <w:pPr>
              <w:pStyle w:val="Compact"/>
              <w:jc w:val="right"/>
            </w:pPr>
            <w:r>
              <w:t xml:space="preserve">3.14</w:t>
            </w:r>
          </w:p>
        </w:tc>
      </w:tr>
      <w:tr>
        <w:tc>
          <w:tcPr/>
          <w:p>
            <w:pPr>
              <w:pStyle w:val="Compact"/>
              <w:jc w:val="left"/>
            </w:pPr>
            <w:r>
              <w:t xml:space="preserve">profile mean</w:t>
            </w:r>
          </w:p>
        </w:tc>
        <w:tc>
          <w:tcPr/>
          <w:p>
            <w:pPr>
              <w:pStyle w:val="Compact"/>
              <w:jc w:val="right"/>
            </w:pPr>
            <w:r>
              <w:t xml:space="preserve">107.8</w:t>
            </w:r>
          </w:p>
        </w:tc>
        <w:tc>
          <w:tcPr/>
          <w:p>
            <w:pPr>
              <w:pStyle w:val="Compact"/>
              <w:jc w:val="right"/>
            </w:pPr>
            <w:r>
              <w:t xml:space="preserve">50.42</w:t>
            </w:r>
          </w:p>
        </w:tc>
        <w:tc>
          <w:tcPr/>
          <w:p>
            <w:pPr>
              <w:pStyle w:val="Compact"/>
              <w:jc w:val="right"/>
            </w:pPr>
            <w:r>
              <w:t xml:space="preserve">41.88</w:t>
            </w:r>
          </w:p>
        </w:tc>
      </w:tr>
    </w:tbl>
    <w:p>
      <w:pPr>
        <w:pStyle w:val="BodyText"/>
      </w:pPr>
      <w:r>
        <w:rPr>
          <w:b/>
          <w:bCs/>
        </w:rPr>
        <w:t xml:space="preserve">Table 10. The depth models scored in Mg/ha over 935 profiles.</w:t>
      </w:r>
      <w:r>
        <w:t xml:space="preserve"> </w:t>
      </w:r>
      <w:r>
        <w:t xml:space="preserve">Density is</w:t>
      </w:r>
      <w:r>
        <w:t xml:space="preserve"> </w:t>
      </w:r>
      <w:r>
        <w:rPr>
          <w:i/>
          <w:iCs/>
        </w:rPr>
        <w:t xml:space="preserve">modelled</w:t>
      </w:r>
      <w:r>
        <w:t xml:space="preserve"> </w:t>
      </w:r>
      <w:r>
        <w:t xml:space="preserve">on both sides, so these are not validated stocks; what the table tests is whether the ranking survives the change of units at scale. Held-out deepest horizon, declared domain.</w:t>
      </w:r>
    </w:p>
    <w:p>
      <w:pPr>
        <w:pStyle w:val="BodyText"/>
      </w:pPr>
      <w:r>
        <w:t xml:space="preserve">It survives. The equation leads on mean absolute error and wins 579 of 935 paired comparisons against copying the nearest measured horizon (</w:t>
      </w:r>
      <w:r>
        <w:rPr>
          <w:i/>
          <w:iCs/>
        </w:rPr>
        <w:t xml:space="preserve">p</w:t>
      </w:r>
      <w:r>
        <w:t xml:space="preserve"> </w:t>
      </w:r>
      <w:r>
        <w:t xml:space="preserve">= 1.1e-16), the same direction the concentration scoring gives. The gap between RMSE and MAE is the same heavy tail Table 6 reports, and for the same ten profiles.</w:t>
      </w:r>
    </w:p>
    <w:p>
      <w:pPr>
        <w:pStyle w:val="BodyText"/>
      </w:pPr>
      <w:r>
        <w:t xml:space="preserve">So the promise is discharged, and the answer it returns is a limit rather than a result: a stock comparison at Cerrado scale is possible, its ranking is trustworthy, and its absolute values are not — because the density that would make them absolute is, on this evidence, barely predictable from what the archive records.</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11]</w:t>
      </w:r>
      <w:r>
        <w:t xml:space="preserve"> </w:t>
      </w:r>
      <w:r>
        <w:t xml:space="preserve">carrying a fourth shape parameter. The defensible steady-state balance for soil carbon is an advection–reaction–diffusion equation</w:t>
      </w:r>
      <w:r>
        <w:t xml:space="preserve"> </w:t>
      </w:r>
      <w:r>
        <w:t xml:space="preserve">[12,13]</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[14,15]</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[16]</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[17]</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[18]</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Six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The pedotransfer function that would lift that restriction now exists and is reported above; what it shows is that bulk density is barely predictable from what this archive records, and that its error in application is more than twice its cross-validated error, so it extends the ranking to Cerrado scale but not the absolute stock.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The predictive interval covers about half the time against a nominal 90%, so the pillar’s</w:t>
      </w:r>
      <w:r>
        <w:t xml:space="preserve"> </w:t>
      </w:r>
      <w:r>
        <w:rPr>
          <w:i/>
          <w:iCs/>
        </w:rPr>
        <w:t xml:space="preserve">uncertainty</w:t>
      </w:r>
      <w:r>
        <w:t xml:space="preserve"> </w:t>
      </w:r>
      <w:r>
        <w:t xml:space="preserve">should not be used as a decision input until the model error it omits is represented; and only 27% of these fits converge at the package’s default budget, with the failures concentrated in the three-to-four-horizon profiles that make up most of the archive, so the Bayesian path is not currently usable at archive scale.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11.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this pillar is demonstrated on profiles generated by the pedogenetic equation of Pillar 2 rather than on measured pedons. That is a choice we have not yet revisited, not a limit of the archive: 5853 measured horizons over 1105 WoSIS profiles ship with the package and are what Pillars 2 and 8 would share. Refitting the operator on them requires a trunk that accepts ragged depth supports — real pedons have four to thirty-one horizons at irregular boundaries, where the synthetic profiles are evaluated on a common grid — and until that is done the operator’s skill on measured soil is untested rather than established.</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[19]</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[20]</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12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12.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13.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14.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12, whose bundle is bound to the current code by the test suite.</w:t>
      </w:r>
    </w:p>
    <w:p>
      <w:pPr>
        <w:pStyle w:val="Heading2"/>
      </w:pPr>
      <w:r>
        <w:t xml:space="preserve">Backdoor adjustment yields robust associations, and exposes confounding</w:t>
      </w:r>
    </w:p>
    <w:p>
      <w:pPr>
        <w:pStyle w:val="FirstParagraph"/>
      </w:pPr>
      <w:r>
        <w:t xml:space="preserve">Table 15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seven of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2"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Gneiting2007"/>
    <w:p>
      <w:pPr>
        <w:pStyle w:val="Bibliography"/>
      </w:pPr>
      <w:r>
        <w:t xml:space="preserve">10.</w:t>
      </w:r>
      <w:r>
        <w:t xml:space="preserve"> </w:t>
      </w:r>
      <w:r>
        <w:t xml:space="preserve">	</w:t>
      </w:r>
      <w:r>
        <w:t xml:space="preserve">Gneiting T, Raftery AE. Strictly proper scoring rules, prediction, and estimation. Journal of the American Statistical Association. 2007;102: 359–378. doi:</w:t>
      </w:r>
      <w:hyperlink r:id="rId70">
        <w:r>
          <w:rPr>
            <w:rStyle w:val="Hyperlink"/>
          </w:rPr>
          <w:t xml:space="preserve">10.1198/016214506000001437</w:t>
        </w:r>
      </w:hyperlink>
    </w:p>
    <w:bookmarkEnd w:id="71"/>
    <w:bookmarkStart w:id="73" w:name="ref-Minasny2016"/>
    <w:p>
      <w:pPr>
        <w:pStyle w:val="Bibliography"/>
      </w:pPr>
      <w:r>
        <w:t xml:space="preserve">11.</w:t>
      </w:r>
      <w:r>
        <w:t xml:space="preserve"> </w:t>
      </w:r>
      <w:r>
        <w:t xml:space="preserve">	</w:t>
      </w:r>
      <w:r>
        <w:t xml:space="preserve">Minasny B, McBratney AB. Digital soil mapping: A brief history and some lessons learned. Geoderma. 2016;264: 301–311. doi:</w:t>
      </w:r>
      <w:hyperlink r:id="rId72">
        <w:r>
          <w:rPr>
            <w:rStyle w:val="Hyperlink"/>
          </w:rPr>
          <w:t xml:space="preserve">10.1016/j.geoderma.2015.07.017</w:t>
        </w:r>
      </w:hyperlink>
    </w:p>
    <w:bookmarkEnd w:id="73"/>
    <w:bookmarkStart w:id="75" w:name="ref-Elzein1995"/>
    <w:p>
      <w:pPr>
        <w:pStyle w:val="Bibliography"/>
      </w:pPr>
      <w:r>
        <w:t xml:space="preserve">12.</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4">
        <w:r>
          <w:rPr>
            <w:rStyle w:val="Hyperlink"/>
          </w:rPr>
          <w:t xml:space="preserve">10.2136/sssaj1995.03615995005900050019x</w:t>
        </w:r>
      </w:hyperlink>
    </w:p>
    <w:bookmarkEnd w:id="75"/>
    <w:bookmarkStart w:id="77" w:name="ref-Braakhekke2011"/>
    <w:p>
      <w:pPr>
        <w:pStyle w:val="Bibliography"/>
      </w:pPr>
      <w:r>
        <w:t xml:space="preserve">13.</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6">
        <w:r>
          <w:rPr>
            <w:rStyle w:val="Hyperlink"/>
          </w:rPr>
          <w:t xml:space="preserve">10.1016/j.ecolmodel.2011.02.015</w:t>
        </w:r>
      </w:hyperlink>
    </w:p>
    <w:bookmarkEnd w:id="77"/>
    <w:bookmarkStart w:id="79" w:name="ref-Gale1987"/>
    <w:p>
      <w:pPr>
        <w:pStyle w:val="Bibliography"/>
      </w:pPr>
      <w:r>
        <w:t xml:space="preserve">14.</w:t>
      </w:r>
      <w:r>
        <w:t xml:space="preserve"> </w:t>
      </w:r>
      <w:r>
        <w:t xml:space="preserve">	</w:t>
      </w:r>
      <w:r>
        <w:t xml:space="preserve">Gale MR, Grigal DF. Vertical root distributions of northern tree species in relation to successional status. Canadian Journal of Forest Research. 1987;17: 829–834. doi:</w:t>
      </w:r>
      <w:hyperlink r:id="rId78">
        <w:r>
          <w:rPr>
            <w:rStyle w:val="Hyperlink"/>
          </w:rPr>
          <w:t xml:space="preserve">10.1139/x87-131</w:t>
        </w:r>
      </w:hyperlink>
    </w:p>
    <w:bookmarkEnd w:id="79"/>
    <w:bookmarkStart w:id="81" w:name="ref-Jackson1996"/>
    <w:p>
      <w:pPr>
        <w:pStyle w:val="Bibliography"/>
      </w:pPr>
      <w:r>
        <w:t xml:space="preserve">15.</w:t>
      </w:r>
      <w:r>
        <w:t xml:space="preserve"> </w:t>
      </w:r>
      <w:r>
        <w:t xml:space="preserve">	</w:t>
      </w:r>
      <w:r>
        <w:t xml:space="preserve">Jackson RB, Canadell J, Ehleringer JR, Mooney HA, Sala OE, Schulze ED. A global analysis of root distributions for terrestrial biomes. Oecologia. 1996;108: 389–411. doi:</w:t>
      </w:r>
      <w:hyperlink r:id="rId80">
        <w:r>
          <w:rPr>
            <w:rStyle w:val="Hyperlink"/>
          </w:rPr>
          <w:t xml:space="preserve">10.1007/BF00333714</w:t>
        </w:r>
      </w:hyperlink>
    </w:p>
    <w:bookmarkEnd w:id="81"/>
    <w:bookmarkStart w:id="83" w:name="ref-Cambardella1994"/>
    <w:p>
      <w:pPr>
        <w:pStyle w:val="Bibliography"/>
      </w:pPr>
      <w:r>
        <w:t xml:space="preserve">16.</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2">
        <w:r>
          <w:rPr>
            <w:rStyle w:val="Hyperlink"/>
          </w:rPr>
          <w:t xml:space="preserve">10.2136/sssaj1994.03615995005800050033x</w:t>
        </w:r>
      </w:hyperlink>
    </w:p>
    <w:bookmarkEnd w:id="83"/>
    <w:bookmarkStart w:id="85" w:name="ref-Hassink1997"/>
    <w:p>
      <w:pPr>
        <w:pStyle w:val="Bibliography"/>
      </w:pPr>
      <w:r>
        <w:t xml:space="preserve">17.</w:t>
      </w:r>
      <w:r>
        <w:t xml:space="preserve"> </w:t>
      </w:r>
      <w:r>
        <w:t xml:space="preserve">	</w:t>
      </w:r>
      <w:r>
        <w:t xml:space="preserve">Hassink J. The capacity of soils to preserve organic c and n by their association with clay and silt particles. Plant and Soil. 1997;191: 77–87. doi:</w:t>
      </w:r>
      <w:hyperlink r:id="rId84">
        <w:r>
          <w:rPr>
            <w:rStyle w:val="Hyperlink"/>
          </w:rPr>
          <w:t xml:space="preserve">10.1023/A:1004213929699</w:t>
        </w:r>
      </w:hyperlink>
    </w:p>
    <w:bookmarkEnd w:id="85"/>
    <w:bookmarkStart w:id="87" w:name="ref-Jobbagy2000"/>
    <w:p>
      <w:pPr>
        <w:pStyle w:val="Bibliography"/>
      </w:pPr>
      <w:r>
        <w:t xml:space="preserve">18.</w:t>
      </w:r>
      <w:r>
        <w:t xml:space="preserve"> </w:t>
      </w:r>
      <w:r>
        <w:t xml:space="preserve">	</w:t>
      </w:r>
      <w:r>
        <w:t xml:space="preserve">Jobbágy EG, Jackson RB. The vertical distribution of soil organic carbon and its relation to climate and vegetation. Ecological Applications. 2000;10: 423–436. doi:</w:t>
      </w:r>
      <w:hyperlink r:id="rId86">
        <w:r>
          <w:rPr>
            <w:rStyle w:val="Hyperlink"/>
          </w:rPr>
          <w:t xml:space="preserve">10.1890/1051-0761(2000)010[0423:TVDOSO]2.0.CO;2</w:t>
        </w:r>
      </w:hyperlink>
    </w:p>
    <w:bookmarkEnd w:id="87"/>
    <w:bookmarkStart w:id="89" w:name="ref-Roberts2017"/>
    <w:p>
      <w:pPr>
        <w:pStyle w:val="Bibliography"/>
      </w:pPr>
      <w:r>
        <w:t xml:space="preserve">19.</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8">
        <w:r>
          <w:rPr>
            <w:rStyle w:val="Hyperlink"/>
          </w:rPr>
          <w:t xml:space="preserve">10.1111/ecog.02881</w:t>
        </w:r>
      </w:hyperlink>
    </w:p>
    <w:bookmarkEnd w:id="89"/>
    <w:bookmarkStart w:id="91" w:name="ref-CinelliHazlett2020"/>
    <w:p>
      <w:pPr>
        <w:pStyle w:val="Bibliography"/>
      </w:pPr>
      <w:r>
        <w:t xml:space="preserve">20.</w:t>
      </w:r>
      <w:r>
        <w:t xml:space="preserve"> </w:t>
      </w:r>
      <w:r>
        <w:t xml:space="preserve">	</w:t>
      </w:r>
      <w:r>
        <w:t xml:space="preserve">Cinelli C, Hazlett C. Making sense of sensitivity: Extending omitted variable bias. Journal of the Royal Statistical Society: Series B. 2020;82: 39–67. doi:</w:t>
      </w:r>
      <w:hyperlink r:id="rId90">
        <w:r>
          <w:rPr>
            <w:rStyle w:val="Hyperlink"/>
          </w:rPr>
          <w:t xml:space="preserve">10.1111/rssb.12348</w:t>
        </w:r>
      </w:hyperlink>
    </w:p>
    <w:bookmarkEnd w:id="91"/>
    <w:bookmarkEnd w:id="92"/>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2026-08-11T19:42:06Z</dcterms:created>
  <dcterms:modified xsi:type="dcterms:W3CDTF">2026-08-11T19:42:06Z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