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0.74, and 0.72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10]</w:t>
      </w:r>
      <w:r>
        <w:t xml:space="preserve"> </w:t>
      </w:r>
      <w:r>
        <w:t xml:space="preserve">carrying a fourth shape parameter. The defensible steady-state balance for soil carbon is an advection–reaction–diffusion equation</w:t>
      </w:r>
      <w:r>
        <w:t xml:space="preserve"> </w:t>
      </w:r>
      <w:r>
        <w:t xml:space="preserve">[11,12]</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[13,14]</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[15]</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[16]</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[17]</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Four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And the interpretation of the parameters rests, on the evidence above, on one weak directional association and one anchor that turned out to be internal.</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[18]</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[19]</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7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7.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1.7</w:t>
            </w:r>
          </w:p>
        </w:tc>
      </w:tr>
      <w:tr>
        <w:tc>
          <w:tcPr/>
          <w:p>
            <w:pPr>
              <w:pStyle w:val="Compact"/>
              <w:jc w:val="left"/>
            </w:pPr>
            <w:r>
              <w:t xml:space="preserve">P7 BHS</w:t>
            </w:r>
          </w:p>
        </w:tc>
        <w:tc>
          <w:tcPr/>
          <w:p>
            <w:pPr>
              <w:pStyle w:val="Compact"/>
              <w:jc w:val="right"/>
            </w:pPr>
            <w:r>
              <w:t xml:space="preserve">0.603</w:t>
            </w:r>
          </w:p>
        </w:tc>
        <w:tc>
          <w:tcPr/>
          <w:p>
            <w:pPr>
              <w:pStyle w:val="Compact"/>
              <w:jc w:val="right"/>
            </w:pPr>
            <w:r>
              <w:t xml:space="preserve">0.151</w:t>
            </w:r>
          </w:p>
        </w:tc>
        <w:tc>
          <w:tcPr/>
          <w:p>
            <w:pPr>
              <w:pStyle w:val="Compact"/>
              <w:jc w:val="right"/>
            </w:pPr>
            <w:r>
              <w:t xml:space="preserve">0.020</w:t>
            </w:r>
          </w:p>
        </w:tc>
        <w:tc>
          <w:tcPr/>
          <w:p>
            <w:pPr>
              <w:pStyle w:val="Compact"/>
              <w:jc w:val="right"/>
            </w:pPr>
            <w:r>
              <w:t xml:space="preserve">0.919</w:t>
            </w:r>
          </w:p>
        </w:tc>
        <w:tc>
          <w:tcPr/>
          <w:p>
            <w:pPr>
              <w:pStyle w:val="Compact"/>
              <w:jc w:val="right"/>
            </w:pPr>
            <w:r>
              <w:t xml:space="preserve">2.161</w:t>
            </w:r>
          </w:p>
        </w:tc>
        <w:tc>
          <w:tcPr/>
          <w:p>
            <w:pPr>
              <w:pStyle w:val="Compact"/>
              <w:jc w:val="right"/>
            </w:pPr>
            <w:r>
              <w:t xml:space="preserve">0.339</w:t>
            </w:r>
          </w:p>
        </w:tc>
        <w:tc>
          <w:tcPr/>
          <w:p>
            <w:pPr>
              <w:pStyle w:val="Compact"/>
              <w:jc w:val="right"/>
            </w:pPr>
            <w:r>
              <w:t xml:space="preserve">70.3</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86.5</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761.7</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188.8</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762 s against 2.3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0.599</w:t>
            </w:r>
          </w:p>
        </w:tc>
        <w:tc>
          <w:tcPr/>
          <w:p>
            <w:pPr>
              <w:pStyle w:val="Compact"/>
              <w:jc w:val="right"/>
            </w:pPr>
            <w:r>
              <w:t xml:space="preserve">0.603</w:t>
            </w:r>
          </w:p>
        </w:tc>
        <w:tc>
          <w:tcPr/>
          <w:p>
            <w:pPr>
              <w:pStyle w:val="Compact"/>
              <w:jc w:val="right"/>
            </w:pPr>
            <w:r>
              <w:t xml:space="preserve">0.004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8.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0.743</w:t>
            </w:r>
          </w:p>
        </w:tc>
        <w:tc>
          <w:tcPr/>
          <w:p>
            <w:pPr>
              <w:pStyle w:val="Compact"/>
              <w:jc w:val="right"/>
            </w:pPr>
            <w:r>
              <w:t xml:space="preserve">0.716</w:t>
            </w:r>
          </w:p>
        </w:tc>
        <w:tc>
          <w:tcPr/>
          <w:p>
            <w:pPr>
              <w:pStyle w:val="Compact"/>
              <w:jc w:val="right"/>
            </w:pPr>
            <w:r>
              <w:t xml:space="preserve">0.008</w:t>
            </w:r>
          </w:p>
        </w:tc>
        <w:tc>
          <w:tcPr/>
          <w:p>
            <w:pPr>
              <w:pStyle w:val="Compact"/>
              <w:jc w:val="right"/>
            </w:pPr>
            <w:r>
              <w:t xml:space="preserve">0.79000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9.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0.743</m:t>
        </m:r>
      </m:oMath>
      <w:r>
        <w:t xml:space="preserve">), and it survives the covariate control almost intact (</w:t>
      </w:r>
      <m:oMath>
        <m:r>
          <m:t>0.716</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7, whose bundle is bound to the current code by the test suite.</w:t>
      </w:r>
    </w:p>
    <w:p>
      <w:pPr>
        <w:pStyle w:val="Heading2"/>
      </w:pPr>
      <w:r>
        <w:t xml:space="preserve">Backdoor adjustment yields robust associations, and exposes confounding</w:t>
      </w:r>
    </w:p>
    <w:p>
      <w:pPr>
        <w:pStyle w:val="FirstParagraph"/>
      </w:pPr>
      <w:r>
        <w:t xml:space="preserve">Table 10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10.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10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10,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0"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Minasny2016"/>
    <w:p>
      <w:pPr>
        <w:pStyle w:val="Bibliography"/>
      </w:pPr>
      <w:r>
        <w:t xml:space="preserve">10.</w:t>
      </w:r>
      <w:r>
        <w:t xml:space="preserve"> </w:t>
      </w:r>
      <w:r>
        <w:t xml:space="preserve">	</w:t>
      </w:r>
      <w:r>
        <w:t xml:space="preserve">Minasny B, McBratney AB. Digital soil mapping: A brief history and some lessons learned. Geoderma. 2016;264: 301–311. doi:</w:t>
      </w:r>
      <w:hyperlink r:id="rId70">
        <w:r>
          <w:rPr>
            <w:rStyle w:val="Hyperlink"/>
          </w:rPr>
          <w:t xml:space="preserve">10.1016/j.geoderma.2015.07.017</w:t>
        </w:r>
      </w:hyperlink>
    </w:p>
    <w:bookmarkEnd w:id="71"/>
    <w:bookmarkStart w:id="73" w:name="ref-Elzein1995"/>
    <w:p>
      <w:pPr>
        <w:pStyle w:val="Bibliography"/>
      </w:pPr>
      <w:r>
        <w:t xml:space="preserve">11.</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2">
        <w:r>
          <w:rPr>
            <w:rStyle w:val="Hyperlink"/>
          </w:rPr>
          <w:t xml:space="preserve">10.2136/sssaj1995.03615995005900050019x</w:t>
        </w:r>
      </w:hyperlink>
    </w:p>
    <w:bookmarkEnd w:id="73"/>
    <w:bookmarkStart w:id="75" w:name="ref-Braakhekke2011"/>
    <w:p>
      <w:pPr>
        <w:pStyle w:val="Bibliography"/>
      </w:pPr>
      <w:r>
        <w:t xml:space="preserve">12.</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4">
        <w:r>
          <w:rPr>
            <w:rStyle w:val="Hyperlink"/>
          </w:rPr>
          <w:t xml:space="preserve">10.1016/j.ecolmodel.2011.02.015</w:t>
        </w:r>
      </w:hyperlink>
    </w:p>
    <w:bookmarkEnd w:id="75"/>
    <w:bookmarkStart w:id="77" w:name="ref-Gale1987"/>
    <w:p>
      <w:pPr>
        <w:pStyle w:val="Bibliography"/>
      </w:pPr>
      <w:r>
        <w:t xml:space="preserve">13.</w:t>
      </w:r>
      <w:r>
        <w:t xml:space="preserve"> </w:t>
      </w:r>
      <w:r>
        <w:t xml:space="preserve">	</w:t>
      </w:r>
      <w:r>
        <w:t xml:space="preserve">Gale MR, Grigal DF. Vertical root distributions of northern tree species in relation to successional status. Canadian Journal of Forest Research. 1987;17: 829–834. doi:</w:t>
      </w:r>
      <w:hyperlink r:id="rId76">
        <w:r>
          <w:rPr>
            <w:rStyle w:val="Hyperlink"/>
          </w:rPr>
          <w:t xml:space="preserve">10.1139/x87-131</w:t>
        </w:r>
      </w:hyperlink>
    </w:p>
    <w:bookmarkEnd w:id="77"/>
    <w:bookmarkStart w:id="79" w:name="ref-Jackson1996"/>
    <w:p>
      <w:pPr>
        <w:pStyle w:val="Bibliography"/>
      </w:pPr>
      <w:r>
        <w:t xml:space="preserve">14.</w:t>
      </w:r>
      <w:r>
        <w:t xml:space="preserve"> </w:t>
      </w:r>
      <w:r>
        <w:t xml:space="preserve">	</w:t>
      </w:r>
      <w:r>
        <w:t xml:space="preserve">Jackson RB, Canadell J, Ehleringer JR, Mooney HA, Sala OE, Schulze ED. A global analysis of root distributions for terrestrial biomes. Oecologia. 1996;108: 389–411. doi:</w:t>
      </w:r>
      <w:hyperlink r:id="rId78">
        <w:r>
          <w:rPr>
            <w:rStyle w:val="Hyperlink"/>
          </w:rPr>
          <w:t xml:space="preserve">10.1007/BF00333714</w:t>
        </w:r>
      </w:hyperlink>
    </w:p>
    <w:bookmarkEnd w:id="79"/>
    <w:bookmarkStart w:id="81" w:name="ref-Cambardella1994"/>
    <w:p>
      <w:pPr>
        <w:pStyle w:val="Bibliography"/>
      </w:pPr>
      <w:r>
        <w:t xml:space="preserve">15.</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0">
        <w:r>
          <w:rPr>
            <w:rStyle w:val="Hyperlink"/>
          </w:rPr>
          <w:t xml:space="preserve">10.2136/sssaj1994.03615995005800050033x</w:t>
        </w:r>
      </w:hyperlink>
    </w:p>
    <w:bookmarkEnd w:id="81"/>
    <w:bookmarkStart w:id="83" w:name="ref-Hassink1997"/>
    <w:p>
      <w:pPr>
        <w:pStyle w:val="Bibliography"/>
      </w:pPr>
      <w:r>
        <w:t xml:space="preserve">16.</w:t>
      </w:r>
      <w:r>
        <w:t xml:space="preserve"> </w:t>
      </w:r>
      <w:r>
        <w:t xml:space="preserve">	</w:t>
      </w:r>
      <w:r>
        <w:t xml:space="preserve">Hassink J. The capacity of soils to preserve organic c and n by their association with clay and silt particles. Plant and Soil. 1997;191: 77–87. doi:</w:t>
      </w:r>
      <w:hyperlink r:id="rId82">
        <w:r>
          <w:rPr>
            <w:rStyle w:val="Hyperlink"/>
          </w:rPr>
          <w:t xml:space="preserve">10.1023/A:1004213929699</w:t>
        </w:r>
      </w:hyperlink>
    </w:p>
    <w:bookmarkEnd w:id="83"/>
    <w:bookmarkStart w:id="85" w:name="ref-Jobbagy2000"/>
    <w:p>
      <w:pPr>
        <w:pStyle w:val="Bibliography"/>
      </w:pPr>
      <w:r>
        <w:t xml:space="preserve">17.</w:t>
      </w:r>
      <w:r>
        <w:t xml:space="preserve"> </w:t>
      </w:r>
      <w:r>
        <w:t xml:space="preserve">	</w:t>
      </w:r>
      <w:r>
        <w:t xml:space="preserve">Jobbágy EG, Jackson RB. The vertical distribution of soil organic carbon and its relation to climate and vegetation. Ecological Applications. 2000;10: 423–436. doi:</w:t>
      </w:r>
      <w:hyperlink r:id="rId84">
        <w:r>
          <w:rPr>
            <w:rStyle w:val="Hyperlink"/>
          </w:rPr>
          <w:t xml:space="preserve">10.1890/1051-0761(2000)010[0423:TVDOSO]2.0.CO;2</w:t>
        </w:r>
      </w:hyperlink>
    </w:p>
    <w:bookmarkEnd w:id="85"/>
    <w:bookmarkStart w:id="87" w:name="ref-Roberts2017"/>
    <w:p>
      <w:pPr>
        <w:pStyle w:val="Bibliography"/>
      </w:pPr>
      <w:r>
        <w:t xml:space="preserve">18.</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6">
        <w:r>
          <w:rPr>
            <w:rStyle w:val="Hyperlink"/>
          </w:rPr>
          <w:t xml:space="preserve">10.1111/ecog.02881</w:t>
        </w:r>
      </w:hyperlink>
    </w:p>
    <w:bookmarkEnd w:id="87"/>
    <w:bookmarkStart w:id="89" w:name="ref-CinelliHazlett2020"/>
    <w:p>
      <w:pPr>
        <w:pStyle w:val="Bibliography"/>
      </w:pPr>
      <w:r>
        <w:t xml:space="preserve">19.</w:t>
      </w:r>
      <w:r>
        <w:t xml:space="preserve"> </w:t>
      </w:r>
      <w:r>
        <w:t xml:space="preserve">	</w:t>
      </w:r>
      <w:r>
        <w:t xml:space="preserve">Cinelli C, Hazlett C. Making sense of sensitivity: Extending omitted variable bias. Journal of the Royal Statistical Society: Series B. 2020;82: 39–67. doi:</w:t>
      </w:r>
      <w:hyperlink r:id="rId88">
        <w:r>
          <w:rPr>
            <w:rStyle w:val="Hyperlink"/>
          </w:rPr>
          <w:t xml:space="preserve">10.1111/rssb.12348</w:t>
        </w:r>
      </w:hyperlink>
    </w:p>
    <w:bookmarkEnd w:id="89"/>
    <w:bookmarkEnd w:id="90"/>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78"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4"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0" Target="https://doi.org/10.1016/j.geoderma.2015.07.017" TargetMode="External" /><Relationship Type="http://schemas.openxmlformats.org/officeDocument/2006/relationships/hyperlink" Id="rId82" Target="https://doi.org/10.1023/A:1004213929699" TargetMode="External" /><Relationship Type="http://schemas.openxmlformats.org/officeDocument/2006/relationships/hyperlink" Id="rId86"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88" Target="https://doi.org/10.1111/rssb.12348" TargetMode="External" /><Relationship Type="http://schemas.openxmlformats.org/officeDocument/2006/relationships/hyperlink" Id="rId76" Target="https://doi.org/10.1139/x87-131" TargetMode="External" /><Relationship Type="http://schemas.openxmlformats.org/officeDocument/2006/relationships/hyperlink" Id="rId62" Target="https://doi.org/10.1371/journal.pone.0169748" TargetMode="External" /><Relationship Type="http://schemas.openxmlformats.org/officeDocument/2006/relationships/hyperlink" Id="rId84" Target="https://doi.org/10.1890/1051-0761(2000)010[0423:TVDOSO]2.0.CO;2" TargetMode="External" /><Relationship Type="http://schemas.openxmlformats.org/officeDocument/2006/relationships/hyperlink" Id="rId80" Target="https://doi.org/10.2136/sssaj1994.03615995005800050033x" TargetMode="External" /><Relationship Type="http://schemas.openxmlformats.org/officeDocument/2006/relationships/hyperlink" Id="rId72"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2026-08-05T19:54:54Z</dcterms:created>
  <dcterms:modified xsi:type="dcterms:W3CDTF">2026-08-05T19:54:54Z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