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 the typical profile and fails without warning on a small minority, and no scope statement available at fit time separates the two: over 1,105 real multi-horizon profiles the pedogenetic equation dy/dz = −λ₀e^(−μz)(y − y∞) predicts a held-out deepest horizon with a median absolute error of 0.76 g/kg and beats every baseline tested on paired comparison, while ten profiles carrying buried organic horizons — 1.1% of the set — account for 99% of its squared error, and the size of that failure correlates with nothing measurable in the horizons above it (|r| &lt; 0.03).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720 of 1,105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two of them fall below the achievable null of the training-fold mean. That comparison is made on spatially blocked folds carrying a 68 km buffer, set from the longest identified variogram range in these data (69 km on the current fits); removing the buffer improves every method slightly and the graph attention network most, as a method built on a spatial neighbour graph should be, but it does not change the ranking. We further show that a pooled coverage rate hides where an interval is wrong: over held-out profiles lying 68 to 870 km from the nearest training profile, the geostatistical model’s interval width tracks that distance (Spearman 0.74, and 0.72 after removing covariate-space distance) while the graph network’s does not (-0.05, and -0.08 partial) even though its error does (0.11, p = 0.0004) – so the only method whose predictive variance is a function of where the prediction is being made is the only one that widens where it should. Third, backdoor adjustment yields robust associations with explicit sensitivity bounds rather than identified causal effects, and adjustment collapses an apparent tree-cover association to near zero, demonstrating confounding directly; we also report that in these data the exposure postdates the outcome by a median of 38 years, which forecloses a causal reading on temporal grounds alone and which no adjustment set can repair.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A note on one word, because this paper uses it in two unrelated senses and they sit close together.</w:t>
      </w:r>
      <w:r>
        <w:t xml:space="preserve"> </w:t>
      </w:r>
      <w:r>
        <w:rPr>
          <w:i/>
          <w:iCs/>
        </w:rPr>
        <w:t xml:space="preserve">Generative</w:t>
      </w:r>
      <w:r>
        <w:t xml:space="preserve"> </w:t>
      </w:r>
      <w:r>
        <w:t xml:space="preserve">in the causal sense above means that the mechanism producing the soil property is written down explicitly, so the model asserts how the world works; that is what Pillar 2’s differential equation attempts.</w:t>
      </w:r>
      <w:r>
        <w:t xml:space="preserve"> </w:t>
      </w:r>
      <w:r>
        <w:rPr>
          <w:i/>
          <w:iCs/>
        </w:rPr>
        <w:t xml:space="preserve">Generative</w:t>
      </w:r>
      <w:r>
        <w:t xml:space="preserve"> </w:t>
      </w:r>
      <w:r>
        <w:t xml:space="preserve">in the machine-learning sense means a model of the joint distribution from which whole realisations can be drawn; that is what Pillar 9’s denoising diffusion model does. The second does not imply the first. A diffusion model can reproduce the spatial statistics of a soil map perfectly while encoding no process at all, and nothing in this paper should be read as claiming that Pillar 9 supports causal inference. Where the distinction matters below we say</w:t>
      </w:r>
      <w:r>
        <w:t xml:space="preserve"> </w:t>
      </w:r>
      <w:r>
        <w:rPr>
          <w:i/>
          <w:iCs/>
        </w:rPr>
        <w:t xml:space="preserve">generative-mechanistic</w:t>
      </w:r>
      <w:r>
        <w:t xml:space="preserve"> </w:t>
      </w:r>
      <w:r>
        <w:t xml:space="preserve">or</w:t>
      </w:r>
      <w:r>
        <w:t xml:space="preserve"> </w:t>
      </w:r>
      <w:r>
        <w:rPr>
          <w:i/>
          <w:iCs/>
        </w:rPr>
        <w:t xml:space="preserve">generative-probabilistic</w:t>
      </w:r>
      <w:r>
        <w:t xml:space="preserv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otherwise incompatible method families — quantile forests, Gibbs samplers, bootstrap ensembles, kernel ridge, contrastive encoders — to a common currency, so that accuracy, coverage and proper scores are comparable across them. Seven of the ten pillars carry a coercion into that class. Three do not, and we say which and why rather than implying completeness: the neural-operator and diffusion pillars return field-valued objects for which a per-site scalar posterior is the wrong shape, and the graph attention network exposes only the spread between ensemble members that differ in their random seed, which is initialisation variance rather than a predictive distribution. Coercing the last of these would make a coverage number computable without making it meaningful, and the benchmark instead constructs its interval explicitly and reports how it was built.</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r>
              <w:t xml:space="preserve"> </w:t>
            </w:r>
            <w:r>
              <w:rPr>
                <w:i/>
                <w:iCs/>
              </w:rPr>
              <w:t xml:space="preserve">Demonstrated on a vegetation-index cube; no repeated soil series exists here</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leave-the-deepest-horizon-out prediction across all 1,105 profiles the lognormal wins on 720 of them (paired Wilcoxon</w:t>
      </w:r>
      <w:r>
        <w:t xml:space="preserve"> </w:t>
      </w:r>
      <m:oMath>
        <m:r>
          <m:t>p</m:t>
        </m:r>
        <m:r>
          <m:rPr>
            <m:sty m:val="p"/>
          </m:rPr>
          <m:t>=</m:t>
        </m:r>
        <m:r>
          <m:t>2</m:t>
        </m:r>
        <m:r>
          <m:rPr>
            <m:sty m:val="p"/>
          </m:rPr>
          <m:t>×</m:t>
        </m:r>
        <m:sSup>
          <m:e>
            <m:r>
              <m:t>10</m:t>
            </m:r>
          </m:e>
          <m:sup>
            <m:r>
              <m:rPr>
                <m:sty m:val="p"/>
              </m:rPr>
              <m:t>−</m:t>
            </m:r>
            <m:r>
              <m:t>30</m:t>
            </m:r>
          </m:sup>
        </m:sSup>
      </m:oMath>
      <w:r>
        <w:t xml:space="preserve">), improving mean absolute error from 2.20 to 2.00 g/kg,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Four-chain MCMC over a real nine-horizon WoSIS profile reaching 550 cm, fitted through the horizon-average operator with a lognormal likelihood, and converged on its own diagnostics (maximum split-</w:t>
      </w:r>
      <m:oMath>
        <m:acc>
          <m:accPr>
            <m:chr m:val="̂"/>
          </m:accPr>
          <m:e>
            <m:r>
              <m:t>R</m:t>
            </m:r>
          </m:e>
        </m:acc>
      </m:oMath>
      <w:r>
        <w:t xml:space="preserve"> </w:t>
      </w:r>
      <w:r>
        <w:t xml:space="preserve">1.007, minimum bulk ESS 760).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26"/>
        <w:gridCol w:w="4940"/>
        <w:gridCol w:w="581"/>
        <w:gridCol w:w="581"/>
        <w:gridCol w:w="581"/>
        <w:gridCol w:w="508"/>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0.0087</w:t>
            </w:r>
          </w:p>
        </w:tc>
        <w:tc>
          <w:tcPr/>
          <w:p>
            <w:pPr>
              <w:pStyle w:val="Compact"/>
              <w:jc w:val="right"/>
            </w:pPr>
            <w:r>
              <w:t xml:space="preserve">0.0042</w:t>
            </w:r>
          </w:p>
        </w:tc>
        <w:tc>
          <w:tcPr/>
          <w:p>
            <w:pPr>
              <w:pStyle w:val="Compact"/>
              <w:jc w:val="right"/>
            </w:pPr>
            <w:r>
              <w:t xml:space="preserve">0.002</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0.0039</w:t>
            </w:r>
          </w:p>
        </w:tc>
        <w:tc>
          <w:tcPr/>
          <w:p>
            <w:pPr>
              <w:pStyle w:val="Compact"/>
              <w:jc w:val="right"/>
            </w:pPr>
            <w:r>
              <w:t xml:space="preserve">0.0026</w:t>
            </w:r>
          </w:p>
        </w:tc>
        <w:tc>
          <w:tcPr/>
          <w:p>
            <w:pPr>
              <w:pStyle w:val="Compact"/>
              <w:jc w:val="right"/>
            </w:pPr>
            <w:r>
              <w:t xml:space="preserve">0.000</w:t>
            </w:r>
          </w:p>
        </w:tc>
        <w:tc>
          <w:tcPr/>
          <w:p>
            <w:pPr>
              <w:pStyle w:val="Compact"/>
              <w:jc w:val="right"/>
            </w:pPr>
            <w:r>
              <w:t xml:space="preserve">0.010</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-5.2912</w:t>
            </w:r>
          </w:p>
        </w:tc>
        <w:tc>
          <w:tcPr/>
          <w:p>
            <w:pPr>
              <w:pStyle w:val="Compact"/>
              <w:jc w:val="right"/>
            </w:pPr>
            <w:r>
              <w:t xml:space="preserve">16.3261</w:t>
            </w:r>
          </w:p>
        </w:tc>
        <w:tc>
          <w:tcPr/>
          <w:p>
            <w:pPr>
              <w:pStyle w:val="Compact"/>
              <w:jc w:val="right"/>
            </w:pPr>
            <w:r>
              <w:t xml:space="preserve">-52.075</w:t>
            </w:r>
          </w:p>
        </w:tc>
        <w:tc>
          <w:tcPr/>
          <w:p>
            <w:pPr>
              <w:pStyle w:val="Compact"/>
              <w:jc w:val="right"/>
            </w:pPr>
            <w:r>
              <w:t xml:space="preserve">3.518</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23.8413</w:t>
            </w:r>
          </w:p>
        </w:tc>
        <w:tc>
          <w:tcPr/>
          <w:p>
            <w:pPr>
              <w:pStyle w:val="Compact"/>
              <w:jc w:val="right"/>
            </w:pPr>
            <w:r>
              <w:t xml:space="preserve">4.5278</w:t>
            </w:r>
          </w:p>
        </w:tc>
        <w:tc>
          <w:tcPr/>
          <w:p>
            <w:pPr>
              <w:pStyle w:val="Compact"/>
              <w:jc w:val="right"/>
            </w:pPr>
            <w:r>
              <w:t xml:space="preserve">17.208</w:t>
            </w:r>
          </w:p>
        </w:tc>
        <w:tc>
          <w:tcPr/>
          <w:p>
            <w:pPr>
              <w:pStyle w:val="Compact"/>
              <w:jc w:val="right"/>
            </w:pPr>
            <w:r>
              <w:t xml:space="preserve">35.111</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4.3052</w:t>
            </w:r>
          </w:p>
        </w:tc>
        <w:tc>
          <w:tcPr/>
          <w:p>
            <w:pPr>
              <w:pStyle w:val="Compact"/>
              <w:jc w:val="right"/>
            </w:pPr>
            <w:r>
              <w:t xml:space="preserve">7.2073</w:t>
            </w:r>
          </w:p>
        </w:tc>
        <w:tc>
          <w:tcPr/>
          <w:p>
            <w:pPr>
              <w:pStyle w:val="Compact"/>
              <w:jc w:val="right"/>
            </w:pPr>
            <w:r>
              <w:t xml:space="preserve">0.327</w:t>
            </w:r>
          </w:p>
        </w:tc>
        <w:tc>
          <w:tcPr/>
          <w:p>
            <w:pPr>
              <w:pStyle w:val="Compact"/>
              <w:jc w:val="right"/>
            </w:pPr>
            <w:r>
              <w:t xml:space="preserve">20.147</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2.0481</w:t>
            </w:r>
          </w:p>
        </w:tc>
        <w:tc>
          <w:tcPr/>
          <w:p>
            <w:pPr>
              <w:pStyle w:val="Compact"/>
              <w:jc w:val="right"/>
            </w:pPr>
            <w:r>
              <w:t xml:space="preserve">0.9523</w:t>
            </w:r>
          </w:p>
        </w:tc>
        <w:tc>
          <w:tcPr/>
          <w:p>
            <w:pPr>
              <w:pStyle w:val="Compact"/>
              <w:jc w:val="right"/>
            </w:pPr>
            <w:r>
              <w:t xml:space="preserve">0.417</w:t>
            </w:r>
          </w:p>
        </w:tc>
        <w:tc>
          <w:tcPr/>
          <w:p>
            <w:pPr>
              <w:pStyle w:val="Compact"/>
              <w:jc w:val="right"/>
            </w:pPr>
            <w:r>
              <w:t xml:space="preserve">3.990</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0.2297</w:t>
            </w:r>
          </w:p>
        </w:tc>
        <w:tc>
          <w:tcPr/>
          <w:p>
            <w:pPr>
              <w:pStyle w:val="Compact"/>
              <w:jc w:val="right"/>
            </w:pPr>
            <w:r>
              <w:t xml:space="preserve">0.0745</w:t>
            </w:r>
          </w:p>
        </w:tc>
        <w:tc>
          <w:tcPr/>
          <w:p>
            <w:pPr>
              <w:pStyle w:val="Compact"/>
              <w:jc w:val="right"/>
            </w:pPr>
            <w:r>
              <w:t xml:space="preserve">0.131</w:t>
            </w:r>
          </w:p>
        </w:tc>
        <w:tc>
          <w:tcPr/>
          <w:p>
            <w:pPr>
              <w:pStyle w:val="Compact"/>
              <w:jc w:val="right"/>
            </w:pPr>
            <w:r>
              <w:t xml:space="preserve">0.414</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Two ribbons are drawn because they claim different things: the inner is the 95%</w:t>
      </w:r>
      <w:r>
        <w:t xml:space="preserve"> </w:t>
      </w:r>
      <w:r>
        <w:rPr>
          <w:i/>
          <w:iCs/>
        </w:rPr>
        <w:t xml:space="preserve">pointwise</w:t>
      </w:r>
      <w:r>
        <w:t xml:space="preserve"> </w:t>
      </w:r>
      <w:r>
        <w:t xml:space="preserve">band, which covers each depth taken separately, and the outer is the 95%</w:t>
      </w:r>
      <w:r>
        <w:t xml:space="preserve"> </w:t>
      </w:r>
      <w:r>
        <w:rPr>
          <w:i/>
          <w:iCs/>
        </w:rPr>
        <w:t xml:space="preserve">simultaneous</w:t>
      </w:r>
      <w:r>
        <w:t xml:space="preserve"> </w:t>
      </w:r>
      <w:r>
        <w:t xml:space="preserve">(sup-t) band</w:t>
      </w:r>
      <w:r>
        <w:t xml:space="preserve"> </w:t>
      </w:r>
      <w:r>
        <w:t xml:space="preserve">[9]</w:t>
      </w:r>
      <w:r>
        <w:t xml:space="preserve">, which covers the whole curve. Over the 120 depths plotted the distinction is not decorative — resampling the posterior draws through this fit, the pointwise ribbon contains a complete curve only 80% of the time. A single ribbon labelled</w:t>
      </w:r>
      <w:r>
        <w:t xml:space="preserve"> </w:t>
      </w:r>
      <w:r>
        <w:t xml:space="preserve">“the 95% band”</w:t>
      </w:r>
      <w:r>
        <w:t xml:space="preserve"> </w:t>
      </w:r>
      <w:r>
        <w:t xml:space="preserve">for a profile is the pointwise one, and it overstates its coverage.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23.8 g/kg with an interval 17.9 g/kg wide, and the attainable deep value is identified and admissible at 2.05 g/kg, interval [0.42, 3.99]. The coordinate</w:t>
      </w:r>
      <w:r>
        <w:t xml:space="preserve"> </w:t>
      </w:r>
      <m:oMath>
        <m:sSub>
          <m:e>
            <m:r>
              <m:t>y</m:t>
            </m:r>
          </m:e>
          <m:sub>
            <m:r>
              <m:rPr>
                <m:sty m:val="p"/>
              </m:rPr>
              <m:t>∞</m:t>
            </m:r>
          </m:sub>
        </m:sSub>
      </m:oMath>
      <w:r>
        <w:t xml:space="preserve"> </w:t>
      </w:r>
      <w:r>
        <w:t xml:space="preserve">is not identified: its interval, [-52.1, 3.5], is 15.6 times wider and reaches into negative carbon. Nine horizons to 550 cm do constrain where the profile is heading; what they cannot do is locate a coordinate the profile never visits. The last row is the observation noise, a coefficient of variation of 0.23 — a 23% relative error, which is the right order for laboratory organic carbon and would have been an uninterpretable 1.5 g/kg under the Gaussian.</w:t>
      </w:r>
    </w:p>
    <w:p>
      <w:pPr>
        <w:pStyle w:val="BodyText"/>
      </w:pPr>
      <w:r>
        <w:rPr>
          <w:b/>
          <w:bCs/>
        </w:rPr>
        <w:t xml:space="preserve">The approximation we used to report matters here.</w:t>
      </w:r>
      <w:r>
        <w:t xml:space="preserve"> </w:t>
      </w:r>
      <w:r>
        <w:t xml:space="preserve">Through an earlier version of this work every Bayesian number above came from a Laplace approximation, and on this pedon it misrepresents the posterior in a specific and reproducible way. Being Gaussian on the log coordinates, it is too light-tailed, and 5 of the 7 intervals come out narrower than the sampler’s —</w:t>
      </w:r>
      <w:r>
        <w:t xml:space="preserve"> </w:t>
      </w:r>
      <m:oMath>
        <m:r>
          <m:t>κ</m:t>
        </m:r>
      </m:oMath>
      <w:r>
        <w:t xml:space="preserve"> </w:t>
      </w:r>
      <w:r>
        <w:t xml:space="preserve">and</w:t>
      </w:r>
      <w:r>
        <w:t xml:space="preserve"> </w:t>
      </w:r>
      <m:oMath>
        <m:sSub>
          <m:e>
            <m:r>
              <m:t>y</m:t>
            </m:r>
          </m:e>
          <m:sub>
            <m:r>
              <m:rPr>
                <m:sty m:val="p"/>
              </m:rPr>
              <m:t>∞</m:t>
            </m:r>
          </m:sub>
        </m:sSub>
      </m:oMath>
      <w:r>
        <w:t xml:space="preserve"> </w:t>
      </w:r>
      <w:r>
        <w:t xml:space="preserve">by a factor above two, the observation noise by 1.8. That last one is not a technicality: the coefficient of variation reads 0.168 under Laplace against 0.230 here, the difference between claiming a 17% and a 23% laboratory error.</w:t>
      </w:r>
    </w:p>
    <w:p>
      <w:pPr>
        <w:pStyle w:val="BodyText"/>
      </w:pPr>
      <w:r>
        <w:t xml:space="preserve">Two rows do not follow the pattern, and both are informative. The attainable deep value</w:t>
      </w:r>
      <w:r>
        <w:t xml:space="preserve"> </w:t>
      </w:r>
      <m:oMath>
        <m:r>
          <m:t>y</m:t>
        </m:r>
        <m:r>
          <m:rPr>
            <m:sty m:val="p"/>
          </m:rPr>
          <m:t>(</m:t>
        </m:r>
        <m:r>
          <m:rPr>
            <m:sty m:val="p"/>
          </m:rPr>
          <m:t>∞</m:t>
        </m:r>
        <m:r>
          <m:rPr>
            <m:sty m:val="p"/>
          </m:rPr>
          <m:t>)</m:t>
        </m:r>
      </m:oMath>
      <w:r>
        <w:t xml:space="preserve"> </w:t>
      </w:r>
      <w:r>
        <w:t xml:space="preserve">is essentially unchanged (width ratio 1.01), and</w:t>
      </w:r>
      <w:r>
        <w:t xml:space="preserve"> </w:t>
      </w:r>
      <m:oMath>
        <m:r>
          <m:t>μ</m:t>
        </m:r>
      </m:oMath>
      <w:r>
        <w:t xml:space="preserve"> </w:t>
      </w:r>
      <w:r>
        <w:t xml:space="preserve">is actually</w:t>
      </w:r>
      <w:r>
        <w:t xml:space="preserve"> </w:t>
      </w:r>
      <w:r>
        <w:rPr>
          <w:i/>
          <w:iCs/>
        </w:rPr>
        <w:t xml:space="preserve">wider</w:t>
      </w:r>
      <w:r>
        <w:t xml:space="preserve"> </w:t>
      </w:r>
      <w:r>
        <w:t xml:space="preserve">under the approximation (0.85). So this is not a uniform inflation: the quantity the data identify is robust to how the posterior is approximated, and the quantities they do not identify are the ones that move. That is the same division the rest of this section reports, arrived at by a different route.</w:t>
      </w:r>
    </w:p>
    <w:tbl>
      <w:tblPr>
        <w:tblStyle w:val="Table"/>
        <w:tblW w:type="pct" w:w="5000"/>
        <w:tblLayout w:type="fixed"/>
        <w:tblLook w:firstRow="1" w:lastRow="0" w:firstColumn="0" w:lastColumn="0" w:noHBand="0" w:noVBand="0" w:val="0020"/>
      </w:tblPr>
      <w:tblGrid>
        <w:gridCol w:w="1131"/>
        <w:gridCol w:w="1470"/>
        <w:gridCol w:w="1131"/>
        <w:gridCol w:w="1584"/>
        <w:gridCol w:w="1244"/>
        <w:gridCol w:w="1357"/>
      </w:tblGrid>
      <w:tr>
        <w:trPr>
          <w:tblHeader w:val="on"/>
        </w:trPr>
        <w:tc>
          <w:tcPr/>
          <w:p>
            <w:pPr>
              <w:pStyle w:val="Compact"/>
              <w:jc w:val="left"/>
            </w:pPr>
            <w:r>
              <w:t xml:space="preserve">Parameter</w:t>
            </w:r>
          </w:p>
        </w:tc>
        <w:tc>
          <w:tcPr/>
          <w:p>
            <w:pPr>
              <w:pStyle w:val="Compact"/>
              <w:jc w:val="right"/>
            </w:pPr>
            <w:r>
              <w:t xml:space="preserve">Laplace mean</w:t>
            </w:r>
          </w:p>
        </w:tc>
        <w:tc>
          <w:tcPr/>
          <w:p>
            <w:pPr>
              <w:pStyle w:val="Compact"/>
              <w:jc w:val="right"/>
            </w:pPr>
            <w:r>
              <w:t xml:space="preserve">MCMC mean</w:t>
            </w:r>
          </w:p>
        </w:tc>
        <w:tc>
          <w:tcPr/>
          <w:p>
            <w:pPr>
              <w:pStyle w:val="Compact"/>
              <w:jc w:val="right"/>
            </w:pPr>
            <w:r>
              <w:t xml:space="preserve">Laplace width</w:t>
            </w:r>
          </w:p>
        </w:tc>
        <w:tc>
          <w:tcPr/>
          <w:p>
            <w:pPr>
              <w:pStyle w:val="Compact"/>
              <w:jc w:val="right"/>
            </w:pPr>
            <w:r>
              <w:t xml:space="preserve">MCMC width</w:t>
            </w:r>
          </w:p>
        </w:tc>
        <w:tc>
          <w:tcPr/>
          <w:p>
            <w:pPr>
              <w:pStyle w:val="Compact"/>
              <w:jc w:val="right"/>
            </w:pPr>
            <w:r>
              <w:t xml:space="preserve">Width ratio</w:t>
            </w:r>
          </w:p>
        </w:tc>
      </w:tr>
      <w:tr>
        <w:tc>
          <w:tcPr/>
          <w:p>
            <w:pPr>
              <w:pStyle w:val="Compact"/>
              <w:jc w:val="left"/>
            </w:pPr>
            <w:r>
              <w:t xml:space="preserve">kappa</w:t>
            </w:r>
          </w:p>
        </w:tc>
        <w:tc>
          <w:tcPr/>
          <w:p>
            <w:pPr>
              <w:pStyle w:val="Compact"/>
              <w:jc w:val="right"/>
            </w:pPr>
            <w:r>
              <w:t xml:space="preserve">3.0343</w:t>
            </w:r>
          </w:p>
        </w:tc>
        <w:tc>
          <w:tcPr/>
          <w:p>
            <w:pPr>
              <w:pStyle w:val="Compact"/>
              <w:jc w:val="right"/>
            </w:pPr>
            <w:r>
              <w:t xml:space="preserve">4.3052</w:t>
            </w:r>
          </w:p>
        </w:tc>
        <w:tc>
          <w:tcPr/>
          <w:p>
            <w:pPr>
              <w:pStyle w:val="Compact"/>
              <w:jc w:val="right"/>
            </w:pPr>
            <w:r>
              <w:t xml:space="preserve">8.777</w:t>
            </w:r>
          </w:p>
        </w:tc>
        <w:tc>
          <w:tcPr/>
          <w:p>
            <w:pPr>
              <w:pStyle w:val="Compact"/>
              <w:jc w:val="right"/>
            </w:pPr>
            <w:r>
              <w:t xml:space="preserve">19.820</w:t>
            </w:r>
          </w:p>
        </w:tc>
        <w:tc>
          <w:tcPr/>
          <w:p>
            <w:pPr>
              <w:pStyle w:val="Compact"/>
              <w:jc w:val="right"/>
            </w:pPr>
            <w:r>
              <w:t xml:space="preserve">2.26</w:t>
            </w:r>
          </w:p>
        </w:tc>
      </w:tr>
      <w:tr>
        <w:tc>
          <w:tcPr/>
          <w:p>
            <w:pPr>
              <w:pStyle w:val="Compact"/>
              <w:jc w:val="left"/>
            </w:pPr>
            <w:r>
              <w:t xml:space="preserve">lambda0</w:t>
            </w:r>
          </w:p>
        </w:tc>
        <w:tc>
          <w:tcPr/>
          <w:p>
            <w:pPr>
              <w:pStyle w:val="Compact"/>
              <w:jc w:val="right"/>
            </w:pPr>
            <w:r>
              <w:t xml:space="preserve">0.0105</w:t>
            </w:r>
          </w:p>
        </w:tc>
        <w:tc>
          <w:tcPr/>
          <w:p>
            <w:pPr>
              <w:pStyle w:val="Compact"/>
              <w:jc w:val="right"/>
            </w:pPr>
            <w:r>
              <w:t xml:space="preserve">0.0087</w:t>
            </w:r>
          </w:p>
        </w:tc>
        <w:tc>
          <w:tcPr/>
          <w:p>
            <w:pPr>
              <w:pStyle w:val="Compact"/>
              <w:jc w:val="right"/>
            </w:pPr>
            <w:r>
              <w:t xml:space="preserve">0.014</w:t>
            </w:r>
          </w:p>
        </w:tc>
        <w:tc>
          <w:tcPr/>
          <w:p>
            <w:pPr>
              <w:pStyle w:val="Compact"/>
              <w:jc w:val="right"/>
            </w:pPr>
            <w:r>
              <w:t xml:space="preserve">0.017</w:t>
            </w:r>
          </w:p>
        </w:tc>
        <w:tc>
          <w:tcPr/>
          <w:p>
            <w:pPr>
              <w:pStyle w:val="Compact"/>
              <w:jc w:val="right"/>
            </w:pPr>
            <w:r>
              <w:t xml:space="preserve">1.21</w:t>
            </w:r>
          </w:p>
        </w:tc>
      </w:tr>
      <w:tr>
        <w:tc>
          <w:tcPr/>
          <w:p>
            <w:pPr>
              <w:pStyle w:val="Compact"/>
              <w:jc w:val="left"/>
            </w:pPr>
            <w:r>
              <w:t xml:space="preserve">mu</w:t>
            </w:r>
          </w:p>
        </w:tc>
        <w:tc>
          <w:tcPr/>
          <w:p>
            <w:pPr>
              <w:pStyle w:val="Compact"/>
              <w:jc w:val="right"/>
            </w:pPr>
            <w:r>
              <w:t xml:space="preserve">0.0048</w:t>
            </w:r>
          </w:p>
        </w:tc>
        <w:tc>
          <w:tcPr/>
          <w:p>
            <w:pPr>
              <w:pStyle w:val="Compact"/>
              <w:jc w:val="right"/>
            </w:pPr>
            <w:r>
              <w:t xml:space="preserve">0.0039</w:t>
            </w:r>
          </w:p>
        </w:tc>
        <w:tc>
          <w:tcPr/>
          <w:p>
            <w:pPr>
              <w:pStyle w:val="Compact"/>
              <w:jc w:val="right"/>
            </w:pPr>
            <w:r>
              <w:t xml:space="preserve">0.011</w:t>
            </w:r>
          </w:p>
        </w:tc>
        <w:tc>
          <w:tcPr/>
          <w:p>
            <w:pPr>
              <w:pStyle w:val="Compact"/>
              <w:jc w:val="right"/>
            </w:pPr>
            <w:r>
              <w:t xml:space="preserve">0.010</w:t>
            </w:r>
          </w:p>
        </w:tc>
        <w:tc>
          <w:tcPr/>
          <w:p>
            <w:pPr>
              <w:pStyle w:val="Compact"/>
              <w:jc w:val="right"/>
            </w:pPr>
            <w:r>
              <w:t xml:space="preserve">0.85</w:t>
            </w:r>
          </w:p>
        </w:tc>
      </w:tr>
      <w:tr>
        <w:tc>
          <w:tcPr/>
          <w:p>
            <w:pPr>
              <w:pStyle w:val="Compact"/>
              <w:jc w:val="left"/>
            </w:pPr>
            <w:r>
              <w:t xml:space="preserve">sigma</w:t>
            </w:r>
          </w:p>
        </w:tc>
        <w:tc>
          <w:tcPr/>
          <w:p>
            <w:pPr>
              <w:pStyle w:val="Compact"/>
              <w:jc w:val="right"/>
            </w:pPr>
            <w:r>
              <w:t xml:space="preserve">0.1684</w:t>
            </w:r>
          </w:p>
        </w:tc>
        <w:tc>
          <w:tcPr/>
          <w:p>
            <w:pPr>
              <w:pStyle w:val="Compact"/>
              <w:jc w:val="right"/>
            </w:pPr>
            <w:r>
              <w:t xml:space="preserve">0.2297</w:t>
            </w:r>
          </w:p>
        </w:tc>
        <w:tc>
          <w:tcPr/>
          <w:p>
            <w:pPr>
              <w:pStyle w:val="Compact"/>
              <w:jc w:val="right"/>
            </w:pPr>
            <w:r>
              <w:t xml:space="preserve">0.157</w:t>
            </w:r>
          </w:p>
        </w:tc>
        <w:tc>
          <w:tcPr/>
          <w:p>
            <w:pPr>
              <w:pStyle w:val="Compact"/>
              <w:jc w:val="right"/>
            </w:pPr>
            <w:r>
              <w:t xml:space="preserve">0.284</w:t>
            </w:r>
          </w:p>
        </w:tc>
        <w:tc>
          <w:tcPr/>
          <w:p>
            <w:pPr>
              <w:pStyle w:val="Compact"/>
              <w:jc w:val="right"/>
            </w:pPr>
            <w:r>
              <w:t xml:space="preserve">1.81</w:t>
            </w:r>
          </w:p>
        </w:tc>
      </w:tr>
      <w:tr>
        <w:tc>
          <w:tcPr/>
          <w:p>
            <w:pPr>
              <w:pStyle w:val="Compact"/>
              <w:jc w:val="left"/>
            </w:pPr>
            <w:r>
              <w:t xml:space="preserve">y_asym</w:t>
            </w:r>
          </w:p>
        </w:tc>
        <w:tc>
          <w:tcPr/>
          <w:p>
            <w:pPr>
              <w:pStyle w:val="Compact"/>
              <w:jc w:val="right"/>
            </w:pPr>
            <w:r>
              <w:t xml:space="preserve">2.2205</w:t>
            </w:r>
          </w:p>
        </w:tc>
        <w:tc>
          <w:tcPr/>
          <w:p>
            <w:pPr>
              <w:pStyle w:val="Compact"/>
              <w:jc w:val="right"/>
            </w:pPr>
            <w:r>
              <w:t xml:space="preserve">2.0481</w:t>
            </w:r>
          </w:p>
        </w:tc>
        <w:tc>
          <w:tcPr/>
          <w:p>
            <w:pPr>
              <w:pStyle w:val="Compact"/>
              <w:jc w:val="right"/>
            </w:pPr>
            <w:r>
              <w:t xml:space="preserve">3.533</w:t>
            </w:r>
          </w:p>
        </w:tc>
        <w:tc>
          <w:tcPr/>
          <w:p>
            <w:pPr>
              <w:pStyle w:val="Compact"/>
              <w:jc w:val="right"/>
            </w:pPr>
            <w:r>
              <w:t xml:space="preserve">3.573</w:t>
            </w:r>
          </w:p>
        </w:tc>
        <w:tc>
          <w:tcPr/>
          <w:p>
            <w:pPr>
              <w:pStyle w:val="Compact"/>
              <w:jc w:val="right"/>
            </w:pPr>
            <w:r>
              <w:t xml:space="preserve">1.01</w:t>
            </w:r>
          </w:p>
        </w:tc>
      </w:tr>
      <w:tr>
        <w:tc>
          <w:tcPr/>
          <w:p>
            <w:pPr>
              <w:pStyle w:val="Compact"/>
              <w:jc w:val="left"/>
            </w:pPr>
            <w:r>
              <w:t xml:space="preserve">y_inf</w:t>
            </w:r>
          </w:p>
        </w:tc>
        <w:tc>
          <w:tcPr/>
          <w:p>
            <w:pPr>
              <w:pStyle w:val="Compact"/>
              <w:jc w:val="right"/>
            </w:pPr>
            <w:r>
              <w:t xml:space="preserve">-2.2916</w:t>
            </w:r>
          </w:p>
        </w:tc>
        <w:tc>
          <w:tcPr/>
          <w:p>
            <w:pPr>
              <w:pStyle w:val="Compact"/>
              <w:jc w:val="right"/>
            </w:pPr>
            <w:r>
              <w:t xml:space="preserve">-5.2912</w:t>
            </w:r>
          </w:p>
        </w:tc>
        <w:tc>
          <w:tcPr/>
          <w:p>
            <w:pPr>
              <w:pStyle w:val="Compact"/>
              <w:jc w:val="right"/>
            </w:pPr>
            <w:r>
              <w:t xml:space="preserve">23.703</w:t>
            </w:r>
          </w:p>
        </w:tc>
        <w:tc>
          <w:tcPr/>
          <w:p>
            <w:pPr>
              <w:pStyle w:val="Compact"/>
              <w:jc w:val="right"/>
            </w:pPr>
            <w:r>
              <w:t xml:space="preserve">55.593</w:t>
            </w:r>
          </w:p>
        </w:tc>
        <w:tc>
          <w:tcPr/>
          <w:p>
            <w:pPr>
              <w:pStyle w:val="Compact"/>
              <w:jc w:val="right"/>
            </w:pPr>
            <w:r>
              <w:t xml:space="preserve">2.35</w:t>
            </w:r>
          </w:p>
        </w:tc>
      </w:tr>
      <w:tr>
        <w:tc>
          <w:tcPr/>
          <w:p>
            <w:pPr>
              <w:pStyle w:val="Compact"/>
              <w:jc w:val="left"/>
            </w:pPr>
            <w:r>
              <w:t xml:space="preserve">y0</w:t>
            </w:r>
          </w:p>
        </w:tc>
        <w:tc>
          <w:tcPr/>
          <w:p>
            <w:pPr>
              <w:pStyle w:val="Compact"/>
              <w:jc w:val="right"/>
            </w:pPr>
            <w:r>
              <w:t xml:space="preserve">24.2147</w:t>
            </w:r>
          </w:p>
        </w:tc>
        <w:tc>
          <w:tcPr/>
          <w:p>
            <w:pPr>
              <w:pStyle w:val="Compact"/>
              <w:jc w:val="right"/>
            </w:pPr>
            <w:r>
              <w:t xml:space="preserve">23.8413</w:t>
            </w:r>
          </w:p>
        </w:tc>
        <w:tc>
          <w:tcPr/>
          <w:p>
            <w:pPr>
              <w:pStyle w:val="Compact"/>
              <w:jc w:val="right"/>
            </w:pPr>
            <w:r>
              <w:t xml:space="preserve">12.580</w:t>
            </w:r>
          </w:p>
        </w:tc>
        <w:tc>
          <w:tcPr/>
          <w:p>
            <w:pPr>
              <w:pStyle w:val="Compact"/>
              <w:jc w:val="right"/>
            </w:pPr>
            <w:r>
              <w:t xml:space="preserve">17.904</w:t>
            </w:r>
          </w:p>
        </w:tc>
        <w:tc>
          <w:tcPr/>
          <w:p>
            <w:pPr>
              <w:pStyle w:val="Compact"/>
              <w:jc w:val="right"/>
            </w:pPr>
            <w:r>
              <w:t xml:space="preserve">1.42</w:t>
            </w:r>
          </w:p>
        </w:tc>
      </w:tr>
    </w:tbl>
    <w:p>
      <w:pPr>
        <w:pStyle w:val="BodyText"/>
      </w:pPr>
      <w:r>
        <w:rPr>
          <w:b/>
          <w:bCs/>
        </w:rPr>
        <w:t xml:space="preserve">Table 3. What the Laplace approximation costs on this posterior.</w:t>
      </w:r>
      <w:r>
        <w:t xml:space="preserve"> </w:t>
      </w:r>
      <w:r>
        <w:t xml:space="preserve">Widths are 95% interval widths; the ratio is MCMC over Laplace, so a value above 1 means the approximation was too confident. Both fits use the same data, likelihood, operator and seed.</w:t>
      </w:r>
    </w:p>
    <w:p>
      <w:pPr>
        <w:pStyle w:val="BodyText"/>
      </w:pPr>
      <w:r>
        <w:t xml:space="preserve">The derived coordinate</w:t>
      </w:r>
      <w:r>
        <w:t xml:space="preserve"> </w:t>
      </w:r>
      <m:oMath>
        <m:sSub>
          <m:e>
            <m:r>
              <m:t>y</m:t>
            </m:r>
          </m:e>
          <m:sub>
            <m:r>
              <m:rPr>
                <m:sty m:val="p"/>
              </m:rPr>
              <m:t>∞</m:t>
            </m:r>
          </m:sub>
        </m:sSub>
      </m:oMath>
      <w:r>
        <w:t xml:space="preserve"> </w:t>
      </w:r>
      <w:r>
        <w:t xml:space="preserve">disagrees far more than the rest, and the reason is diagnosable rather than being sampler noise. Because</w:t>
      </w:r>
      <w:r>
        <w:t xml:space="preserve"> </w:t>
      </w:r>
      <m:oMath>
        <m:sSub>
          <m:e>
            <m:r>
              <m:t>y</m:t>
            </m:r>
          </m:e>
          <m:sub>
            <m:r>
              <m:rPr>
                <m:sty m:val="p"/>
              </m:rPr>
              <m:t>∞</m:t>
            </m:r>
          </m:sub>
        </m:sSub>
        <m:r>
          <m:rPr>
            <m:sty m:val="p"/>
          </m:rPr>
          <m:t>=</m:t>
        </m:r>
        <m:r>
          <m:rPr>
            <m:sty m:val="p"/>
          </m:rPr>
          <m:t>(</m:t>
        </m:r>
        <m:r>
          <m:t>A</m:t>
        </m:r>
        <m:r>
          <m:rPr>
            <m:sty m:val="p"/>
          </m:rPr>
          <m:t>−</m:t>
        </m:r>
        <m:sSub>
          <m:e>
            <m:r>
              <m:t>y</m:t>
            </m:r>
          </m:e>
          <m:sub>
            <m:r>
              <m:t>0</m:t>
            </m:r>
          </m:sub>
        </m:sSub>
        <m:sSup>
          <m:e>
            <m:r>
              <m:t>e</m:t>
            </m:r>
          </m:e>
          <m:sup>
            <m:r>
              <m:rPr>
                <m:sty m:val="p"/>
              </m:rPr>
              <m:t>−</m:t>
            </m:r>
            <m:r>
              <m:t>κ</m:t>
            </m:r>
          </m:sup>
        </m:sSup>
        <m:r>
          <m:rPr>
            <m:sty m:val="p"/>
          </m:rPr>
          <m:t>)</m:t>
        </m:r>
        <m:r>
          <m:rPr>
            <m:sty m:val="p"/>
          </m:rPr>
          <m:t>/</m:t>
        </m:r>
        <m:r>
          <m:rPr>
            <m:sty m:val="p"/>
          </m:rPr>
          <m:t>(</m:t>
        </m:r>
        <m:r>
          <m:t>1</m:t>
        </m:r>
        <m:r>
          <m:rPr>
            <m:sty m:val="p"/>
          </m:rPr>
          <m:t>−</m:t>
        </m:r>
        <m:sSup>
          <m:e>
            <m:r>
              <m:t>e</m:t>
            </m:r>
          </m:e>
          <m:sup>
            <m:r>
              <m:rPr>
                <m:sty m:val="p"/>
              </m:rPr>
              <m:t>−</m:t>
            </m:r>
            <m:r>
              <m:t>κ</m:t>
            </m:r>
          </m:sup>
        </m:sSup>
        <m:r>
          <m:rPr>
            <m:sty m:val="p"/>
          </m:rPr>
          <m:t>)</m:t>
        </m:r>
      </m:oMath>
      <w:r>
        <w:t xml:space="preserve"> </w:t>
      </w:r>
      <w:r>
        <w:t xml:space="preserve">has a pole at</w:t>
      </w:r>
      <w:r>
        <w:t xml:space="preserve"> </w:t>
      </w:r>
      <m:oMath>
        <m:r>
          <m:t>κ</m:t>
        </m:r>
        <m:r>
          <m:rPr>
            <m:sty m:val="p"/>
          </m:rPr>
          <m:t>→</m:t>
        </m:r>
        <m:r>
          <m:t>0</m:t>
        </m:r>
      </m:oMath>
      <w:r>
        <w:t xml:space="preserve">, draws with small</w:t>
      </w:r>
      <w:r>
        <w:t xml:space="preserve"> </w:t>
      </w:r>
      <m:oMath>
        <m:r>
          <m:t>κ</m:t>
        </m:r>
      </m:oMath>
      <w:r>
        <w:t xml:space="preserve"> </w:t>
      </w:r>
      <w:r>
        <w:t xml:space="preserve">send it to large magnitudes. The MCMC places 5.3% of its draws below</w:t>
      </w:r>
      <w:r>
        <w:t xml:space="preserve"> </w:t>
      </w:r>
      <m:oMath>
        <m:r>
          <m:t>κ</m:t>
        </m:r>
        <m:r>
          <m:rPr>
            <m:sty m:val="p"/>
          </m:rPr>
          <m:t>=</m:t>
        </m:r>
        <m:r>
          <m:t>0.5</m:t>
        </m:r>
      </m:oMath>
      <w:r>
        <w:t xml:space="preserve"> </w:t>
      </w:r>
      <w:r>
        <w:t xml:space="preserve">and reaches</w:t>
      </w:r>
      <w:r>
        <w:t xml:space="preserve"> </w:t>
      </w:r>
      <m:oMath>
        <m:r>
          <m:t>κ</m:t>
        </m:r>
        <m:r>
          <m:rPr>
            <m:sty m:val="p"/>
          </m:rPr>
          <m:t>=</m:t>
        </m:r>
        <m:r>
          <m:t>0.080</m:t>
        </m:r>
      </m:oMath>
      <w:r>
        <w:t xml:space="preserve">; the Laplace places 0.5% there and stops at 0.285. Conditioning both on</w:t>
      </w:r>
      <w:r>
        <w:t xml:space="preserve"> </w:t>
      </w:r>
      <m:oMath>
        <m:r>
          <m:t>κ</m:t>
        </m:r>
        <m:r>
          <m:rPr>
            <m:sty m:val="p"/>
          </m:rPr>
          <m:t>≥</m:t>
        </m:r>
        <m:r>
          <m:t>0.5</m:t>
        </m:r>
      </m:oMath>
      <w:r>
        <w:t xml:space="preserve"> </w:t>
      </w:r>
      <w:r>
        <w:t xml:space="preserve">brings them into agreement (−2.12 against −2.22). The gap</w:t>
      </w:r>
      <w:r>
        <w:t xml:space="preserve"> </w:t>
      </w:r>
      <w:r>
        <w:rPr>
          <w:i/>
          <w:iCs/>
        </w:rPr>
        <w:t xml:space="preserve">is</w:t>
      </w:r>
      <w:r>
        <w:t xml:space="preserve"> </w:t>
      </w:r>
      <w:r>
        <w:t xml:space="preserve">the tail the approximation cannot see, and it sits precisely where the quantity we have already called unidentified becomes numerically unstable — so the disagreement is further evidence for that conclusion rather than a difficulty for it.</w:t>
      </w:r>
    </w:p>
    <w:p>
      <w:pPr>
        <w:pStyle w:val="BodyText"/>
      </w:pPr>
      <w:r>
        <w:t xml:space="preserve">We therefore report MCMC throughout and keep the Laplace path available for speed, with the caveat attached to it rather than to the reader.</w:t>
      </w:r>
    </w:p>
    <w:p>
      <w:pPr>
        <w:pStyle w:val="BodyText"/>
      </w:pPr>
      <m:oMath>
        <m:sSub>
          <m:e>
            <m:r>
              <m:t>y</m:t>
            </m:r>
          </m:e>
          <m:sub>
            <m:r>
              <m:rPr>
                <m:sty m:val="p"/>
              </m:rPr>
              <m:t>∞</m:t>
            </m:r>
          </m:sub>
        </m:sSub>
      </m:oMath>
      <w:r>
        <w:rPr>
          <w:b/>
          <w:bCs/>
        </w:rPr>
        <w:t xml:space="preserve"> </w:t>
      </w:r>
      <w:r>
        <w:rPr>
          <w:b/>
          <w:bCs/>
        </w:rPr>
        <w:t xml:space="preserve">has no posterior mean, and the sampler shows it.</w:t>
      </w:r>
      <w:r>
        <w:t xml:space="preserve"> </w:t>
      </w:r>
      <w:r>
        <w:t xml:space="preserve">Calling a parameter unidentified is usually supported by a wide interval. Something stronger holds here, and it is worth demonstrating because it decides how the row in Table 2 should be read. Since</w:t>
      </w:r>
      <w:r>
        <w:t xml:space="preserve"> </w:t>
      </w:r>
      <m:oMath>
        <m:sSub>
          <m:e>
            <m:r>
              <m:t>y</m:t>
            </m:r>
          </m:e>
          <m:sub>
            <m:r>
              <m:rPr>
                <m:sty m:val="p"/>
              </m:rPr>
              <m:t>∞</m:t>
            </m:r>
          </m:sub>
        </m:sSub>
      </m:oMath>
      <w:r>
        <w:t xml:space="preserve"> </w:t>
      </w:r>
      <w:r>
        <w:t xml:space="preserve">has a pole at</w:t>
      </w:r>
      <w:r>
        <w:t xml:space="preserve"> </w:t>
      </w:r>
      <m:oMath>
        <m:r>
          <m:t>κ</m:t>
        </m:r>
        <m:r>
          <m:rPr>
            <m:sty m:val="p"/>
          </m:rPr>
          <m:t>→</m:t>
        </m:r>
        <m:r>
          <m:t>0</m:t>
        </m:r>
      </m:oMath>
      <w:r>
        <w:t xml:space="preserve"> </w:t>
      </w:r>
      <w:r>
        <w:t xml:space="preserve">and the posterior places mass arbitrarily close to it, a longer chain simply reaches further into that tail. If the mean existed, the estimate would settle as the budget grew.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MCMC iterations</w:t>
            </w:r>
          </w:p>
        </w:tc>
        <w:tc>
          <w:tcPr/>
          <w:p>
            <w:pPr>
              <w:pStyle w:val="Compact"/>
              <w:jc w:val="right"/>
            </w:pPr>
            <w:r>
              <w:t xml:space="preserve">y-inf mean</w:t>
            </w:r>
          </w:p>
        </w:tc>
        <w:tc>
          <w:tcPr/>
          <w:p>
            <w:pPr>
              <w:pStyle w:val="Compact"/>
              <w:jc w:val="right"/>
            </w:pPr>
            <w:r>
              <w:t xml:space="preserve">y-inf 2.5%</w:t>
            </w:r>
          </w:p>
        </w:tc>
        <w:tc>
          <w:tcPr/>
          <w:p>
            <w:pPr>
              <w:pStyle w:val="Compact"/>
              <w:jc w:val="right"/>
            </w:pPr>
            <w:r>
              <w:t xml:space="preserve">y(Inf) mean</w:t>
            </w:r>
          </w:p>
        </w:tc>
        <w:tc>
          <w:tcPr/>
          <w:p>
            <w:pPr>
              <w:pStyle w:val="Compact"/>
              <w:jc w:val="right"/>
            </w:pPr>
            <w:r>
              <w:t xml:space="preserve">sigma mean</w:t>
            </w:r>
          </w:p>
        </w:tc>
      </w:tr>
      <w:tr>
        <w:tc>
          <w:tcPr/>
          <w:p>
            <w:pPr>
              <w:pStyle w:val="Compact"/>
              <w:jc w:val="right"/>
            </w:pPr>
            <w:r>
              <w:t xml:space="preserve">20,000</w:t>
            </w:r>
          </w:p>
        </w:tc>
        <w:tc>
          <w:tcPr/>
          <w:p>
            <w:pPr>
              <w:pStyle w:val="Compact"/>
              <w:jc w:val="right"/>
            </w:pPr>
            <w:r>
              <w:t xml:space="preserve">-5.20</w:t>
            </w:r>
          </w:p>
        </w:tc>
        <w:tc>
          <w:tcPr/>
          <w:p>
            <w:pPr>
              <w:pStyle w:val="Compact"/>
              <w:jc w:val="right"/>
            </w:pPr>
            <w:r>
              <w:t xml:space="preserve">-50.7</w:t>
            </w:r>
          </w:p>
        </w:tc>
        <w:tc>
          <w:tcPr/>
          <w:p>
            <w:pPr>
              <w:pStyle w:val="Compact"/>
              <w:jc w:val="right"/>
            </w:pPr>
            <w:r>
              <w:t xml:space="preserve">2.059</w:t>
            </w:r>
          </w:p>
        </w:tc>
        <w:tc>
          <w:tcPr/>
          <w:p>
            <w:pPr>
              <w:pStyle w:val="Compact"/>
              <w:jc w:val="right"/>
            </w:pPr>
            <w:r>
              <w:t xml:space="preserve">0.2290</w:t>
            </w:r>
          </w:p>
        </w:tc>
      </w:tr>
      <w:tr>
        <w:tc>
          <w:tcPr/>
          <w:p>
            <w:pPr>
              <w:pStyle w:val="Compact"/>
              <w:jc w:val="right"/>
            </w:pPr>
            <w:r>
              <w:t xml:space="preserve">60,000</w:t>
            </w:r>
          </w:p>
        </w:tc>
        <w:tc>
          <w:tcPr/>
          <w:p>
            <w:pPr>
              <w:pStyle w:val="Compact"/>
              <w:jc w:val="right"/>
            </w:pPr>
            <w:r>
              <w:t xml:space="preserve">-7.76</w:t>
            </w:r>
          </w:p>
        </w:tc>
        <w:tc>
          <w:tcPr/>
          <w:p>
            <w:pPr>
              <w:pStyle w:val="Compact"/>
              <w:jc w:val="right"/>
            </w:pPr>
            <w:r>
              <w:t xml:space="preserve">-67.0</w:t>
            </w:r>
          </w:p>
        </w:tc>
        <w:tc>
          <w:tcPr/>
          <w:p>
            <w:pPr>
              <w:pStyle w:val="Compact"/>
              <w:jc w:val="right"/>
            </w:pPr>
            <w:r>
              <w:t xml:space="preserve">2.040</w:t>
            </w:r>
          </w:p>
        </w:tc>
        <w:tc>
          <w:tcPr/>
          <w:p>
            <w:pPr>
              <w:pStyle w:val="Compact"/>
              <w:jc w:val="right"/>
            </w:pPr>
            <w:r>
              <w:t xml:space="preserve">0.2316</w:t>
            </w:r>
          </w:p>
        </w:tc>
      </w:tr>
      <w:tr>
        <w:tc>
          <w:tcPr/>
          <w:p>
            <w:pPr>
              <w:pStyle w:val="Compact"/>
              <w:jc w:val="right"/>
            </w:pPr>
            <w:r>
              <w:t xml:space="preserve">120,000</w:t>
            </w:r>
          </w:p>
        </w:tc>
        <w:tc>
          <w:tcPr/>
          <w:p>
            <w:pPr>
              <w:pStyle w:val="Compact"/>
              <w:jc w:val="right"/>
            </w:pPr>
            <w:r>
              <w:t xml:space="preserve">-10.63</w:t>
            </w:r>
          </w:p>
        </w:tc>
        <w:tc>
          <w:tcPr/>
          <w:p>
            <w:pPr>
              <w:pStyle w:val="Compact"/>
              <w:jc w:val="right"/>
            </w:pPr>
            <w:r>
              <w:t xml:space="preserve">-81.8</w:t>
            </w:r>
          </w:p>
        </w:tc>
        <w:tc>
          <w:tcPr/>
          <w:p>
            <w:pPr>
              <w:pStyle w:val="Compact"/>
              <w:jc w:val="right"/>
            </w:pPr>
            <w:r>
              <w:t xml:space="preserve">2.035</w:t>
            </w:r>
          </w:p>
        </w:tc>
        <w:tc>
          <w:tcPr/>
          <w:p>
            <w:pPr>
              <w:pStyle w:val="Compact"/>
              <w:jc w:val="right"/>
            </w:pPr>
            <w:r>
              <w:t xml:space="preserve">0.2300</w:t>
            </w:r>
          </w:p>
        </w:tc>
      </w:tr>
    </w:tbl>
    <w:p>
      <w:pPr>
        <w:pStyle w:val="BodyText"/>
      </w:pPr>
      <w:r>
        <w:rPr>
          <w:b/>
          <w:bCs/>
        </w:rPr>
        <w:t xml:space="preserve">Table 4. The same posterior at three sampling budgets.</w:t>
      </w:r>
      <w:r>
        <w:t xml:space="preserve"> </w:t>
      </w:r>
      <w:r>
        <w:t xml:space="preserve">Only the chain length changes; the data, likelihood, operator, prior and seed are fixed.</w:t>
      </w:r>
    </w:p>
    <w:p>
      <w:pPr>
        <w:pStyle w:val="BodyText"/>
      </w:pPr>
      <w:r>
        <w:t xml:space="preserve">It does not settle. The posterior mean of</w:t>
      </w:r>
      <w:r>
        <w:t xml:space="preserve"> </w:t>
      </w:r>
      <m:oMath>
        <m:sSub>
          <m:e>
            <m:r>
              <m:t>y</m:t>
            </m:r>
          </m:e>
          <m:sub>
            <m:r>
              <m:rPr>
                <m:sty m:val="p"/>
              </m:rPr>
              <m:t>∞</m:t>
            </m:r>
          </m:sub>
        </m:sSub>
      </m:oMath>
      <w:r>
        <w:t xml:space="preserve"> </w:t>
      </w:r>
      <w:r>
        <w:t xml:space="preserve">moves by 105% between the shortest and longest run and its lower quantile follows, while over the same sweep the attainable deep value moves 1.2% and the observation noise 0.4%. The number in the</w:t>
      </w:r>
      <w:r>
        <w:t xml:space="preserve"> </w:t>
      </w:r>
      <m:oMath>
        <m:sSub>
          <m:e>
            <m:r>
              <m:t>y</m:t>
            </m:r>
          </m:e>
          <m:sub>
            <m:r>
              <m:rPr>
                <m:sty m:val="p"/>
              </m:rPr>
              <m:t>∞</m:t>
            </m:r>
          </m:sub>
        </m:sSub>
      </m:oMath>
      <w:r>
        <w:t xml:space="preserve"> </w:t>
      </w:r>
      <w:r>
        <w:t xml:space="preserve">row of Table 2 is therefore a statement about how long we sampled, not about the soil, and we report it only because the symbol appears in the equation. The identified quantities are settled by the second row of Table 4.</w:t>
      </w:r>
    </w:p>
    <w:p>
      <w:pPr>
        <w:pStyle w:val="BodyText"/>
      </w:pPr>
      <w:r>
        <w:rPr>
          <w:b/>
          <w:bCs/>
        </w:rPr>
        <w:t xml:space="preserve">How much of this posterior is the prior?</w:t>
      </w:r>
      <w:r>
        <w:t xml:space="preserve"> </w:t>
      </w:r>
      <w:r>
        <w:t xml:space="preserve">The package’s default prior is empirical Bayes and the source says so: three of its hyperparameters are functions of the response being fitted. A posterior built that way cannot be presented as though the data alone produced it, so</w:t>
      </w:r>
      <w:r>
        <w:t xml:space="preserve"> </w:t>
      </w:r>
      <w:r>
        <w:rPr>
          <w:rStyle w:val="VerbatimChar"/>
        </w:rPr>
        <w:t xml:space="preserve">piml_prior_literature()</w:t>
      </w:r>
      <w:r>
        <w:t xml:space="preserve"> </w:t>
      </w:r>
      <w:r>
        <w:t xml:space="preserve">supplies a non-circular alternative whose hyperparameters come from published depth-function work and which takes no data at all. We refit under both, and under a third arm that widens the literature prior threefold on every scale, by MCMC throughout and at a budget large enough that all three converge (maximum split-</w:t>
      </w:r>
      <m:oMath>
        <m:acc>
          <m:accPr>
            <m:chr m:val="̂"/>
          </m:accPr>
          <m:e>
            <m:r>
              <m:t>R</m:t>
            </m:r>
          </m:e>
        </m:acc>
      </m:oMath>
      <w:r>
        <w:t xml:space="preserve"> </w:t>
      </w:r>
      <w:r>
        <w:t xml:space="preserve">1.007, minimum bulk ESS 487).</w:t>
      </w:r>
    </w:p>
    <w:tbl>
      <w:tblPr>
        <w:tblStyle w:val="Table"/>
        <w:tblW w:type="pct" w:w="5000"/>
        <w:tblLayout w:type="fixed"/>
        <w:tblLook w:firstRow="1" w:lastRow="0" w:firstColumn="0" w:lastColumn="0" w:noHBand="0" w:noVBand="0" w:val="0020"/>
      </w:tblPr>
      <w:tblGrid>
        <w:gridCol w:w="870"/>
        <w:gridCol w:w="1392"/>
        <w:gridCol w:w="957"/>
        <w:gridCol w:w="1827"/>
        <w:gridCol w:w="1827"/>
        <w:gridCol w:w="1044"/>
      </w:tblGrid>
      <w:tr>
        <w:trPr>
          <w:tblHeader w:val="on"/>
        </w:trPr>
        <w:tc>
          <w:tcPr/>
          <w:p>
            <w:pPr>
              <w:pStyle w:val="Compact"/>
              <w:jc w:val="left"/>
            </w:pPr>
            <w:r>
              <w:t xml:space="preserve">Parameter</w:t>
            </w:r>
          </w:p>
        </w:tc>
        <w:tc>
          <w:tcPr/>
          <w:p>
            <w:pPr>
              <w:pStyle w:val="Compact"/>
              <w:jc w:val="right"/>
            </w:pPr>
            <w:r>
              <w:t xml:space="preserve">Empirical Bayes</w:t>
            </w:r>
          </w:p>
        </w:tc>
        <w:tc>
          <w:tcPr/>
          <w:p>
            <w:pPr>
              <w:pStyle w:val="Compact"/>
              <w:jc w:val="right"/>
            </w:pPr>
            <w:r>
              <w:t xml:space="preserve">Literature</w:t>
            </w:r>
          </w:p>
        </w:tc>
        <w:tc>
          <w:tcPr/>
          <w:p>
            <w:pPr>
              <w:pStyle w:val="Compact"/>
              <w:jc w:val="right"/>
            </w:pPr>
            <w:r>
              <w:t xml:space="preserve">Literature, 3x wider</w:t>
            </w:r>
          </w:p>
        </w:tc>
        <w:tc>
          <w:tcPr/>
          <w:p>
            <w:pPr>
              <w:pStyle w:val="Compact"/>
              <w:jc w:val="right"/>
            </w:pPr>
            <w:r>
              <w:t xml:space="preserve">Shift (posterior SD)</w:t>
            </w:r>
          </w:p>
        </w:tc>
        <w:tc>
          <w:tcPr/>
          <w:p>
            <w:pPr>
              <w:pStyle w:val="Compact"/>
              <w:jc w:val="right"/>
            </w:pPr>
            <w:r>
              <w:t xml:space="preserve">Width ratio</w:t>
            </w:r>
          </w:p>
        </w:tc>
      </w:tr>
      <w:tr>
        <w:tc>
          <w:tcPr/>
          <w:p>
            <w:pPr>
              <w:pStyle w:val="Compact"/>
              <w:jc w:val="left"/>
            </w:pPr>
            <w:r>
              <w:t xml:space="preserve">lambda0</w:t>
            </w:r>
          </w:p>
        </w:tc>
        <w:tc>
          <w:tcPr/>
          <w:p>
            <w:pPr>
              <w:pStyle w:val="Compact"/>
              <w:jc w:val="right"/>
            </w:pPr>
            <w:r>
              <w:t xml:space="preserve">0.0086</w:t>
            </w:r>
          </w:p>
        </w:tc>
        <w:tc>
          <w:tcPr/>
          <w:p>
            <w:pPr>
              <w:pStyle w:val="Compact"/>
              <w:jc w:val="right"/>
            </w:pPr>
            <w:r>
              <w:t xml:space="preserve">0.0090</w:t>
            </w:r>
          </w:p>
        </w:tc>
        <w:tc>
          <w:tcPr/>
          <w:p>
            <w:pPr>
              <w:pStyle w:val="Compact"/>
              <w:jc w:val="right"/>
            </w:pPr>
            <w:r>
              <w:t xml:space="preserve">0.2589</w:t>
            </w:r>
          </w:p>
        </w:tc>
        <w:tc>
          <w:tcPr/>
          <w:p>
            <w:pPr>
              <w:pStyle w:val="Compact"/>
              <w:jc w:val="right"/>
            </w:pPr>
            <w:r>
              <w:t xml:space="preserve">0.10</w:t>
            </w:r>
          </w:p>
        </w:tc>
        <w:tc>
          <w:tcPr/>
          <w:p>
            <w:pPr>
              <w:pStyle w:val="Compact"/>
              <w:jc w:val="right"/>
            </w:pPr>
            <w:r>
              <w:t xml:space="preserve">1.24</w:t>
            </w:r>
          </w:p>
        </w:tc>
      </w:tr>
      <w:tr>
        <w:tc>
          <w:tcPr/>
          <w:p>
            <w:pPr>
              <w:pStyle w:val="Compact"/>
              <w:jc w:val="left"/>
            </w:pPr>
            <w:r>
              <w:t xml:space="preserve">mu</w:t>
            </w:r>
          </w:p>
        </w:tc>
        <w:tc>
          <w:tcPr/>
          <w:p>
            <w:pPr>
              <w:pStyle w:val="Compact"/>
              <w:jc w:val="right"/>
            </w:pPr>
            <w:r>
              <w:t xml:space="preserve">0.0040</w:t>
            </w:r>
          </w:p>
        </w:tc>
        <w:tc>
          <w:tcPr/>
          <w:p>
            <w:pPr>
              <w:pStyle w:val="Compact"/>
              <w:jc w:val="right"/>
            </w:pPr>
            <w:r>
              <w:t xml:space="preserve">0.0059</w:t>
            </w:r>
          </w:p>
        </w:tc>
        <w:tc>
          <w:tcPr/>
          <w:p>
            <w:pPr>
              <w:pStyle w:val="Compact"/>
              <w:jc w:val="right"/>
            </w:pPr>
            <w:r>
              <w:t xml:space="preserve">0.0388</w:t>
            </w:r>
          </w:p>
        </w:tc>
        <w:tc>
          <w:tcPr/>
          <w:p>
            <w:pPr>
              <w:pStyle w:val="Compact"/>
              <w:jc w:val="right"/>
            </w:pPr>
            <w:r>
              <w:t xml:space="preserve">0.67</w:t>
            </w:r>
          </w:p>
        </w:tc>
        <w:tc>
          <w:tcPr/>
          <w:p>
            <w:pPr>
              <w:pStyle w:val="Compact"/>
              <w:jc w:val="right"/>
            </w:pPr>
            <w:r>
              <w:t xml:space="preserve">1.32</w:t>
            </w:r>
          </w:p>
        </w:tc>
      </w:tr>
      <w:tr>
        <w:tc>
          <w:tcPr/>
          <w:p>
            <w:pPr>
              <w:pStyle w:val="Compact"/>
              <w:jc w:val="left"/>
            </w:pPr>
            <w:r>
              <w:t xml:space="preserve">y_inf</w:t>
            </w:r>
          </w:p>
        </w:tc>
        <w:tc>
          <w:tcPr/>
          <w:p>
            <w:pPr>
              <w:pStyle w:val="Compact"/>
              <w:jc w:val="right"/>
            </w:pPr>
            <w:r>
              <w:t xml:space="preserve">-7.7593</w:t>
            </w:r>
          </w:p>
        </w:tc>
        <w:tc>
          <w:tcPr/>
          <w:p>
            <w:pPr>
              <w:pStyle w:val="Compact"/>
              <w:jc w:val="right"/>
            </w:pPr>
            <w:r>
              <w:t xml:space="preserve">-16.2449</w:t>
            </w:r>
          </w:p>
        </w:tc>
        <w:tc>
          <w:tcPr/>
          <w:p>
            <w:pPr>
              <w:pStyle w:val="Compact"/>
              <w:jc w:val="right"/>
            </w:pPr>
            <w:r>
              <w:t xml:space="preserve">-1222070.5019</w:t>
            </w:r>
          </w:p>
        </w:tc>
        <w:tc>
          <w:tcPr/>
          <w:p>
            <w:pPr>
              <w:pStyle w:val="Compact"/>
              <w:jc w:val="right"/>
            </w:pPr>
            <w:r>
              <w:t xml:space="preserve">0.26</w:t>
            </w:r>
          </w:p>
        </w:tc>
        <w:tc>
          <w:tcPr/>
          <w:p>
            <w:pPr>
              <w:pStyle w:val="Compact"/>
              <w:jc w:val="right"/>
            </w:pPr>
            <w:r>
              <w:t xml:space="preserve">1.65</w:t>
            </w:r>
          </w:p>
        </w:tc>
      </w:tr>
      <w:tr>
        <w:tc>
          <w:tcPr/>
          <w:p>
            <w:pPr>
              <w:pStyle w:val="Compact"/>
              <w:jc w:val="left"/>
            </w:pPr>
            <w:r>
              <w:t xml:space="preserve">y0</w:t>
            </w:r>
          </w:p>
        </w:tc>
        <w:tc>
          <w:tcPr/>
          <w:p>
            <w:pPr>
              <w:pStyle w:val="Compact"/>
              <w:jc w:val="right"/>
            </w:pPr>
            <w:r>
              <w:t xml:space="preserve">23.8394</w:t>
            </w:r>
          </w:p>
        </w:tc>
        <w:tc>
          <w:tcPr/>
          <w:p>
            <w:pPr>
              <w:pStyle w:val="Compact"/>
              <w:jc w:val="right"/>
            </w:pPr>
            <w:r>
              <w:t xml:space="preserve">25.2035</w:t>
            </w:r>
          </w:p>
        </w:tc>
        <w:tc>
          <w:tcPr/>
          <w:p>
            <w:pPr>
              <w:pStyle w:val="Compact"/>
              <w:jc w:val="right"/>
            </w:pPr>
            <w:r>
              <w:t xml:space="preserve">23.1607</w:t>
            </w:r>
          </w:p>
        </w:tc>
        <w:tc>
          <w:tcPr/>
          <w:p>
            <w:pPr>
              <w:pStyle w:val="Compact"/>
              <w:jc w:val="right"/>
            </w:pPr>
            <w:r>
              <w:t xml:space="preserve">0.30</w:t>
            </w:r>
          </w:p>
        </w:tc>
        <w:tc>
          <w:tcPr/>
          <w:p>
            <w:pPr>
              <w:pStyle w:val="Compact"/>
              <w:jc w:val="right"/>
            </w:pPr>
            <w:r>
              <w:t xml:space="preserve">1.26</w:t>
            </w:r>
          </w:p>
        </w:tc>
      </w:tr>
      <w:tr>
        <w:tc>
          <w:tcPr/>
          <w:p>
            <w:pPr>
              <w:pStyle w:val="Compact"/>
              <w:jc w:val="left"/>
            </w:pPr>
            <w:r>
              <w:t xml:space="preserve">kappa</w:t>
            </w:r>
          </w:p>
        </w:tc>
        <w:tc>
          <w:tcPr/>
          <w:p>
            <w:pPr>
              <w:pStyle w:val="Compact"/>
              <w:jc w:val="right"/>
            </w:pPr>
            <w:r>
              <w:t xml:space="preserve">4.2594</w:t>
            </w:r>
          </w:p>
        </w:tc>
        <w:tc>
          <w:tcPr/>
          <w:p>
            <w:pPr>
              <w:pStyle w:val="Compact"/>
              <w:jc w:val="right"/>
            </w:pPr>
            <w:r>
              <w:t xml:space="preserve">2.1919</w:t>
            </w:r>
          </w:p>
        </w:tc>
        <w:tc>
          <w:tcPr/>
          <w:p>
            <w:pPr>
              <w:pStyle w:val="Compact"/>
              <w:jc w:val="right"/>
            </w:pPr>
            <w:r>
              <w:t xml:space="preserve">44.9214</w:t>
            </w:r>
          </w:p>
        </w:tc>
        <w:tc>
          <w:tcPr/>
          <w:p>
            <w:pPr>
              <w:pStyle w:val="Compact"/>
              <w:jc w:val="right"/>
            </w:pPr>
            <w:r>
              <w:t xml:space="preserve">0.30</w:t>
            </w:r>
          </w:p>
        </w:tc>
        <w:tc>
          <w:tcPr/>
          <w:p>
            <w:pPr>
              <w:pStyle w:val="Compact"/>
              <w:jc w:val="right"/>
            </w:pPr>
            <w:r>
              <w:t xml:space="preserve">0.39</w:t>
            </w:r>
          </w:p>
        </w:tc>
      </w:tr>
      <w:tr>
        <w:tc>
          <w:tcPr/>
          <w:p>
            <w:pPr>
              <w:pStyle w:val="Compact"/>
              <w:jc w:val="left"/>
            </w:pPr>
            <w:r>
              <w:t xml:space="preserve">y_asym</w:t>
            </w:r>
          </w:p>
        </w:tc>
        <w:tc>
          <w:tcPr/>
          <w:p>
            <w:pPr>
              <w:pStyle w:val="Compact"/>
              <w:jc w:val="right"/>
            </w:pPr>
            <w:r>
              <w:t xml:space="preserve">2.0397</w:t>
            </w:r>
          </w:p>
        </w:tc>
        <w:tc>
          <w:tcPr/>
          <w:p>
            <w:pPr>
              <w:pStyle w:val="Compact"/>
              <w:jc w:val="right"/>
            </w:pPr>
            <w:r>
              <w:t xml:space="preserve">2.3676</w:t>
            </w:r>
          </w:p>
        </w:tc>
        <w:tc>
          <w:tcPr/>
          <w:p>
            <w:pPr>
              <w:pStyle w:val="Compact"/>
              <w:jc w:val="right"/>
            </w:pPr>
            <w:r>
              <w:t xml:space="preserve">1.7585</w:t>
            </w:r>
          </w:p>
        </w:tc>
        <w:tc>
          <w:tcPr/>
          <w:p>
            <w:pPr>
              <w:pStyle w:val="Compact"/>
              <w:jc w:val="right"/>
            </w:pPr>
            <w:r>
              <w:t xml:space="preserve">0.34</w:t>
            </w:r>
          </w:p>
        </w:tc>
        <w:tc>
          <w:tcPr/>
          <w:p>
            <w:pPr>
              <w:pStyle w:val="Compact"/>
              <w:jc w:val="right"/>
            </w:pPr>
            <w:r>
              <w:t xml:space="preserve">1.16</w:t>
            </w:r>
          </w:p>
        </w:tc>
      </w:tr>
      <w:tr>
        <w:tc>
          <w:tcPr/>
          <w:p>
            <w:pPr>
              <w:pStyle w:val="Compact"/>
              <w:jc w:val="left"/>
            </w:pPr>
            <w:r>
              <w:t xml:space="preserve">sigma</w:t>
            </w:r>
          </w:p>
        </w:tc>
        <w:tc>
          <w:tcPr/>
          <w:p>
            <w:pPr>
              <w:pStyle w:val="Compact"/>
              <w:jc w:val="right"/>
            </w:pPr>
            <w:r>
              <w:t xml:space="preserve">0.2316</w:t>
            </w:r>
          </w:p>
        </w:tc>
        <w:tc>
          <w:tcPr/>
          <w:p>
            <w:pPr>
              <w:pStyle w:val="Compact"/>
              <w:jc w:val="right"/>
            </w:pPr>
            <w:r>
              <w:t xml:space="preserve">0.2575</w:t>
            </w:r>
          </w:p>
        </w:tc>
        <w:tc>
          <w:tcPr/>
          <w:p>
            <w:pPr>
              <w:pStyle w:val="Compact"/>
              <w:jc w:val="right"/>
            </w:pPr>
            <w:r>
              <w:t xml:space="preserve">0.2898</w:t>
            </w:r>
          </w:p>
        </w:tc>
        <w:tc>
          <w:tcPr/>
          <w:p>
            <w:pPr>
              <w:pStyle w:val="Compact"/>
              <w:jc w:val="right"/>
            </w:pPr>
            <w:r>
              <w:t xml:space="preserve">0.34</w:t>
            </w:r>
          </w:p>
        </w:tc>
        <w:tc>
          <w:tcPr/>
          <w:p>
            <w:pPr>
              <w:pStyle w:val="Compact"/>
              <w:jc w:val="right"/>
            </w:pPr>
            <w:r>
              <w:t xml:space="preserve">1.39</w:t>
            </w:r>
          </w:p>
        </w:tc>
      </w:tr>
    </w:tbl>
    <w:p>
      <w:pPr>
        <w:pStyle w:val="BodyText"/>
      </w:pPr>
      <w:r>
        <w:rPr>
          <w:b/>
          <w:bCs/>
        </w:rPr>
        <w:t xml:space="preserve">Table 5. Prior sensitivity on the reported pedon.</w:t>
      </w:r>
      <w:r>
        <w:t xml:space="preserve"> </w:t>
      </w:r>
      <w:r>
        <w:t xml:space="preserve">Posterior means under three priors.</w:t>
      </w:r>
      <w:r>
        <w:t xml:space="preserve"> </w:t>
      </w:r>
      <w:r>
        <w:t xml:space="preserve">“Shift”</w:t>
      </w:r>
      <w:r>
        <w:t xml:space="preserve"> </w:t>
      </w:r>
      <w:r>
        <w:t xml:space="preserve">is the movement between the circular default and the non-circular literature prior in units of the default’s posterior standard deviation;</w:t>
      </w:r>
      <w:r>
        <w:t xml:space="preserve"> </w:t>
      </w:r>
      <w:r>
        <w:t xml:space="preserve">“width ratio”</w:t>
      </w:r>
      <w:r>
        <w:t xml:space="preserve"> </w:t>
      </w:r>
      <w:r>
        <w:t xml:space="preserve">is the literature interval over the default one.</w:t>
      </w:r>
    </w:p>
    <w:p>
      <w:pPr>
        <w:pStyle w:val="BodyText"/>
      </w:pPr>
      <w:r>
        <w:t xml:space="preserve">One parameter,</w:t>
      </w:r>
      <w:r>
        <w:t xml:space="preserve"> </w:t>
      </w:r>
      <m:oMath>
        <m:r>
          <m:t>μ</m:t>
        </m:r>
      </m:oMath>
      <w:r>
        <w:t xml:space="preserve">, moves by more than half a posterior standard deviation when the circular prior is replaced by one that never saw these data, and the largest shift is 0.67 standard deviations. The circularity is therefore mild rather than absent, and it is concentrated where the data are weakest —</w:t>
      </w:r>
      <w:r>
        <w:t xml:space="preserve"> </w:t>
      </w:r>
      <m:oMath>
        <m:r>
          <m:t>μ</m:t>
        </m:r>
      </m:oMath>
      <w:r>
        <w:t xml:space="preserve"> </w:t>
      </w:r>
      <w:r>
        <w:t xml:space="preserve">is the depth-attenuation rate, the parameter whose variogram in Fig 4 also fails to identify a range. We do not claim the default prior is harmless; we report how much it moves each number and let a reader who prefers the non-circular one read that column instead.</w:t>
      </w:r>
    </w:p>
    <w:p>
      <w:pPr>
        <w:pStyle w:val="BodyText"/>
      </w:pPr>
      <w:r>
        <w:t xml:space="preserve">One methodological note belongs here rather than in a supplement. An earlier run of this comparison, at the package’s default 20,000 iterations, put the shift for</w:t>
      </w:r>
      <w:r>
        <w:t xml:space="preserve"> </w:t>
      </w:r>
      <m:oMath>
        <m:sSub>
          <m:e>
            <m:r>
              <m:t>y</m:t>
            </m:r>
          </m:e>
          <m:sub>
            <m:r>
              <m:rPr>
                <m:sty m:val="p"/>
              </m:rPr>
              <m:t>∞</m:t>
            </m:r>
          </m:sub>
        </m:sSub>
      </m:oMath>
      <w:r>
        <w:t xml:space="preserve"> </w:t>
      </w:r>
      <w:r>
        <w:t xml:space="preserve">at 0.87 standard deviations and would have supported a stronger claim about circularity. The widest arm had not converged (split-</w:t>
      </w:r>
      <m:oMath>
        <m:acc>
          <m:accPr>
            <m:chr m:val="̂"/>
          </m:accPr>
          <m:e>
            <m:r>
              <m:t>R</m:t>
            </m:r>
          </m:e>
        </m:acc>
      </m:oMath>
      <w:r>
        <w:t xml:space="preserve"> </w:t>
      </w:r>
      <w:r>
        <w:t xml:space="preserve">1.035, bulk ESS 177), and at a budget where it does the shift falls to 0.26. The convergence guard in the script caught it; without one, an under-mixed chain would have been reported as a finding.</w:t>
      </w:r>
    </w:p>
    <w:p>
      <w:pPr>
        <w:pStyle w:val="BodyText"/>
      </w:pPr>
      <w:r>
        <w:t xml:space="preserve">That guard was itself weaker than the sentence above implies, and the correction belongs in the record. It caught an under-mixed chain, which is what it was written for, but it was blind to a chain that had not mixed</w:t>
      </w:r>
      <w:r>
        <w:t xml:space="preserve"> </w:t>
      </w:r>
      <w:r>
        <w:rPr>
          <w:b/>
          <w:bCs/>
        </w:rPr>
        <w:t xml:space="preserve">at all</w:t>
      </w:r>
      <w:r>
        <w:t xml:space="preserve">. When every draw is identical the split-</w:t>
      </w:r>
      <m:oMath>
        <m:acc>
          <m:accPr>
            <m:chr m:val="̂"/>
          </m:accPr>
          <m:e>
            <m:r>
              <m:t>R</m:t>
            </m:r>
          </m:e>
        </m:acc>
      </m:oMath>
      <w:r>
        <w:t xml:space="preserve"> </w:t>
      </w:r>
      <w:r>
        <w:t xml:space="preserve">is undefined, the diagnostic returned</w:t>
      </w:r>
      <w:r>
        <w:t xml:space="preserve"> </w:t>
      </w:r>
      <w:r>
        <w:rPr>
          <w:rStyle w:val="VerbatimChar"/>
        </w:rPr>
        <w:t xml:space="preserve">NA</w:t>
      </w:r>
      <w:r>
        <w:t xml:space="preserve"> </w:t>
      </w:r>
      <w:r>
        <w:t xml:space="preserve">for each parameter, and the reduction</w:t>
      </w:r>
      <w:r>
        <w:t xml:space="preserve"> </w:t>
      </w:r>
      <w:r>
        <w:rPr>
          <w:rStyle w:val="VerbatimChar"/>
        </w:rPr>
        <w:t xml:space="preserve">max(rhat, na.rm = TRUE)</w:t>
      </w:r>
      <w:r>
        <w:t xml:space="preserve"> </w:t>
      </w:r>
      <w:r>
        <w:t xml:space="preserve">over an all-</w:t>
      </w:r>
      <w:r>
        <w:rPr>
          <w:rStyle w:val="VerbatimChar"/>
        </w:rPr>
        <w:t xml:space="preserve">NA</w:t>
      </w:r>
      <w:r>
        <w:t xml:space="preserve"> </w:t>
      </w:r>
      <w:r>
        <w:t xml:space="preserve">vector returns</w:t>
      </w:r>
      <w:r>
        <w:t xml:space="preserve"> </w:t>
      </w:r>
      <m:oMath>
        <m:r>
          <m:rPr>
            <m:sty m:val="p"/>
          </m:rPr>
          <m:t>−</m:t>
        </m:r>
        <m:r>
          <m:rPr>
            <m:sty m:val="p"/>
          </m:rPr>
          <m:t>∞</m:t>
        </m:r>
      </m:oMath>
      <w:r>
        <w:t xml:space="preserve"> </w:t>
      </w:r>
      <w:r>
        <w:t xml:space="preserve">— the identity element of the maximum over an empty set, and a value that passes any upper threshold. On a sample of 60 profiles from this archive, a quarter of every positive convergence verdict the package issued was of that kind. No number in this paper rests on one: the pedon reported here has nine horizons, an acceptance rate of 0.12 and 6,706 distinct draws in 56,000, and the failure is confined to profiles with three or four horizons against four free parameters. But the diagnostic now encodes an uncomputable statistic as</w:t>
      </w:r>
      <w:r>
        <w:t xml:space="preserve"> </w:t>
      </w:r>
      <m:oMath>
        <m:acc>
          <m:accPr>
            <m:chr m:val="̂"/>
          </m:accPr>
          <m:e>
            <m:r>
              <m:t>R</m:t>
            </m:r>
          </m:e>
        </m:acc>
        <m:r>
          <m:rPr>
            <m:sty m:val="p"/>
          </m:rPr>
          <m:t>=</m:t>
        </m:r>
        <m:r>
          <m:rPr>
            <m:sty m:val="p"/>
          </m:rPr>
          <m:t>∞</m:t>
        </m:r>
      </m:oMath>
      <w:r>
        <w:t xml:space="preserve"> </w:t>
      </w:r>
      <w:r>
        <w:t xml:space="preserve">and ESS</w:t>
      </w:r>
      <w:r>
        <w:t xml:space="preserve"> </w:t>
      </w:r>
      <m:oMath>
        <m:r>
          <m:rPr>
            <m:sty m:val="p"/>
          </m:rPr>
          <m:t>=</m:t>
        </m:r>
        <m:r>
          <m:t>0</m:t>
        </m:r>
      </m:oMath>
      <w:r>
        <w:t xml:space="preserve"> </w:t>
      </w:r>
      <w:r>
        <w:t xml:space="preserve">rather than as</w:t>
      </w:r>
      <w:r>
        <w:t xml:space="preserve"> </w:t>
      </w:r>
      <w:r>
        <w:rPr>
          <w:rStyle w:val="VerbatimChar"/>
        </w:rPr>
        <w:t xml:space="preserve">NA</w:t>
      </w:r>
      <w:r>
        <w:t xml:space="preserve">, so that every reduction fails on it, and the acceptance rate is reported in its own right.</w:t>
      </w:r>
    </w:p>
    <w:p>
      <w:pPr>
        <w:pStyle w:val="BodyText"/>
      </w:pPr>
      <w:r>
        <w:rPr>
          <w:b/>
          <w:bCs/>
        </w:rPr>
        <w:t xml:space="preserve">Does the mechanism buy anything?</w:t>
      </w:r>
      <w:r>
        <w:t xml:space="preserve"> </w:t>
      </w:r>
      <w:r>
        <w:t xml:space="preserve">This is the question a depth model must answer.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Root-mean-square error is the wrong statistic to lead with here, and saying why is part of the result. On the extrapolation task every method lands near 14 g/kg — the ODE at 14.04, copying the nearest measured horizon at 14.05, the random forest at 14.05 — and those numbers are not measuring the methods. Ten profiles out of 935, 1.1% of the set, account for 99% of the ODE’s sum of squares; removing them takes its RMSE from 14.74 to 1.54. The extreme case is a profile whose horizon at 125 cm holds 430 g/kg of carbon with 3.0 g/kg immediately above it: a buried organic horizon, which a monotone depth function cannot represent and, more importantly, cannot anticipate. We therefore report mean absolute error as the primary criterion and RMSE alongside it, and treat the difference between them as the finding rather than as a nuisance.</w:t>
      </w:r>
    </w:p>
    <w:p>
      <w:pPr>
        <w:pStyle w:val="BodyText"/>
      </w:pPr>
      <w:r>
        <w:t xml:space="preserve">On that criterion the mechanism does help (Table 6). The ODE reaches MAE 1.82 g/kg with a median absolute error of 0.76, against 2.06 for copying the nearest horizon, 2.07 for its own nested</w:t>
      </w:r>
      <w:r>
        <w:t xml:space="preserve"> </w:t>
      </w:r>
      <m:oMath>
        <m:r>
          <m:t>μ</m:t>
        </m:r>
        <m:r>
          <m:rPr>
            <m:sty m:val="p"/>
          </m:rPr>
          <m:t>=</m:t>
        </m:r>
        <m:r>
          <m:t>0</m:t>
        </m:r>
      </m:oMath>
      <w:r>
        <w:t xml:space="preserve"> </w:t>
      </w:r>
      <w:r>
        <w:t xml:space="preserve">special case and 2.67 for the pooled random forest. Paired across profiles it beats copying the nearest horizon on 579 of 935 (Wilcoxon</w:t>
      </w:r>
      <w:r>
        <w:t xml:space="preserve"> </w:t>
      </w:r>
      <m:oMath>
        <m:r>
          <m:t>p</m:t>
        </m:r>
        <m:r>
          <m:rPr>
            <m:sty m:val="p"/>
          </m:rPr>
          <m:t>=</m:t>
        </m:r>
        <m:r>
          <m:t>3</m:t>
        </m:r>
        <m:r>
          <m:rPr>
            <m:sty m:val="p"/>
          </m:rPr>
          <m:t>×</m:t>
        </m:r>
        <m:sSup>
          <m:e>
            <m:r>
              <m:t>10</m:t>
            </m:r>
          </m:e>
          <m:sup>
            <m:r>
              <m:rPr>
                <m:sty m:val="p"/>
              </m:rPr>
              <m:t>−</m:t>
            </m:r>
            <m:r>
              <m:t>16</m:t>
            </m:r>
          </m:sup>
        </m:sSup>
      </m:oMath>
      <w:r>
        <w:t xml:space="preserve">), its nested special case on 646 (</w:t>
      </w:r>
      <m:oMath>
        <m:r>
          <m:t>p</m:t>
        </m:r>
        <m:r>
          <m:rPr>
            <m:sty m:val="p"/>
          </m:rPr>
          <m:t>=</m:t>
        </m:r>
        <m:r>
          <m:t>1</m:t>
        </m:r>
        <m:r>
          <m:rPr>
            <m:sty m:val="p"/>
          </m:rPr>
          <m:t>×</m:t>
        </m:r>
        <m:sSup>
          <m:e>
            <m:r>
              <m:t>10</m:t>
            </m:r>
          </m:e>
          <m:sup>
            <m:r>
              <m:rPr>
                <m:sty m:val="p"/>
              </m:rPr>
              <m:t>−</m:t>
            </m:r>
            <m:r>
              <m:t>42</m:t>
            </m:r>
          </m:sup>
        </m:sSup>
      </m:oMath>
      <w:r>
        <w:t xml:space="preserve">) and the random forest on 679 (</w:t>
      </w:r>
      <m:oMath>
        <m:r>
          <m:t>p</m:t>
        </m:r>
        <m:r>
          <m:rPr>
            <m:sty m:val="p"/>
          </m:rPr>
          <m:t>=</m:t>
        </m:r>
        <m:r>
          <m:t>4</m:t>
        </m:r>
        <m:r>
          <m:rPr>
            <m:sty m:val="p"/>
          </m:rPr>
          <m:t>×</m:t>
        </m:r>
        <m:sSup>
          <m:e>
            <m:r>
              <m:t>10</m:t>
            </m:r>
          </m:e>
          <m:sup>
            <m:r>
              <m:rPr>
                <m:sty m:val="p"/>
              </m:rPr>
              <m:t>−</m:t>
            </m:r>
            <m:r>
              <m:t>50</m:t>
            </m:r>
          </m:sup>
        </m:sSup>
      </m:oMath>
      <w:r>
        <w:t xml:space="preserve">).</w:t>
      </w:r>
    </w:p>
    <w:p>
      <w:pPr>
        <w:pStyle w:val="BodyText"/>
      </w:pPr>
      <w:r>
        <w:rPr>
          <w:b/>
          <w:bCs/>
        </w:rPr>
        <w:t xml:space="preserve">Table 6. Leave-the-deepest-horizon-out prediction on 935 WoSIS profiles.</w:t>
      </w:r>
      <w:r>
        <w:t xml:space="preserve"> </w:t>
      </w:r>
      <w:r>
        <w:t xml:space="preserve">The profiles whose</w:t>
      </w:r>
      <w:r>
        <w:t xml:space="preserve"> </w:t>
      </w:r>
      <w:r>
        <w:rPr>
          <w:i/>
          <w:iCs/>
        </w:rPr>
        <w:t xml:space="preserve">training</w:t>
      </w:r>
      <w:r>
        <w:t xml:space="preserve"> </w:t>
      </w:r>
      <w:r>
        <w:t xml:space="preserve">horizons are monotone — the model’s declared validity domain, judged without reading the horizon being predicted. MAE is the primary criterion: RMSE on this task is dominated by ten profiles with buried organic horizons and separates the methods by less than 0.5%.</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1.760</w:t>
            </w:r>
          </w:p>
        </w:tc>
        <w:tc>
          <w:tcPr/>
          <w:p>
            <w:pPr>
              <w:pStyle w:val="Compact"/>
              <w:jc w:val="right"/>
            </w:pPr>
            <w:r>
              <w:t xml:space="preserve">14.74</w:t>
            </w:r>
          </w:p>
        </w:tc>
        <w:tc>
          <w:tcPr/>
          <w:p>
            <w:pPr>
              <w:pStyle w:val="Compact"/>
              <w:jc w:val="right"/>
            </w:pPr>
            <w:r>
              <w:t xml:space="preserve">-0.242</w:t>
            </w:r>
          </w:p>
        </w:tc>
        <w:tc>
          <w:tcPr/>
          <w:p>
            <w:pPr>
              <w:pStyle w:val="Compact"/>
              <w:jc w:val="right"/>
            </w:pPr>
            <w:r>
              <w:t xml:space="preserve">0.037</w:t>
            </w:r>
          </w:p>
        </w:tc>
      </w:tr>
      <w:tr>
        <w:tc>
          <w:tcPr/>
          <w:p>
            <w:pPr>
              <w:pStyle w:val="Compact"/>
              <w:jc w:val="left"/>
            </w:pPr>
            <w:r>
              <w:t xml:space="preserve">edaphos ODE, attenuating rate (4 par)</w:t>
            </w:r>
          </w:p>
        </w:tc>
        <w:tc>
          <w:tcPr/>
          <w:p>
            <w:pPr>
              <w:pStyle w:val="Compact"/>
              <w:jc w:val="right"/>
            </w:pPr>
            <w:r>
              <w:t xml:space="preserve">1.819</w:t>
            </w:r>
          </w:p>
        </w:tc>
        <w:tc>
          <w:tcPr/>
          <w:p>
            <w:pPr>
              <w:pStyle w:val="Compact"/>
              <w:jc w:val="right"/>
            </w:pPr>
            <w:r>
              <w:t xml:space="preserve">14.74</w:t>
            </w:r>
          </w:p>
        </w:tc>
        <w:tc>
          <w:tcPr/>
          <w:p>
            <w:pPr>
              <w:pStyle w:val="Compact"/>
              <w:jc w:val="right"/>
            </w:pPr>
            <w:r>
              <w:t xml:space="preserve">-0.222</w:t>
            </w:r>
          </w:p>
        </w:tc>
        <w:tc>
          <w:tcPr/>
          <w:p>
            <w:pPr>
              <w:pStyle w:val="Compact"/>
              <w:jc w:val="right"/>
            </w:pPr>
            <w:r>
              <w:t xml:space="preserve">0.037</w:t>
            </w:r>
          </w:p>
        </w:tc>
      </w:tr>
      <w:tr>
        <w:tc>
          <w:tcPr/>
          <w:p>
            <w:pPr>
              <w:pStyle w:val="Compact"/>
              <w:jc w:val="left"/>
            </w:pPr>
            <w:r>
              <w:t xml:space="preserve">copy nearest training horizon</w:t>
            </w:r>
          </w:p>
        </w:tc>
        <w:tc>
          <w:tcPr/>
          <w:p>
            <w:pPr>
              <w:pStyle w:val="Compact"/>
              <w:jc w:val="right"/>
            </w:pPr>
            <w:r>
              <w:t xml:space="preserve">2.058</w:t>
            </w:r>
          </w:p>
        </w:tc>
        <w:tc>
          <w:tcPr/>
          <w:p>
            <w:pPr>
              <w:pStyle w:val="Compact"/>
              <w:jc w:val="right"/>
            </w:pPr>
            <w:r>
              <w:t xml:space="preserve">14.77</w:t>
            </w:r>
          </w:p>
        </w:tc>
        <w:tc>
          <w:tcPr/>
          <w:p>
            <w:pPr>
              <w:pStyle w:val="Compact"/>
              <w:jc w:val="right"/>
            </w:pPr>
            <w:r>
              <w:t xml:space="preserve">0.391</w:t>
            </w:r>
          </w:p>
        </w:tc>
        <w:tc>
          <w:tcPr/>
          <w:p>
            <w:pPr>
              <w:pStyle w:val="Compact"/>
              <w:jc w:val="right"/>
            </w:pPr>
            <w:r>
              <w:t xml:space="preserve">0.040</w:t>
            </w:r>
          </w:p>
        </w:tc>
      </w:tr>
      <w:tr>
        <w:tc>
          <w:tcPr/>
          <w:p>
            <w:pPr>
              <w:pStyle w:val="Compact"/>
              <w:jc w:val="left"/>
            </w:pPr>
            <w:r>
              <w:t xml:space="preserve">nested exponential (3 par)</w:t>
            </w:r>
          </w:p>
        </w:tc>
        <w:tc>
          <w:tcPr/>
          <w:p>
            <w:pPr>
              <w:pStyle w:val="Compact"/>
              <w:jc w:val="right"/>
            </w:pPr>
            <w:r>
              <w:t xml:space="preserve">2.073</w:t>
            </w:r>
          </w:p>
        </w:tc>
        <w:tc>
          <w:tcPr/>
          <w:p>
            <w:pPr>
              <w:pStyle w:val="Compact"/>
              <w:jc w:val="right"/>
            </w:pPr>
            <w:r>
              <w:t xml:space="preserve">14.77</w:t>
            </w:r>
          </w:p>
        </w:tc>
        <w:tc>
          <w:tcPr/>
          <w:p>
            <w:pPr>
              <w:pStyle w:val="Compact"/>
              <w:jc w:val="right"/>
            </w:pPr>
            <w:r>
              <w:t xml:space="preserve">0.081</w:t>
            </w:r>
          </w:p>
        </w:tc>
        <w:tc>
          <w:tcPr/>
          <w:p>
            <w:pPr>
              <w:pStyle w:val="Compact"/>
              <w:jc w:val="right"/>
            </w:pPr>
            <w:r>
              <w:t xml:space="preserve">0.036</w:t>
            </w:r>
          </w:p>
        </w:tc>
      </w:tr>
      <w:tr>
        <w:tc>
          <w:tcPr/>
          <w:p>
            <w:pPr>
              <w:pStyle w:val="Compact"/>
              <w:jc w:val="left"/>
            </w:pPr>
            <w:r>
              <w:t xml:space="preserve">RF, depth as covariate (pooled)</w:t>
            </w:r>
          </w:p>
        </w:tc>
        <w:tc>
          <w:tcPr/>
          <w:p>
            <w:pPr>
              <w:pStyle w:val="Compact"/>
              <w:jc w:val="right"/>
            </w:pPr>
            <w:r>
              <w:t xml:space="preserve">2.667</w:t>
            </w:r>
          </w:p>
        </w:tc>
        <w:tc>
          <w:tcPr/>
          <w:p>
            <w:pPr>
              <w:pStyle w:val="Compact"/>
              <w:jc w:val="right"/>
            </w:pPr>
            <w:r>
              <w:t xml:space="preserve">14.76</w:t>
            </w:r>
          </w:p>
        </w:tc>
        <w:tc>
          <w:tcPr/>
          <w:p>
            <w:pPr>
              <w:pStyle w:val="Compact"/>
              <w:jc w:val="right"/>
            </w:pPr>
            <w:r>
              <w:t xml:space="preserve">0.380</w:t>
            </w:r>
          </w:p>
        </w:tc>
        <w:tc>
          <w:tcPr/>
          <w:p>
            <w:pPr>
              <w:pStyle w:val="Compact"/>
              <w:jc w:val="right"/>
            </w:pPr>
            <w:r>
              <w:t xml:space="preserve">0.013</w:t>
            </w:r>
          </w:p>
        </w:tc>
      </w:tr>
      <w:tr>
        <w:tc>
          <w:tcPr/>
          <w:p>
            <w:pPr>
              <w:pStyle w:val="Compact"/>
              <w:jc w:val="left"/>
            </w:pPr>
            <w:r>
              <w:t xml:space="preserve">profile mean</w:t>
            </w:r>
          </w:p>
        </w:tc>
        <w:tc>
          <w:tcPr/>
          <w:p>
            <w:pPr>
              <w:pStyle w:val="Compact"/>
              <w:jc w:val="right"/>
            </w:pPr>
            <w:r>
              <w:t xml:space="preserve">8.000</w:t>
            </w:r>
          </w:p>
        </w:tc>
        <w:tc>
          <w:tcPr/>
          <w:p>
            <w:pPr>
              <w:pStyle w:val="Compact"/>
              <w:jc w:val="right"/>
            </w:pPr>
            <w:r>
              <w:t xml:space="preserve">17.23</w:t>
            </w:r>
          </w:p>
        </w:tc>
        <w:tc>
          <w:tcPr/>
          <w:p>
            <w:pPr>
              <w:pStyle w:val="Compact"/>
              <w:jc w:val="right"/>
            </w:pPr>
            <w:r>
              <w:t xml:space="preserve">6.548</w:t>
            </w:r>
          </w:p>
        </w:tc>
        <w:tc>
          <w:tcPr/>
          <w:p>
            <w:pPr>
              <w:pStyle w:val="Compact"/>
              <w:jc w:val="right"/>
            </w:pPr>
            <w:r>
              <w:t xml:space="preserve">0.039</w:t>
            </w:r>
          </w:p>
        </w:tc>
      </w:tr>
    </w:tbl>
    <w:p>
      <w:pPr>
        <w:pStyle w:val="BodyText"/>
      </w:pPr>
      <w:r>
        <w:rPr>
          <w:b/>
          <w:bCs/>
        </w:rPr>
        <w:t xml:space="preserve">Stock, on the profiles that can carry it.</w:t>
      </w:r>
      <w:r>
        <w:t xml:space="preserve"> </w:t>
      </w:r>
      <w:r>
        <w:t xml:space="preserve">Carbon stock, not concentration, is the quantity that is conserved, mapped and reported to inventories, and every number above is a concentration. We wrote earlier that WoSIS bulk density covers 3.9% of these horizons and that a stock comparison would therefore rest on a pedotransfer function rather than on measurement. The first half is true; the second was too quick.</w:t>
      </w:r>
    </w:p>
    <w:p>
      <w:pPr>
        <w:pStyle w:val="BodyText"/>
      </w:pPr>
      <w:r>
        <w:t xml:space="preserve">Repeating the leave-the-deepest-horizon-out task in stock units needs a measured density on that horizon, and exactly two profiles in this archive have one — so on</w:t>
      </w:r>
      <w:r>
        <w:t xml:space="preserve"> </w:t>
      </w:r>
      <w:r>
        <w:rPr>
          <w:i/>
          <w:iCs/>
        </w:rPr>
        <w:t xml:space="preserve">that</w:t>
      </w:r>
      <w:r>
        <w:t xml:space="preserve"> </w:t>
      </w:r>
      <w:r>
        <w:t xml:space="preserve">task the original statement stands. On the other pre-declared task, holding out an interior horizon, 35 profiles carry a measured interior density and 24 of those also have monotone training horizons. That is enough for a comparison, and it needs no pedotransfer function at all: the model’s predicted concentration is converted with the held-out horizon’s own measured density and thickness, the same arithmetic the observation went through, so the only thing scored is the depth function.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r>
      <w:tr>
        <w:tc>
          <w:tcPr/>
          <w:p>
            <w:pPr>
              <w:pStyle w:val="Compact"/>
              <w:jc w:val="left"/>
            </w:pPr>
            <w:r>
              <w:t xml:space="preserve">edaphos ODE</w:t>
            </w:r>
          </w:p>
        </w:tc>
        <w:tc>
          <w:tcPr/>
          <w:p>
            <w:pPr>
              <w:pStyle w:val="Compact"/>
              <w:jc w:val="right"/>
            </w:pPr>
            <w:r>
              <w:t xml:space="preserve">9.50</w:t>
            </w:r>
          </w:p>
        </w:tc>
        <w:tc>
          <w:tcPr/>
          <w:p>
            <w:pPr>
              <w:pStyle w:val="Compact"/>
              <w:jc w:val="right"/>
            </w:pPr>
            <w:r>
              <w:t xml:space="preserve">6.85</w:t>
            </w:r>
          </w:p>
        </w:tc>
        <w:tc>
          <w:tcPr/>
          <w:p>
            <w:pPr>
              <w:pStyle w:val="Compact"/>
              <w:jc w:val="right"/>
            </w:pPr>
            <w:r>
              <w:t xml:space="preserve">-3.88</w:t>
            </w:r>
          </w:p>
        </w:tc>
      </w:tr>
      <w:tr>
        <w:tc>
          <w:tcPr/>
          <w:p>
            <w:pPr>
              <w:pStyle w:val="Compact"/>
              <w:jc w:val="left"/>
            </w:pPr>
            <w:r>
              <w:t xml:space="preserve">copy nearest training horizon</w:t>
            </w:r>
          </w:p>
        </w:tc>
        <w:tc>
          <w:tcPr/>
          <w:p>
            <w:pPr>
              <w:pStyle w:val="Compact"/>
              <w:jc w:val="right"/>
            </w:pPr>
            <w:r>
              <w:t xml:space="preserve">15.98</w:t>
            </w:r>
          </w:p>
        </w:tc>
        <w:tc>
          <w:tcPr/>
          <w:p>
            <w:pPr>
              <w:pStyle w:val="Compact"/>
              <w:jc w:val="right"/>
            </w:pPr>
            <w:r>
              <w:t xml:space="preserve">13.42</w:t>
            </w:r>
          </w:p>
        </w:tc>
        <w:tc>
          <w:tcPr/>
          <w:p>
            <w:pPr>
              <w:pStyle w:val="Compact"/>
              <w:jc w:val="right"/>
            </w:pPr>
            <w:r>
              <w:t xml:space="preserve">10.96</w:t>
            </w:r>
          </w:p>
        </w:tc>
      </w:tr>
      <w:tr>
        <w:tc>
          <w:tcPr/>
          <w:p>
            <w:pPr>
              <w:pStyle w:val="Compact"/>
              <w:jc w:val="left"/>
            </w:pPr>
            <w:r>
              <w:t xml:space="preserve">profile mean</w:t>
            </w:r>
          </w:p>
        </w:tc>
        <w:tc>
          <w:tcPr/>
          <w:p>
            <w:pPr>
              <w:pStyle w:val="Compact"/>
              <w:jc w:val="right"/>
            </w:pPr>
            <w:r>
              <w:t xml:space="preserve">50.42</w:t>
            </w:r>
          </w:p>
        </w:tc>
        <w:tc>
          <w:tcPr/>
          <w:p>
            <w:pPr>
              <w:pStyle w:val="Compact"/>
              <w:jc w:val="right"/>
            </w:pPr>
            <w:r>
              <w:t xml:space="preserve">39.95</w:t>
            </w:r>
          </w:p>
        </w:tc>
        <w:tc>
          <w:tcPr/>
          <w:p>
            <w:pPr>
              <w:pStyle w:val="Compact"/>
              <w:jc w:val="right"/>
            </w:pPr>
            <w:r>
              <w:t xml:space="preserve">39.04</w:t>
            </w:r>
          </w:p>
        </w:tc>
      </w:tr>
    </w:tbl>
    <w:p>
      <w:pPr>
        <w:pStyle w:val="BodyText"/>
      </w:pPr>
      <w:r>
        <w:rPr>
          <w:b/>
          <w:bCs/>
        </w:rPr>
        <w:t xml:space="preserve">Table 7. Held-out interior horizon scored as carbon stock, Mg/ha.</w:t>
      </w:r>
      <w:r>
        <w:t xml:space="preserve"> </w:t>
      </w:r>
      <w:r>
        <w:t xml:space="preserve">The 24 profiles in the declared domain that carry a measured bulk density on an interior horizon. Held-out depths run from 25 to 305 cm and observed stocks from 5.5 to 112.0 Mg/ha. This is an interpolation task and is</w:t>
      </w:r>
      <w:r>
        <w:t xml:space="preserve"> </w:t>
      </w:r>
      <w:r>
        <w:rPr>
          <w:i/>
          <w:iCs/>
        </w:rPr>
        <w:t xml:space="preserve">not</w:t>
      </w:r>
      <w:r>
        <w:t xml:space="preserve"> </w:t>
      </w:r>
      <w:r>
        <w:t xml:space="preserve">comparable to Table 6, which holds out the deepest horizon.</w:t>
      </w:r>
    </w:p>
    <w:p>
      <w:pPr>
        <w:pStyle w:val="BodyText"/>
      </w:pPr>
      <w:r>
        <w:t xml:space="preserve">The equation wins, and by more than it does on concentration: mean absolute error 6.9 Mg/ha against 13.4 for copying the nearest measured horizon, 18 wins of 24 and a paired Wilcoxon</w:t>
      </w:r>
      <w:r>
        <w:t xml:space="preserve"> </w:t>
      </w:r>
      <w:r>
        <w:rPr>
          <w:i/>
          <w:iCs/>
        </w:rPr>
        <w:t xml:space="preserve">p</w:t>
      </w:r>
      <w:r>
        <w:t xml:space="preserve"> </w:t>
      </w:r>
      <w:r>
        <w:t xml:space="preserve">of 0.0043. The ranking is the same one the concentration scoring gives on these same profiles, which is the part worth stating: the conclusion survives the change of units.</w:t>
      </w:r>
    </w:p>
    <w:p>
      <w:pPr>
        <w:pStyle w:val="BodyText"/>
      </w:pPr>
      <w:r>
        <w:t xml:space="preserve">With 24 profiles this is an indication and not a validation, and we report it as one. What it replaces is a declared impossibility, which was the weaker position.</w:t>
      </w:r>
    </w:p>
    <w:p>
      <w:pPr>
        <w:pStyle w:val="BodyText"/>
      </w:pPr>
      <w:r>
        <w:rPr>
          <w:b/>
          <w:bCs/>
        </w:rPr>
        <w:t xml:space="preserve">What declaring the validity domain does, and does not, buy.</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15.4% of these profiles are not monotone even in their training horizons. It is tempting to read that as a scope statement that rescues the model, and an earlier version of this analysis did exactly that, reporting that restricting to the monotone profiles moved the RMSE from 14.04 to 1.51.</w:t>
      </w:r>
    </w:p>
    <w:p>
      <w:pPr>
        <w:pStyle w:val="BodyText"/>
      </w:pPr>
      <w:r>
        <w:t xml:space="preserve">That reduction was an artefact of how the restriction was computed. Judging a profile monotone from its</w:t>
      </w:r>
      <w:r>
        <w:t xml:space="preserve"> </w:t>
      </w:r>
      <w:r>
        <w:rPr>
          <w:i/>
          <w:iCs/>
        </w:rPr>
        <w:t xml:space="preserve">complete</w:t>
      </w:r>
      <w:r>
        <w:t xml:space="preserve"> </w:t>
      </w:r>
      <w:r>
        <w:t xml:space="preserve">record — including the deepest horizon, the one the extrapolation task holds out — excludes precisely those profiles whose held-out horizon jumps, which are the hard cases. Sixty of the 935 profiles are monotone in their training horizons but not in the full record, and they are enough to carry the result: the largest jump of the held-out horizon is 17 g/kg among the profiles the leaking criterion admits and 427 g/kg among those the honest one admits. Computing the criterion from training horizons only, as it must be, leaves the RMSE at 14.74 rather than 1.51.</w:t>
      </w:r>
    </w:p>
    <w:p>
      <w:pPr>
        <w:pStyle w:val="BodyText"/>
      </w:pPr>
      <w:r>
        <w:t xml:space="preserve">The honest conclusion is narrower than the one that stratification appeared to license, and more useful. The model predicts the typical held-out horizon well — median absolute error 0.76 g/kg — and fails catastrophically on about one profile in a hundred, and nothing available at fit time distinguishes the two. The absolute correlation between the size of the jump in the held-out horizon and the number of training horizons, the depth of the prediction, or the model’s own extrapolation diagnostic is below 0.03 in every case. A depth function fitted to the horizons above cannot know that a buried organic horizon is coming, and declaring a validity domain does not change that, because the declaration would have to be made from the same information.</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10]</w:t>
      </w:r>
      <w:r>
        <w:t xml:space="preserve"> </w:t>
      </w:r>
      <w:r>
        <w:t xml:space="preserve">carrying a fourth shape parameter. The defensible steady-state balance for soil carbon is an advection–reaction–diffusion equation</w:t>
      </w:r>
      <w:r>
        <w:t xml:space="preserve"> </w:t>
      </w:r>
      <w:r>
        <w:t xml:space="preserve">[11,12]</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[13,14]</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935 profiles the derived model leads the table on mean absolute error, 1.76 against 1.82 g/kg, but the difference is not significant: it wins on 486 profiles against 449,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Only one of the four parameters has an identified variogram. The attainable deep value reaches a sill at a range of 69 km with a nugget-to-sill ratio of 0.69 — moderate spatial dependence in the sense of Cambardella et al.</w:t>
      </w:r>
      <w:r>
        <w:t xml:space="preserve"> </w:t>
      </w:r>
      <w:r>
        <w:t xml:space="preserve">[15]</w:t>
      </w:r>
      <w:r>
        <w:t xml:space="preserve">, and close to the 0.75 boundary they set for weak. The other three, the surface value, the depth attenuation and the total relaxation, fit ranges of 3, 12 and 8 km, all</w:t>
      </w:r>
      <w:r>
        <w:t xml:space="preserve"> </w:t>
      </w:r>
      <w:r>
        <w:rPr>
          <w:i/>
          <w:iCs/>
        </w:rPr>
        <w:t xml:space="preserve">below the closest pair of profiles in the archive</w:t>
      </w:r>
      <w:r>
        <w:t xml:space="preserve">: the nearest lag these profiles support is 35 km, so a range shorter than that is interpolated through empty space rather than measured. Their spatial structure, whatever it is, operates at a scale this survey cannot see.</w:t>
      </w:r>
    </w:p>
    <w:p>
      <w:pPr>
        <w:pStyle w:val="BodyText"/>
      </w:pPr>
      <w:r>
        <w:t xml:space="preserve">These figures replace an earlier version of this table computed from Gaussian-likelihood fits, which reported two identified parameters at 68 and 55 km. Changing the observation model changes the fitted parameters, and therefore their variograms; the depth attenuation’s apparent 55 km range does not survive the correction.</w:t>
      </w:r>
    </w:p>
    <w:p>
      <w:pPr>
        <w:pStyle w:val="BodyText"/>
      </w:pPr>
      <w:r>
        <w:t xml:space="preserve">The consequence for mapping is unfavourable, and more so than before. The single identified range, 69 km, is far shorter than the median separation between profiles in this archive, so kriging that parameter would be extrapolating almost everywhere — and for the other three there is no range to krige with at all. Regressing each on climate and terrain first does not rescue the situation: those covariates explain between 2.3% and 9.0%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1,060 profiles with converged fits, 386,729 point pairs, with fitted exponential models. One parameter — the attainable deep value — reaches a sill within the observed separations, at 69 km; the other three fit ranges shorter than the 35 km nearest lag the archive supports, and are therefore not identified. Point size is the number of pairs in each lag.</w:t>
      </w:r>
    </w:p>
    <w:p>
      <w:pPr>
        <w:pStyle w:val="BodyText"/>
      </w:pPr>
      <w:r>
        <w:rPr>
          <w:b/>
          <w:bCs/>
        </w:rPr>
        <w:t xml:space="preserve">Do the parameters mean what they are called?</w:t>
      </w:r>
      <w:r>
        <w:t xml:space="preserve"> </w:t>
      </w:r>
      <w:r>
        <w:t xml:space="preserve">The pillar claims its parameters are identified and interpretable. Identified we demonstrate; interpretable we had only asserted. Two directional predictions test it, both falsifiable, and they come out differently.</w:t>
      </w:r>
    </w:p>
    <w:p>
      <w:pPr>
        <w:pStyle w:val="BodyText"/>
      </w:pPr>
      <w:r>
        <w:t xml:space="preserve">The first concerns the deep floor. Hassink</w:t>
      </w:r>
      <w:r>
        <w:t xml:space="preserve"> </w:t>
      </w:r>
      <w:r>
        <w:t xml:space="preserve">[16]</w:t>
      </w:r>
      <w:r>
        <w:t xml:space="preserve"> </w:t>
      </w:r>
      <w:r>
        <w:t xml:space="preserve">showed that a soil’s capacity to preserve carbon in association with its fine fraction rises with the mass of that fraction, so if</w:t>
      </w:r>
      <w:r>
        <w:t xml:space="preserve"> </w:t>
      </w:r>
      <m:oMath>
        <m:r>
          <m:t>y</m:t>
        </m:r>
        <m:r>
          <m:rPr>
            <m:sty m:val="p"/>
          </m:rPr>
          <m:t>(</m:t>
        </m:r>
        <m:r>
          <m:rPr>
            <m:sty m:val="p"/>
          </m:rPr>
          <m:t>∞</m:t>
        </m:r>
        <m:r>
          <m:rPr>
            <m:sty m:val="p"/>
          </m:rPr>
          <m:t>)</m:t>
        </m:r>
      </m:oMath>
      <w:r>
        <w:t xml:space="preserve"> </w:t>
      </w:r>
      <w:r>
        <w:t xml:space="preserve">is a mineral-associated floor it must increase with clay plus silt; if it is only a shape parameter, there is no reason it should. Across 812 monotone profiles with a texture estimate within 5 km, it does: the slope of</w:t>
      </w:r>
      <w:r>
        <w:t xml:space="preserve"> </w:t>
      </w:r>
      <m:oMath>
        <m:r>
          <m:rPr>
            <m:sty m:val="p"/>
          </m:rPr>
          <m:t>log</m:t>
        </m:r>
        <m:r>
          <m:t>y</m:t>
        </m:r>
        <m:r>
          <m:rPr>
            <m:sty m:val="p"/>
          </m:rPr>
          <m:t>(</m:t>
        </m:r>
        <m:r>
          <m:rPr>
            <m:sty m:val="p"/>
          </m:rPr>
          <m:t>∞</m:t>
        </m:r>
        <m:r>
          <m:rPr>
            <m:sty m:val="p"/>
          </m:rPr>
          <m:t>)</m:t>
        </m:r>
      </m:oMath>
      <w:r>
        <w:t xml:space="preserve"> </w:t>
      </w:r>
      <w:r>
        <w:t xml:space="preserve">on clay + silt is</w:t>
      </w:r>
      <w:r>
        <w:t xml:space="preserve"> </w:t>
      </w:r>
      <m:oMath>
        <m:r>
          <m:rPr>
            <m:sty m:val="p"/>
          </m:rPr>
          <m:t>+</m:t>
        </m:r>
        <m:r>
          <m:t>0.0067</m:t>
        </m:r>
      </m:oMath>
      <w:r>
        <w:t xml:space="preserve"> </w:t>
      </w:r>
      <w:r>
        <w:t xml:space="preserve">per percentage point (</w:t>
      </w:r>
      <m:oMath>
        <m:r>
          <m:t>p</m:t>
        </m:r>
        <m:r>
          <m:rPr>
            <m:sty m:val="p"/>
          </m:rPr>
          <m:t>=</m:t>
        </m:r>
        <m:r>
          <m:t>0.03</m:t>
        </m:r>
      </m:oMath>
      <w:r>
        <w:t xml:space="preserve">; Spearman</w:t>
      </w:r>
      <w:r>
        <w:t xml:space="preserve"> </w:t>
      </w:r>
      <m:oMath>
        <m:r>
          <m:t>ρ</m:t>
        </m:r>
        <m:r>
          <m:rPr>
            <m:sty m:val="p"/>
          </m:rPr>
          <m:t>=</m:t>
        </m:r>
        <m:r>
          <m:t>0.10</m:t>
        </m:r>
      </m:oMath>
      <w:r>
        <w:t xml:space="preserve">,</w:t>
      </w:r>
      <w:r>
        <w:t xml:space="preserve"> </w:t>
      </w:r>
      <m:oMath>
        <m:r>
          <m:t>p</m:t>
        </m:r>
        <m:r>
          <m:rPr>
            <m:sty m:val="p"/>
          </m:rPr>
          <m:t>=</m:t>
        </m:r>
        <m:r>
          <m:t>0.004</m:t>
        </m:r>
      </m:oMath>
      <w:r>
        <w:t xml:space="preserve">), which over the observed 17–93% range corresponds to a 1.7-fold change in the fitted floor. The direction is the predicted one and the association is not an artefact of one parameterisation — the attained value of the attenuating-rate form gives the same sign more strongly (</w:t>
      </w:r>
      <m:oMath>
        <m:r>
          <m:t>p</m:t>
        </m:r>
        <m:r>
          <m:rPr>
            <m:sty m:val="p"/>
          </m:rPr>
          <m:t>=</m:t>
        </m:r>
        <m:r>
          <m:t>0.002</m:t>
        </m:r>
      </m:oMath>
      <w:r>
        <w:t xml:space="preserve">).</w:t>
      </w:r>
    </w:p>
    <w:p>
      <w:pPr>
        <w:pStyle w:val="BodyText"/>
      </w:pPr>
      <w:r>
        <w:t xml:space="preserve">The magnitude, however, is negligible: texture explains 0.5% of the variance in the fitted floor. With 812 profiles a relation this weak clears significance easily, and the texture is a SoilGrids prediction rather than a measurement, from a product trained partly on the same WoSIS archive. We report this as consistent with the mechanism and as very much weaker than a confirmation of it.</w:t>
      </w:r>
    </w:p>
    <w:p>
      <w:pPr>
        <w:pStyle w:val="BodyText"/>
      </w:pPr>
      <w:r>
        <w:t xml:space="preserve">The second anchor fails, and how it fails is the more useful result. Jobbágy and Jackson</w:t>
      </w:r>
      <w:r>
        <w:t xml:space="preserve"> </w:t>
      </w:r>
      <w:r>
        <w:t xml:space="preserve">[17]</w:t>
      </w:r>
      <w:r>
        <w:t xml:space="preserve"> </w:t>
      </w:r>
      <w:r>
        <w:t xml:space="preserve">summarise the vertical distribution of soil carbon by</w:t>
      </w:r>
      <w:r>
        <w:t xml:space="preserve"> </w:t>
      </w:r>
      <m:oMath>
        <m:r>
          <m:t>β</m:t>
        </m:r>
      </m:oMath>
      <w:r>
        <w:t xml:space="preserve"> </w:t>
      </w:r>
      <w:r>
        <w:t xml:space="preserve">in</w:t>
      </w:r>
      <w:r>
        <w:t xml:space="preserve"> </w:t>
      </w:r>
      <m:oMath>
        <m:r>
          <m:t>Y</m:t>
        </m:r>
        <m:r>
          <m:rPr>
            <m:sty m:val="p"/>
          </m:rPr>
          <m:t>(</m:t>
        </m:r>
        <m:r>
          <m:t>d</m:t>
        </m:r>
        <m:r>
          <m:rPr>
            <m:sty m:val="p"/>
          </m:rPr>
          <m:t>)</m:t>
        </m:r>
        <m:r>
          <m:rPr>
            <m:sty m:val="p"/>
          </m:rPr>
          <m:t>=</m:t>
        </m:r>
        <m:r>
          <m:t>1</m:t>
        </m:r>
        <m:r>
          <m:rPr>
            <m:sty m:val="p"/>
          </m:rPr>
          <m:t>−</m:t>
        </m:r>
        <m:sSup>
          <m:e>
            <m:r>
              <m:t>β</m:t>
            </m:r>
          </m:e>
          <m:sup>
            <m:r>
              <m:t>d</m:t>
            </m:r>
          </m:sup>
        </m:sSup>
      </m:oMath>
      <w:r>
        <w:t xml:space="preserve">, a whole-profile shape statistic defined without reference to any of our parameters, and their central finding is that vegetation shapes it. Our fitted depth functions imply a</w:t>
      </w:r>
      <w:r>
        <w:t xml:space="preserve"> </w:t>
      </w:r>
      <m:oMath>
        <m:r>
          <m:t>β</m:t>
        </m:r>
      </m:oMath>
      <w:r>
        <w:t xml:space="preserve"> </w:t>
      </w:r>
      <w:r>
        <w:t xml:space="preserve">with a median of 0.971 and a 5–95% range of 0.957–0.980 — a narrow, pedologically unremarkable band. But it moves with nothing outside the fit. Regressed on tree cover it gives a slope of</w:t>
      </w:r>
      <w:r>
        <w:t xml:space="preserve"> </w:t>
      </w:r>
      <m:oMath>
        <m:r>
          <m:rPr>
            <m:sty m:val="p"/>
          </m:rPr>
          <m:t>−</m:t>
        </m:r>
        <m:r>
          <m:t>4</m:t>
        </m:r>
        <m:r>
          <m:rPr>
            <m:sty m:val="p"/>
          </m:rPr>
          <m:t>×</m:t>
        </m:r>
        <m:sSup>
          <m:e>
            <m:r>
              <m:t>10</m:t>
            </m:r>
          </m:e>
          <m:sup>
            <m:r>
              <m:rPr>
                <m:sty m:val="p"/>
              </m:rPr>
              <m:t>−</m:t>
            </m:r>
            <m:r>
              <m:t>5</m:t>
            </m:r>
          </m:sup>
        </m:sSup>
      </m:oMath>
      <w:r>
        <w:t xml:space="preserve"> </w:t>
      </w:r>
      <w:r>
        <w:t xml:space="preserve">(</w:t>
      </w:r>
      <m:oMath>
        <m:r>
          <m:t>p</m:t>
        </m:r>
        <m:r>
          <m:rPr>
            <m:sty m:val="p"/>
          </m:rPr>
          <m:t>=</m:t>
        </m:r>
        <m:r>
          <m:t>0.97</m:t>
        </m:r>
      </m:oMath>
      <w:r>
        <w:t xml:space="preserve">,</w:t>
      </w:r>
      <w:r>
        <w:t xml:space="preserve"> </w:t>
      </w:r>
      <m:oMath>
        <m:sSup>
          <m:e>
            <m:r>
              <m:t>R</m:t>
            </m:r>
          </m:e>
          <m:sup>
            <m:r>
              <m:t>2</m:t>
            </m:r>
          </m:sup>
        </m:sSup>
        <m:r>
          <m:rPr>
            <m:sty m:val="p"/>
          </m:rPr>
          <m:t>=</m:t>
        </m:r>
        <m:r>
          <m:t>0.00003</m:t>
        </m:r>
      </m:oMath>
      <w:r>
        <w:t xml:space="preserve">); on clay,</w:t>
      </w:r>
      <w:r>
        <w:t xml:space="preserve"> </w:t>
      </w:r>
      <m:oMath>
        <m:sSup>
          <m:e>
            <m:r>
              <m:t>R</m:t>
            </m:r>
          </m:e>
          <m:sup>
            <m:r>
              <m:t>2</m:t>
            </m:r>
          </m:sup>
        </m:sSup>
        <m:r>
          <m:rPr>
            <m:sty m:val="p"/>
          </m:rPr>
          <m:t>&lt;</m:t>
        </m:r>
        <m:r>
          <m:t>0.0001</m:t>
        </m:r>
      </m:oMath>
      <w:r>
        <w:t xml:space="preserve">; on mean annual precipitation,</w:t>
      </w:r>
      <w:r>
        <w:t xml:space="preserve"> </w:t>
      </w:r>
      <m:oMath>
        <m:sSup>
          <m:e>
            <m:r>
              <m:t>R</m:t>
            </m:r>
          </m:e>
          <m:sup>
            <m:r>
              <m:t>2</m:t>
            </m:r>
          </m:sup>
        </m:sSup>
        <m:r>
          <m:rPr>
            <m:sty m:val="p"/>
          </m:rPr>
          <m:t>=</m:t>
        </m:r>
        <m:r>
          <m:t>0.0005</m:t>
        </m:r>
      </m:oMath>
      <w:r>
        <w:t xml:space="preserve">. The one external variable it does track is the depth to which the profile happened to be dug (</w:t>
      </w:r>
      <m:oMath>
        <m:sSup>
          <m:e>
            <m:r>
              <m:t>R</m:t>
            </m:r>
          </m:e>
          <m:sup>
            <m:r>
              <m:t>2</m:t>
            </m:r>
          </m:sup>
        </m:sSup>
        <m:r>
          <m:rPr>
            <m:sty m:val="p"/>
          </m:rPr>
          <m:t>=</m:t>
        </m:r>
        <m:r>
          <m:t>0.024</m:t>
        </m:r>
      </m:oMath>
      <w:r>
        <w:t xml:space="preserve">,</w:t>
      </w:r>
      <w:r>
        <w:t xml:space="preserve"> </w:t>
      </w:r>
      <m:oMath>
        <m:r>
          <m:t>p</m:t>
        </m:r>
        <m:r>
          <m:rPr>
            <m:sty m:val="p"/>
          </m:rPr>
          <m:t>=</m:t>
        </m:r>
        <m:r>
          <m:t>1</m:t>
        </m:r>
        <m:r>
          <m:rPr>
            <m:sty m:val="p"/>
          </m:rPr>
          <m:t>×</m:t>
        </m:r>
        <m:sSup>
          <m:e>
            <m:r>
              <m:t>10</m:t>
            </m:r>
          </m:e>
          <m:sup>
            <m:r>
              <m:rPr>
                <m:sty m:val="p"/>
              </m:rPr>
              <m:t>−</m:t>
            </m:r>
            <m:r>
              <m:t>5</m:t>
            </m:r>
          </m:sup>
        </m:sSup>
      </m:oMath>
      <w:r>
        <w:t xml:space="preserve">), which is a property of the survey rather than of the soil.</w:t>
      </w:r>
    </w:p>
    <w:p>
      <w:pPr>
        <w:pStyle w:val="BodyText"/>
      </w:pPr>
      <w:r>
        <w:t xml:space="preserve">What it does track is us. Sixty-three percent of the variance in the implied</w:t>
      </w:r>
      <w:r>
        <w:t xml:space="preserve"> </w:t>
      </w:r>
      <m:oMath>
        <m:r>
          <m:t>β</m:t>
        </m:r>
      </m:oMath>
      <w:r>
        <w:t xml:space="preserve"> </w:t>
      </w:r>
      <w:r>
        <w:t xml:space="preserve">is explained by the fitted surface concentration alone. That is mechanically unsurprising once stated — within this model family the cumulative curve is pinned by the contrast between the surface and the deep value, which is what the parameterisation encodes — but it is decisive for the anchor’s purpose. A statistic that is two-thirds determined by a parameter of the model it is meant to validate is not external evidence, and we withdraw it as such. It remains a useful check that the fitted profiles are not absurd; it is not a check that they are right.</w:t>
      </w:r>
    </w:p>
    <w:p>
      <w:pPr>
        <w:pStyle w:val="BodyText"/>
      </w:pPr>
      <w:r>
        <w:rPr>
          <w:b/>
          <w:bCs/>
        </w:rPr>
        <w:t xml:space="preserve">What we do not claim.</w:t>
      </w:r>
      <w:r>
        <w:t xml:space="preserve"> </w:t>
      </w:r>
      <w:r>
        <w:t xml:space="preserve">Five limits belong with this pillar. The model is monotone and cannot represent horizon differentiation; the 15.4% of profiles whose training horizons already violate monotonicity are not a rounding error but the pedologically most interesting ones, and the profiles that violate it only in the horizon being predicted cannot be excluded in advance at all. Carbon</w:t>
      </w:r>
      <w:r>
        <w:t xml:space="preserve"> </w:t>
      </w:r>
      <w:r>
        <w:rPr>
          <w:i/>
          <w:iCs/>
        </w:rPr>
        <w:t xml:space="preserve">stock</w:t>
      </w:r>
      <w:r>
        <w:t xml:space="preserve"> </w:t>
      </w:r>
      <w:r>
        <w:t xml:space="preserve">is scored above on 24 profiles, which is every one in the declared domain carrying a measured density on an interior horizon. On the harder extrapolation task the archive supports no stock test at all — two profiles have a measured density on their deepest horizon — so the pillar’s headline comparison remains a concentration result, and a stock validation at scale would need a pedotransfer function we have not built.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 The interpretation of the parameters rests, on the evidence above, on one weak directional association and one anchor that turned out to be internal. And the acquisition machinery this pillar feeds is lateral only: it chooses</w:t>
      </w:r>
      <w:r>
        <w:t xml:space="preserve"> </w:t>
      </w:r>
      <w:r>
        <w:rPr>
          <w:i/>
          <w:iCs/>
        </w:rPr>
        <w:t xml:space="preserve">where</w:t>
      </w:r>
      <w:r>
        <w:t xml:space="preserve"> </w:t>
      </w:r>
      <w:r>
        <w:t xml:space="preserve">to sample, never</w:t>
      </w:r>
      <w:r>
        <w:t xml:space="preserve"> </w:t>
      </w:r>
      <w:r>
        <w:rPr>
          <w:i/>
          <w:iCs/>
        </w:rPr>
        <w:t xml:space="preserve">how deep</w:t>
      </w:r>
      <w:r>
        <w:t xml:space="preserve">, so the decision a depth model is best placed to inform — whether to auger further at a site already visited — cannot currently be expressed in it.</w:t>
      </w:r>
    </w:p>
    <w:p>
      <w:pPr>
        <w:pStyle w:val="Heading3"/>
      </w:pPr>
      <w:r>
        <w:t xml:space="preserve">Four-dimensional pedometry: machinery without a soil test case</w:t>
      </w:r>
    </w:p>
    <w:p>
      <w:pPr>
        <w:pStyle w:val="FirstParagraph"/>
      </w:pPr>
      <w:r>
        <w:t xml:space="preserve">The third pillar treats a gridded environmental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BodyText"/>
      </w:pPr>
      <w:r>
        <w:t xml:space="preserve">We state at the outset what the target of the real-data demonstration is, because the machinery is general and the demonstration is not. The cube in Fig 5 is MODIS MOD13Q1 vegetation index driven by NASA POWER precipitation and temperature;</w:t>
      </w:r>
      <w:r>
        <w:t xml:space="preserve"> </w:t>
      </w:r>
      <w:r>
        <w:rPr>
          <w:b/>
          <w:bCs/>
        </w:rPr>
        <w:t xml:space="preserve">no soil quantity appears in it</w:t>
      </w:r>
      <w:r>
        <w:t xml:space="preserve">. The reason is not that the pillar was built for vegetation but that the archive cannot support the soil version: across the 1,095 Cerrado profiles, exactly six locations were sampled in more than one year, all of them a single 1981-versus-1986 pair. Six two-point series are not a space–time field. Pillar 3 is therefore a demonstrator of the forecasting and assimilation machinery on a real, densely observed cube, not a validated soil-carbon forecast, and nothing in Results rests on it.</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vegetation-index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The target throughout is MODIS vegetation index, not soil carbon. (A) Observed and forecast vegetation index at three lead times over a 10 x 10 Cerrado grid. (B) The ten-member forecast ensemble at the cell the filter corrects most, against the observed trajectory. (C) Ensemble Kalman assimilation of eight point observations: the prior field, the analysis, and the increment between them. Those eight points are</w:t>
      </w:r>
      <w:r>
        <w:t xml:space="preserve"> </w:t>
      </w:r>
      <w:r>
        <w:rPr>
          <w:b/>
          <w:bCs/>
        </w:rPr>
        <w:t xml:space="preserve">synthetic</w:t>
      </w:r>
      <w:r>
        <w:t xml:space="preserve"> </w:t>
      </w:r>
      <w:r>
        <w:t xml:space="preserve">— the withheld truth field plus Gaussian noise of 0.15 z-units — because no repeated in-situ series exists here to assimilate; panel C therefore demonstrates that the filter is exact at observed cells and correctly localised, and cannot speak to its skill against real measurements.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BodyText"/>
      </w:pPr>
      <w:r>
        <w:rPr>
          <w:b/>
          <w:bCs/>
        </w:rPr>
        <w:t xml:space="preserve">The encoder is shown a prediction of its own label.</w:t>
      </w:r>
      <w:r>
        <w:t xml:space="preserve"> </w:t>
      </w:r>
      <w:r>
        <w:t xml:space="preserve">The 31-channel stack the pre-trained encoder consumes begins with SoilGrids organic carbon, alongside clay, sand, pH and bulk density, and that stack is cut into a patch centred on each profile at</w:t>
      </w:r>
      <w:r>
        <w:t xml:space="preserve"> </w:t>
      </w:r>
      <w:r>
        <w:rPr>
          <w:i/>
          <w:iCs/>
        </w:rPr>
        <w:t xml:space="preserve">inference</w:t>
      </w:r>
      <w:r>
        <w:t xml:space="preserve"> </w:t>
      </w:r>
      <w:r>
        <w:t xml:space="preserve">time as well as during pre-training. The embeddings handed to the downstream head are therefore a nonlinear function of another product’s published estimate of the quantity being predicted, evaluated at the coordinate being predicted, and SoilGrids is itself fitted partly to WoSIS. Spatial blocking does not break this path: the raster is global and fold-independent. This is feature leakage, and it must be declared for any embedding number in this paper to be read correctly.</w:t>
      </w:r>
    </w:p>
    <w:p>
      <w:pPr>
        <w:pStyle w:val="BodyText"/>
      </w:pPr>
      <w:r>
        <w:t xml:space="preserve">We measured what it is worth rather than reasoning about it. Extracting the SoilGrids 0–5 cm carbon layer at all 1,095 profile coordinates gives a correlation with the WoSIS topsoil measurement of only</w:t>
      </w:r>
      <w:r>
        <w:t xml:space="preserve"> </w:t>
      </w:r>
      <m:oMath>
        <m:r>
          <m:t>r</m:t>
        </m:r>
        <m:r>
          <m:rPr>
            <m:sty m:val="p"/>
          </m:rPr>
          <m:t>=</m:t>
        </m:r>
        <m:r>
          <m:t>0.25</m:t>
        </m:r>
      </m:oMath>
      <w:r>
        <w:t xml:space="preserve"> </w:t>
      </w:r>
      <w:r>
        <w:t xml:space="preserve">(Spearman 0.26), and a linear model using that leaked layer</w:t>
      </w:r>
      <w:r>
        <w:t xml:space="preserve"> </w:t>
      </w:r>
      <w:r>
        <w:rPr>
          <w:i/>
          <w:iCs/>
        </w:rPr>
        <w:t xml:space="preserve">alone</w:t>
      </w:r>
      <w:r>
        <w:t xml:space="preserve">, scored on the same buffered blocks, reaches an NSE of</w:t>
      </w:r>
      <w:r>
        <w:t xml:space="preserve"> </w:t>
      </w:r>
      <m:oMath>
        <m:r>
          <m:rPr>
            <m:sty m:val="p"/>
          </m:rPr>
          <m:t>−</m:t>
        </m:r>
        <m:r>
          <m:t>0.012</m:t>
        </m:r>
      </m:oMath>
      <w:r>
        <w:t xml:space="preserve"> </w:t>
      </w:r>
      <w:r>
        <w:t xml:space="preserve">— below the achievable null. The leaked channel carries essentially no skill for this label, most likely for the same reason as in the causal analysis: it is a 2020 estimate of a 1982 measurement. So the leakage cannot account for the embeddings’ position in the benchmark, and correcting it would not rescue them.</w:t>
      </w:r>
    </w:p>
    <w:p>
      <w:pPr>
        <w:pStyle w:val="BodyText"/>
      </w:pPr>
      <w:r>
        <w:t xml:space="preserve">If anything the finding runs the other way, and it is worth stating plainly: the foundation embeddings rank fourth of six</w:t>
      </w:r>
      <w:r>
        <w:t xml:space="preserve"> </w:t>
      </w:r>
      <w:r>
        <w:rPr>
          <w:i/>
          <w:iCs/>
        </w:rPr>
        <w:t xml:space="preserve">even with a prediction of the label inside their input</w:t>
      </w:r>
      <w:r>
        <w:t xml:space="preserve">, behind an ordinary least-squares fit on ten covariates that never sees it. The clean experiment — an encoder pre-trained on a stack with the carbon channel removed — requires retraining and is not reported here; we flag it as the fix rather than claim to have performed it.</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BodyText"/>
      </w:pPr>
      <w:r>
        <w:rPr>
          <w:b/>
          <w:bCs/>
        </w:rPr>
        <w:t xml:space="preserve">Does any of it beat sampling at random?</w:t>
      </w:r>
      <w:r>
        <w:t xml:space="preserve"> </w:t>
      </w:r>
      <w:r>
        <w:t xml:space="preserve">That the policy selects uncertain sites is a statement about the policy, not about whether it helps. The package ships four acquisition strategies and a BatchBALD implementation, and the only comparison it previously contained was three variants of the same heuristic against one another — no random arm, no design arm, and BatchBALD evaluated nowhere at all. A strategy that cannot beat a uniform draw does not earn its complexity, and the only way to find out is to put a uniform draw in the loop.</w:t>
      </w:r>
    </w:p>
    <w:p>
      <w:pPr>
        <w:pStyle w:val="BodyText"/>
      </w:pPr>
      <w:r>
        <w:t xml:space="preserve">Each arm starts from the same 40-profile conditioned-Latin-hypercube seed, acquires 20 profiles per round for 6 rounds, refits a quantile regression forest each round, and is scored on a 300-profile test set fixed before any acquisition and never touched. Five repeats, because a single active-learning run is noisy.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Policy</w:t>
            </w:r>
          </w:p>
        </w:tc>
        <w:tc>
          <w:tcPr/>
          <w:p>
            <w:pPr>
              <w:pStyle w:val="Compact"/>
              <w:jc w:val="right"/>
            </w:pPr>
            <w:r>
              <w:t xml:space="preserve">Final RMSE</w:t>
            </w:r>
          </w:p>
        </w:tc>
        <w:tc>
          <w:tcPr/>
          <w:p>
            <w:pPr>
              <w:pStyle w:val="Compact"/>
              <w:jc w:val="right"/>
            </w:pPr>
            <w:r>
              <w:t xml:space="preserve">vs random</w:t>
            </w:r>
          </w:p>
        </w:tc>
        <w:tc>
          <w:tcPr/>
          <w:p>
            <w:pPr>
              <w:pStyle w:val="Compact"/>
              <w:jc w:val="right"/>
            </w:pPr>
            <w:r>
              <w:t xml:space="preserve">Paired p</w:t>
            </w:r>
          </w:p>
        </w:tc>
        <w:tc>
          <w:tcPr/>
          <w:p>
            <w:pPr>
              <w:pStyle w:val="Compact"/>
              <w:jc w:val="right"/>
            </w:pPr>
            <w:r>
              <w:t xml:space="preserve">Wins</w:t>
            </w:r>
          </w:p>
        </w:tc>
      </w:tr>
      <w:tr>
        <w:tc>
          <w:tcPr/>
          <w:p>
            <w:pPr>
              <w:pStyle w:val="Compact"/>
              <w:jc w:val="left"/>
            </w:pPr>
            <w:r>
              <w:t xml:space="preserve">clhs</w:t>
            </w:r>
          </w:p>
        </w:tc>
        <w:tc>
          <w:tcPr/>
          <w:p>
            <w:pPr>
              <w:pStyle w:val="Compact"/>
              <w:jc w:val="right"/>
            </w:pPr>
            <w:r>
              <w:t xml:space="preserve">0.5820</w:t>
            </w:r>
          </w:p>
        </w:tc>
        <w:tc>
          <w:tcPr/>
          <w:p>
            <w:pPr>
              <w:pStyle w:val="Compact"/>
              <w:jc w:val="right"/>
            </w:pPr>
            <w:r>
              <w:t xml:space="preserve">-0.0021</w:t>
            </w:r>
          </w:p>
        </w:tc>
        <w:tc>
          <w:tcPr/>
          <w:p>
            <w:pPr>
              <w:pStyle w:val="Compact"/>
              <w:jc w:val="right"/>
            </w:pPr>
            <w:r>
              <w:t xml:space="preserve">0.81</w:t>
            </w:r>
          </w:p>
        </w:tc>
        <w:tc>
          <w:tcPr/>
          <w:p>
            <w:pPr>
              <w:pStyle w:val="Compact"/>
              <w:jc w:val="right"/>
            </w:pPr>
            <w:r>
              <w:t xml:space="preserve">3/5</w:t>
            </w:r>
          </w:p>
        </w:tc>
      </w:tr>
      <w:tr>
        <w:tc>
          <w:tcPr/>
          <w:p>
            <w:pPr>
              <w:pStyle w:val="Compact"/>
              <w:jc w:val="left"/>
            </w:pPr>
            <w:r>
              <w:t xml:space="preserve">uncertainty</w:t>
            </w:r>
          </w:p>
        </w:tc>
        <w:tc>
          <w:tcPr/>
          <w:p>
            <w:pPr>
              <w:pStyle w:val="Compact"/>
              <w:jc w:val="right"/>
            </w:pPr>
            <w:r>
              <w:t xml:space="preserve">0.5834</w:t>
            </w:r>
          </w:p>
        </w:tc>
        <w:tc>
          <w:tcPr/>
          <w:p>
            <w:pPr>
              <w:pStyle w:val="Compact"/>
              <w:jc w:val="right"/>
            </w:pPr>
            <w:r>
              <w:t xml:space="preserve">-0.0007</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hybrid</w:t>
            </w:r>
          </w:p>
        </w:tc>
        <w:tc>
          <w:tcPr/>
          <w:p>
            <w:pPr>
              <w:pStyle w:val="Compact"/>
              <w:jc w:val="right"/>
            </w:pPr>
            <w:r>
              <w:t xml:space="preserve">0.5839</w:t>
            </w:r>
          </w:p>
        </w:tc>
        <w:tc>
          <w:tcPr/>
          <w:p>
            <w:pPr>
              <w:pStyle w:val="Compact"/>
              <w:jc w:val="right"/>
            </w:pPr>
            <w:r>
              <w:t xml:space="preserve">-0.0002</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random</w:t>
            </w:r>
          </w:p>
        </w:tc>
        <w:tc>
          <w:tcPr/>
          <w:p>
            <w:pPr>
              <w:pStyle w:val="Compact"/>
              <w:jc w:val="right"/>
            </w:pPr>
            <w:r>
              <w:t xml:space="preserve">0.5841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batchbald</w:t>
            </w:r>
          </w:p>
        </w:tc>
        <w:tc>
          <w:tcPr/>
          <w:p>
            <w:pPr>
              <w:pStyle w:val="Compact"/>
              <w:jc w:val="right"/>
            </w:pPr>
            <w:r>
              <w:t xml:space="preserve">0.5871</w:t>
            </w:r>
          </w:p>
        </w:tc>
        <w:tc>
          <w:tcPr/>
          <w:p>
            <w:pPr>
              <w:pStyle w:val="Compact"/>
              <w:jc w:val="right"/>
            </w:pPr>
            <w:r>
              <w:t xml:space="preserve">0.0030</w:t>
            </w:r>
          </w:p>
        </w:tc>
        <w:tc>
          <w:tcPr/>
          <w:p>
            <w:pPr>
              <w:pStyle w:val="Compact"/>
              <w:jc w:val="right"/>
            </w:pPr>
            <w:r>
              <w:t xml:space="preserve">1.00</w:t>
            </w:r>
          </w:p>
        </w:tc>
        <w:tc>
          <w:tcPr/>
          <w:p>
            <w:pPr>
              <w:pStyle w:val="Compact"/>
              <w:jc w:val="right"/>
            </w:pPr>
            <w:r>
              <w:t xml:space="preserve">2/5</w:t>
            </w:r>
          </w:p>
        </w:tc>
      </w:tr>
    </w:tbl>
    <w:p>
      <w:pPr>
        <w:pStyle w:val="BodyText"/>
      </w:pPr>
      <w:r>
        <w:rPr>
          <w:b/>
          <w:bCs/>
        </w:rPr>
        <w:t xml:space="preserve">Table 8. Acquisition policies against a random draw.</w:t>
      </w:r>
      <w:r>
        <w:t xml:space="preserve"> </w:t>
      </w:r>
      <w:r>
        <w:t xml:space="preserve">Root-mean-square error on the held-out set after 6 rounds (160 labelled profiles), averaged over 5 repeats.</w:t>
      </w:r>
      <w:r>
        <w:t xml:space="preserve"> </w:t>
      </w:r>
      <w:r>
        <w:t xml:space="preserve">“Wins”</w:t>
      </w:r>
      <w:r>
        <w:t xml:space="preserve"> </w:t>
      </w:r>
      <w:r>
        <w:t xml:space="preserve">counts repeats in which the policy beat random.</w:t>
      </w:r>
    </w:p>
    <w:p>
      <w:pPr>
        <w:pStyle w:val="BodyText"/>
      </w:pPr>
      <w:r>
        <w:t xml:space="preserve">None of them does. The three policies that edge ahead do so by between 0.0002 and 0.0021 in RMSE, with paired</w:t>
      </w:r>
      <w:r>
        <w:t xml:space="preserve"> </w:t>
      </w:r>
      <w:r>
        <w:rPr>
          <w:i/>
          <w:iCs/>
        </w:rPr>
        <w:t xml:space="preserve">p</w:t>
      </w:r>
      <w:r>
        <w:t xml:space="preserve"> </w:t>
      </w:r>
      <w:r>
        <w:t xml:space="preserve">values of 0.81 and above and wins in two or three repeats out of five — which is a tie described at length. BatchBALD, the most elaborate of the five, is the only arm that finishes</w:t>
      </w:r>
      <w:r>
        <w:t xml:space="preserve"> </w:t>
      </w:r>
      <w:r>
        <w:rPr>
          <w:i/>
          <w:iCs/>
        </w:rPr>
        <w:t xml:space="preserve">behind</w:t>
      </w:r>
      <w:r>
        <w:t xml:space="preserve"> </w:t>
      </w:r>
      <w:r>
        <w:t xml:space="preserve">the random draw. No acquisition fell back to random selection, so these are the policies’ own choices.</w:t>
      </w:r>
    </w:p>
    <w:p>
      <w:pPr>
        <w:pStyle w:val="BodyText"/>
      </w:pPr>
      <w:r>
        <w:t xml:space="preserve">What does move the error is labelling more: every curve falls from 0.608 to about 0.584 as the labelled set goes from 40 to 160. On this task the gain comes from sampling more, not from sampling cleverly — the same shape of answer the six-method benchmark returns, and we report it for the same reason.</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 The sense here is generative-probabilistic throughout: the model draws joint realisations of a field, and it encodes no soil-forming process.</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mean of the rows being scored. The distinction is not pedantic, and we report both because we got it wrong ourselves. The conventional R-squared divides by the variance of the test values about</w:t>
      </w:r>
      <w:r>
        <w:t xml:space="preserve"> </w:t>
      </w:r>
      <w:r>
        <w:rPr>
          <w:i/>
          <w:iCs/>
        </w:rPr>
        <w:t xml:space="preserve">their own</w:t>
      </w:r>
      <w:r>
        <w:t xml:space="preserve"> </w:t>
      </w:r>
      <w:r>
        <w:t xml:space="preserve">mean, which is computed from the very observations being scored: a model compared against it is compared against an oracle. That is the harder bar, since the test mean is by construction the best constant predictor of the test set, and a method can clear the achievable null while failing the oracle one. Under the achievable null a method that explains nothing scores zero and a method worse than predicting the training mean scores negative; two of our six methods do, and three fall below the oracle.</w:t>
      </w:r>
      <w:r>
        <w:t xml:space="preserve"> </w:t>
      </w:r>
      <w:r>
        <w:rPr>
          <w:rStyle w:val="VerbatimChar"/>
        </w:rPr>
        <w:t xml:space="preserve">edaphos_nse()</w:t>
      </w:r>
      <w:r>
        <w:t xml:space="preserve"> </w:t>
      </w:r>
      <w:r>
        <w:t xml:space="preserve">takes the null as a required argument for exactly this reason.</w:t>
      </w:r>
    </w:p>
    <w:p>
      <w:pPr>
        <w:pStyle w:val="BodyText"/>
      </w:pPr>
      <w:r>
        <w:t xml:space="preserve">Folds are spatially blocked</w:t>
      </w:r>
      <w:r>
        <w:t xml:space="preserve"> </w:t>
      </w:r>
      <w:r>
        <w:rPr>
          <w:i/>
          <w:iCs/>
        </w:rPr>
        <w:t xml:space="preserve">with a buffer</w:t>
      </w:r>
      <w:r>
        <w:t xml:space="preserve">. Blocking alone leaves training rows immediately across the block boundary from test rows — on these coordinates the nearest was 12.3 km away, well inside the 55–68 km range at which the fitted depth-function parameters are still correlated — and blocking without a dead zone under-states generalisation error</w:t>
      </w:r>
      <w:r>
        <w:t xml:space="preserve"> </w:t>
      </w:r>
      <w:r>
        <w:t xml:space="preserve">[18]</w:t>
      </w:r>
      <w:r>
        <w:t xml:space="preserve">.</w:t>
      </w:r>
      <w:r>
        <w:t xml:space="preserve"> </w:t>
      </w:r>
      <w:r>
        <w:rPr>
          <w:rStyle w:val="VerbatimChar"/>
        </w:rPr>
        <w:t xml:space="preserve">spatial_block_folds()</w:t>
      </w:r>
      <w:r>
        <w:t xml:space="preserve"> </w:t>
      </w:r>
      <w:r>
        <w:t xml:space="preserve">discards training rows within 68 km of any test row, reports how many it discarded, and returns the realised minimum distance so the exclusion is auditable rather than implicit.</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[19]</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9 reports the matched benchmark. Read across the row rather than down the first column: accuracy (root-mean-square error, lower is better), skill against each of two nulls, calibration (coverage near the nominal 0.90 and interval width), the proper score, and wall-clock cost.</w:t>
      </w:r>
    </w:p>
    <w:p>
      <w:pPr>
        <w:pStyle w:val="BodyText"/>
      </w:pPr>
      <w:r>
        <w:t xml:space="preserve">Two columns report skill because the choice of null decides the headline, and the two are easy to conflate.</w:t>
      </w:r>
      <w:r>
        <w:t xml:space="preserve"> </w:t>
      </w:r>
      <w:r>
        <w:rPr>
          <w:b/>
          <w:bCs/>
        </w:rPr>
        <w:t xml:space="preserve">NSE</w:t>
      </w:r>
      <w:r>
        <w:t xml:space="preserve"> </w:t>
      </w:r>
      <w:r>
        <w:t xml:space="preserve">is measured against the mean of each fold’s</w:t>
      </w:r>
      <w:r>
        <w:t xml:space="preserve"> </w:t>
      </w:r>
      <w:r>
        <w:rPr>
          <w:i/>
          <w:iCs/>
        </w:rPr>
        <w:t xml:space="preserve">training</w:t>
      </w:r>
      <w:r>
        <w:t xml:space="preserve"> </w:t>
      </w:r>
      <w:r>
        <w:t xml:space="preserve">rows — a null a deployed map could actually use.</w:t>
      </w:r>
      <w:r>
        <w:t xml:space="preserve"> </w:t>
      </w:r>
      <w:r>
        <w:rPr>
          <w:b/>
          <w:bCs/>
        </w:rPr>
        <w:t xml:space="preserve">R-squared</w:t>
      </w:r>
      <w:r>
        <w:t xml:space="preserve"> </w:t>
      </w:r>
      <w:r>
        <w:t xml:space="preserve">is measured against the mean of the</w:t>
      </w:r>
      <w:r>
        <w:t xml:space="preserve"> </w:t>
      </w:r>
      <w:r>
        <w:rPr>
          <w:i/>
          <w:iCs/>
        </w:rPr>
        <w:t xml:space="preserve">test</w:t>
      </w:r>
      <w:r>
        <w:t xml:space="preserve"> </w:t>
      </w:r>
      <w:r>
        <w:t xml:space="preserve">rows, which is what the conventional formula does and which no map has access to; it is the harder bar, because the test mean is by construction the best constant predictor of the test set. An earlier version of this paper reported the second under the first’s name, and the difference is not cosmetic: three methods fall below the oracle null and two below the achievable one.</w:t>
      </w:r>
    </w:p>
    <w:p>
      <w:pPr>
        <w:pStyle w:val="BodyText"/>
      </w:pPr>
      <w:r>
        <w:rPr>
          <w:b/>
          <w:bCs/>
        </w:rPr>
        <w:t xml:space="preserve">Table 9. Matched cross-pillar benchmark on real Cerrado profiles.</w:t>
      </w:r>
      <w:r>
        <w:t xml:space="preserve"> </w:t>
      </w:r>
      <w:r>
        <w:t xml:space="preserve">Six methods on the same spatially blocked folds and the same target transform. Folds carry a 68 km buffer: training rows within that distance of any test row are discarded, which cost 88 training rows across the five folds (2.0% of the fold-wise training rows) and raised the realised minimum training-to-test distance from 15.2 to 68.5 km. Those distances are for the 1,095 benchmark profiles; the denser 3,077-profile causal extract, which is a different data set, would give 12.3 km unbuffered. RMSE and CRPS: lower is better. NSE is skill against the training-fold mean, R-squared against the test-fold mean; PICP should approach 0.90. Rows are ordered by RMSE.</w:t>
      </w:r>
    </w:p>
    <w:tbl>
      <w:tblPr>
        <w:tblStyle w:val="Table"/>
        <w:tblW w:type="pct" w:w="5000"/>
        <w:tblLayout w:type="fixed"/>
        <w:tblLook w:firstRow="1" w:lastRow="0" w:firstColumn="0" w:lastColumn="0" w:noHBand="0" w:noVBand="0" w:val="0020"/>
      </w:tblPr>
      <w:tblGrid>
        <w:gridCol w:w="3148"/>
        <w:gridCol w:w="572"/>
        <w:gridCol w:w="667"/>
        <w:gridCol w:w="954"/>
        <w:gridCol w:w="572"/>
        <w:gridCol w:w="572"/>
        <w:gridCol w:w="572"/>
        <w:gridCol w:w="858"/>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NSE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0.200</w:t>
            </w:r>
          </w:p>
        </w:tc>
        <w:tc>
          <w:tcPr/>
          <w:p>
            <w:pPr>
              <w:pStyle w:val="Compact"/>
              <w:jc w:val="right"/>
            </w:pPr>
            <w:r>
              <w:t xml:space="preserve">0.069</w:t>
            </w:r>
          </w:p>
        </w:tc>
        <w:tc>
          <w:tcPr/>
          <w:p>
            <w:pPr>
              <w:pStyle w:val="Compact"/>
              <w:jc w:val="right"/>
            </w:pPr>
            <w:r>
              <w:t xml:space="preserve">0.882</w:t>
            </w:r>
          </w:p>
        </w:tc>
        <w:tc>
          <w:tcPr/>
          <w:p>
            <w:pPr>
              <w:pStyle w:val="Compact"/>
              <w:jc w:val="right"/>
            </w:pPr>
            <w:r>
              <w:t xml:space="preserve">1.843</w:t>
            </w:r>
          </w:p>
        </w:tc>
        <w:tc>
          <w:tcPr/>
          <w:p>
            <w:pPr>
              <w:pStyle w:val="Compact"/>
              <w:jc w:val="right"/>
            </w:pPr>
            <w:r>
              <w:t xml:space="preserve">0.323</w:t>
            </w:r>
          </w:p>
        </w:tc>
        <w:tc>
          <w:tcPr/>
          <w:p>
            <w:pPr>
              <w:pStyle w:val="Compact"/>
              <w:jc w:val="right"/>
            </w:pPr>
            <w:r>
              <w:t xml:space="preserve">2.5</w:t>
            </w:r>
          </w:p>
        </w:tc>
      </w:tr>
      <w:tr>
        <w:tc>
          <w:tcPr/>
          <w:p>
            <w:pPr>
              <w:pStyle w:val="Compact"/>
              <w:jc w:val="left"/>
            </w:pPr>
            <w:r>
              <w:t xml:space="preserve">P5 QRF</w:t>
            </w:r>
          </w:p>
        </w:tc>
        <w:tc>
          <w:tcPr/>
          <w:p>
            <w:pPr>
              <w:pStyle w:val="Compact"/>
              <w:jc w:val="right"/>
            </w:pPr>
            <w:r>
              <w:t xml:space="preserve">0.592</w:t>
            </w:r>
          </w:p>
        </w:tc>
        <w:tc>
          <w:tcPr/>
          <w:p>
            <w:pPr>
              <w:pStyle w:val="Compact"/>
              <w:jc w:val="right"/>
            </w:pPr>
            <w:r>
              <w:t xml:space="preserve">0.177</w:t>
            </w:r>
          </w:p>
        </w:tc>
        <w:tc>
          <w:tcPr/>
          <w:p>
            <w:pPr>
              <w:pStyle w:val="Compact"/>
              <w:jc w:val="right"/>
            </w:pPr>
            <w:r>
              <w:t xml:space="preserve">0.044</w:t>
            </w:r>
          </w:p>
        </w:tc>
        <w:tc>
          <w:tcPr/>
          <w:p>
            <w:pPr>
              <w:pStyle w:val="Compact"/>
              <w:jc w:val="right"/>
            </w:pPr>
            <w:r>
              <w:t xml:space="preserve">0.874</w:t>
            </w:r>
          </w:p>
        </w:tc>
        <w:tc>
          <w:tcPr/>
          <w:p>
            <w:pPr>
              <w:pStyle w:val="Compact"/>
              <w:jc w:val="right"/>
            </w:pPr>
            <w:r>
              <w:t xml:space="preserve">1.871</w:t>
            </w:r>
          </w:p>
        </w:tc>
        <w:tc>
          <w:tcPr/>
          <w:p>
            <w:pPr>
              <w:pStyle w:val="Compact"/>
              <w:jc w:val="right"/>
            </w:pPr>
            <w:r>
              <w:t xml:space="preserve">0.323</w:t>
            </w:r>
          </w:p>
        </w:tc>
        <w:tc>
          <w:tcPr/>
          <w:p>
            <w:pPr>
              <w:pStyle w:val="Compact"/>
              <w:jc w:val="right"/>
            </w:pPr>
            <w:r>
              <w:t xml:space="preserve">2.2</w:t>
            </w:r>
          </w:p>
        </w:tc>
      </w:tr>
      <w:tr>
        <w:tc>
          <w:tcPr/>
          <w:p>
            <w:pPr>
              <w:pStyle w:val="Compact"/>
              <w:jc w:val="left"/>
            </w:pPr>
            <w:r>
              <w:t xml:space="preserve">P7 BHS</w:t>
            </w:r>
          </w:p>
        </w:tc>
        <w:tc>
          <w:tcPr/>
          <w:p>
            <w:pPr>
              <w:pStyle w:val="Compact"/>
              <w:jc w:val="right"/>
            </w:pPr>
            <w:r>
              <w:t xml:space="preserve">0.608</w:t>
            </w:r>
          </w:p>
        </w:tc>
        <w:tc>
          <w:tcPr/>
          <w:p>
            <w:pPr>
              <w:pStyle w:val="Compact"/>
              <w:jc w:val="right"/>
            </w:pPr>
            <w:r>
              <w:t xml:space="preserve">0.138</w:t>
            </w:r>
          </w:p>
        </w:tc>
        <w:tc>
          <w:tcPr/>
          <w:p>
            <w:pPr>
              <w:pStyle w:val="Compact"/>
              <w:jc w:val="right"/>
            </w:pPr>
            <w:r>
              <w:t xml:space="preserve">0.006</w:t>
            </w:r>
          </w:p>
        </w:tc>
        <w:tc>
          <w:tcPr/>
          <w:p>
            <w:pPr>
              <w:pStyle w:val="Compact"/>
              <w:jc w:val="right"/>
            </w:pPr>
            <w:r>
              <w:t xml:space="preserve">0.926</w:t>
            </w:r>
          </w:p>
        </w:tc>
        <w:tc>
          <w:tcPr/>
          <w:p>
            <w:pPr>
              <w:pStyle w:val="Compact"/>
              <w:jc w:val="right"/>
            </w:pPr>
            <w:r>
              <w:t xml:space="preserve">2.163</w:t>
            </w:r>
          </w:p>
        </w:tc>
        <w:tc>
          <w:tcPr/>
          <w:p>
            <w:pPr>
              <w:pStyle w:val="Compact"/>
              <w:jc w:val="right"/>
            </w:pPr>
            <w:r>
              <w:t xml:space="preserve">0.341</w:t>
            </w:r>
          </w:p>
        </w:tc>
        <w:tc>
          <w:tcPr/>
          <w:p>
            <w:pPr>
              <w:pStyle w:val="Compact"/>
              <w:jc w:val="right"/>
            </w:pPr>
            <w:r>
              <w:t xml:space="preserve">97.8</w:t>
            </w:r>
          </w:p>
        </w:tc>
      </w:tr>
      <w:tr>
        <w:tc>
          <w:tcPr/>
          <w:p>
            <w:pPr>
              <w:pStyle w:val="Compact"/>
              <w:jc w:val="left"/>
            </w:pPr>
            <w:r>
              <w:t xml:space="preserve">P4 Foundation embeddings + QRF</w:t>
            </w:r>
          </w:p>
        </w:tc>
        <w:tc>
          <w:tcPr/>
          <w:p>
            <w:pPr>
              <w:pStyle w:val="Compact"/>
              <w:jc w:val="right"/>
            </w:pPr>
            <w:r>
              <w:t xml:space="preserve">0.616</w:t>
            </w:r>
          </w:p>
        </w:tc>
        <w:tc>
          <w:tcPr/>
          <w:p>
            <w:pPr>
              <w:pStyle w:val="Compact"/>
              <w:jc w:val="right"/>
            </w:pPr>
            <w:r>
              <w:t xml:space="preserve">0.118</w:t>
            </w:r>
          </w:p>
        </w:tc>
        <w:tc>
          <w:tcPr/>
          <w:p>
            <w:pPr>
              <w:pStyle w:val="Compact"/>
              <w:jc w:val="right"/>
            </w:pPr>
            <w:r>
              <w:t xml:space="preserve">-0.013</w:t>
            </w:r>
          </w:p>
        </w:tc>
        <w:tc>
          <w:tcPr/>
          <w:p>
            <w:pPr>
              <w:pStyle w:val="Compact"/>
              <w:jc w:val="right"/>
            </w:pPr>
            <w:r>
              <w:t xml:space="preserve">0.892</w:t>
            </w:r>
          </w:p>
        </w:tc>
        <w:tc>
          <w:tcPr/>
          <w:p>
            <w:pPr>
              <w:pStyle w:val="Compact"/>
              <w:jc w:val="right"/>
            </w:pPr>
            <w:r>
              <w:t xml:space="preserve">2.179</w:t>
            </w:r>
          </w:p>
        </w:tc>
        <w:tc>
          <w:tcPr/>
          <w:p>
            <w:pPr>
              <w:pStyle w:val="Compact"/>
              <w:jc w:val="right"/>
            </w:pPr>
            <w:r>
              <w:t xml:space="preserve">0.340</w:t>
            </w:r>
          </w:p>
        </w:tc>
        <w:tc>
          <w:tcPr/>
          <w:p>
            <w:pPr>
              <w:pStyle w:val="Compact"/>
              <w:jc w:val="right"/>
            </w:pPr>
            <w:r>
              <w:t xml:space="preserve">94.2</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-0.024</w:t>
            </w:r>
          </w:p>
        </w:tc>
        <w:tc>
          <w:tcPr/>
          <w:p>
            <w:pPr>
              <w:pStyle w:val="Compact"/>
              <w:jc w:val="right"/>
            </w:pPr>
            <w:r>
              <w:t xml:space="preserve">-0.185</w:t>
            </w:r>
          </w:p>
        </w:tc>
        <w:tc>
          <w:tcPr/>
          <w:p>
            <w:pPr>
              <w:pStyle w:val="Compact"/>
              <w:jc w:val="right"/>
            </w:pPr>
            <w:r>
              <w:t xml:space="preserve">0.663</w:t>
            </w:r>
          </w:p>
        </w:tc>
        <w:tc>
          <w:tcPr/>
          <w:p>
            <w:pPr>
              <w:pStyle w:val="Compact"/>
              <w:jc w:val="right"/>
            </w:pPr>
            <w:r>
              <w:t xml:space="preserve">1.263</w:t>
            </w:r>
          </w:p>
        </w:tc>
        <w:tc>
          <w:tcPr/>
          <w:p>
            <w:pPr>
              <w:pStyle w:val="Compact"/>
              <w:jc w:val="right"/>
            </w:pPr>
            <w:r>
              <w:t xml:space="preserve">0.391</w:t>
            </w:r>
          </w:p>
        </w:tc>
        <w:tc>
          <w:tcPr/>
          <w:p>
            <w:pPr>
              <w:pStyle w:val="Compact"/>
              <w:jc w:val="right"/>
            </w:pPr>
            <w:r>
              <w:t xml:space="preserve">728.3</w:t>
            </w:r>
          </w:p>
        </w:tc>
      </w:tr>
      <w:tr>
        <w:tc>
          <w:tcPr/>
          <w:p>
            <w:pPr>
              <w:pStyle w:val="Compact"/>
              <w:jc w:val="left"/>
            </w:pPr>
            <w:r>
              <w:t xml:space="preserve">P10 GAT (trained attention)</w:t>
            </w:r>
          </w:p>
        </w:tc>
        <w:tc>
          <w:tcPr/>
          <w:p>
            <w:pPr>
              <w:pStyle w:val="Compact"/>
              <w:jc w:val="right"/>
            </w:pPr>
            <w:r>
              <w:t xml:space="preserve">0.680</w:t>
            </w:r>
          </w:p>
        </w:tc>
        <w:tc>
          <w:tcPr/>
          <w:p>
            <w:pPr>
              <w:pStyle w:val="Compact"/>
              <w:jc w:val="right"/>
            </w:pPr>
            <w:r>
              <w:t xml:space="preserve">-0.131</w:t>
            </w:r>
          </w:p>
        </w:tc>
        <w:tc>
          <w:tcPr/>
          <w:p>
            <w:pPr>
              <w:pStyle w:val="Compact"/>
              <w:jc w:val="right"/>
            </w:pPr>
            <w:r>
              <w:t xml:space="preserve">-0.346</w:t>
            </w:r>
          </w:p>
        </w:tc>
        <w:tc>
          <w:tcPr/>
          <w:p>
            <w:pPr>
              <w:pStyle w:val="Compact"/>
              <w:jc w:val="right"/>
            </w:pPr>
            <w:r>
              <w:t xml:space="preserve">0.790</w:t>
            </w:r>
          </w:p>
        </w:tc>
        <w:tc>
          <w:tcPr/>
          <w:p>
            <w:pPr>
              <w:pStyle w:val="Compact"/>
              <w:jc w:val="right"/>
            </w:pPr>
            <w:r>
              <w:t xml:space="preserve">1.846</w:t>
            </w:r>
          </w:p>
        </w:tc>
        <w:tc>
          <w:tcPr/>
          <w:p>
            <w:pPr>
              <w:pStyle w:val="Compact"/>
              <w:jc w:val="right"/>
            </w:pPr>
            <w:r>
              <w:t xml:space="preserve">0.413</w:t>
            </w:r>
          </w:p>
        </w:tc>
        <w:tc>
          <w:tcPr/>
          <w:p>
            <w:pPr>
              <w:pStyle w:val="Compact"/>
              <w:jc w:val="right"/>
            </w:pPr>
            <w:r>
              <w:t xml:space="preserve">191.7</w:t>
            </w:r>
          </w:p>
        </w:tc>
      </w:tr>
    </w:tbl>
    <w:p>
      <w:pPr>
        <w:pStyle w:val="BodyText"/>
      </w:pPr>
      <w:r>
        <w:t xml:space="preserve">Ordinary least squares restricted to the covariates in the backdoor adjustment set has the lowest error (0.583) and the highest skill against both nulls (NSE 0.200), and its coverage (0.882) is close to nominal. The quantile random forest is a close second at a comparable cost. The three methods with the greatest representational capacity — foundation-model embeddings, the graph attention network, and the quantum kernel — rank last. 3 of them fall below the oracle null and 2 below the achievable one (P6 and P10): on spatially blocked folds those two explain less of the variation than predicting each training partition’s mean. The quantum kernel is simultaneously among the least accurate and, at 728 s against 2.5 s for the baseline, several hundred times the most expensive.</w:t>
      </w:r>
    </w:p>
    <w:p>
      <w:pPr>
        <w:pStyle w:val="BodyText"/>
      </w:pPr>
      <w:r>
        <w:rPr>
          <w:b/>
          <w:bCs/>
        </w:rPr>
        <w:t xml:space="preserve">What the buffer is worth, re-measured.</w:t>
      </w:r>
      <w:r>
        <w:t xml:space="preserve"> </w:t>
      </w:r>
      <w:r>
        <w:t xml:space="preserve">An earlier version of this paper reported that the buffer changed the ranking — that the graph attention network reached RMSE 0.621 and sat fifth without it against 0.686 and last with it. That comparison was made by hand, was never scripted, and does not reproduce against the current code; it also predated the correction of the Pillar-10 graph to great-circle distance, so it compared two different models. We report the re-measurement rather than the sentence.</w:t>
      </w:r>
    </w:p>
    <w:p>
      <w:pPr>
        <w:pStyle w:val="BodyText"/>
      </w:pPr>
      <w:r>
        <w:t xml:space="preserve">Running the same harness on the same blocks with the buffer switched off (</w:t>
      </w:r>
      <w:r>
        <w:rPr>
          <w:rStyle w:val="VerbatimChar"/>
        </w:rPr>
        <w:t xml:space="preserve">data-raw/buffer_effect.R</w:t>
      </w:r>
      <w:r>
        <w:t xml:space="preserve">, 68 km, 88 training rows discarded) gives:</w:t>
      </w:r>
    </w:p>
    <w:tbl>
      <w:tblPr>
        <w:tblStyle w:val="Table"/>
        <w:tblW w:type="pct" w:w="5000"/>
        <w:tblLayout w:type="fixed"/>
        <w:tblLook w:firstRow="1" w:lastRow="0" w:firstColumn="0" w:lastColumn="0" w:noHBand="0" w:noVBand="0" w:val="0020"/>
      </w:tblPr>
      <w:tblGrid>
        <w:gridCol w:w="3350"/>
        <w:gridCol w:w="1116"/>
        <w:gridCol w:w="913"/>
        <w:gridCol w:w="609"/>
        <w:gridCol w:w="913"/>
        <w:gridCol w:w="1015"/>
      </w:tblGrid>
      <w:tr>
        <w:trPr>
          <w:tblHeader w:val="on"/>
        </w:trPr>
        <w:tc>
          <w:tcPr/>
          <w:p>
            <w:pPr>
              <w:pStyle w:val="Compact"/>
              <w:jc w:val="left"/>
            </w:pPr>
            <w:r>
              <w:t xml:space="preserve">Method</w:t>
            </w:r>
          </w:p>
        </w:tc>
        <w:tc>
          <w:tcPr/>
          <w:p>
            <w:pPr>
              <w:pStyle w:val="Compact"/>
              <w:jc w:val="right"/>
            </w:pPr>
            <w:r>
              <w:t xml:space="preserve">Unbuffered</w:t>
            </w:r>
          </w:p>
        </w:tc>
        <w:tc>
          <w:tcPr/>
          <w:p>
            <w:pPr>
              <w:pStyle w:val="Compact"/>
              <w:jc w:val="right"/>
            </w:pPr>
            <w:r>
              <w:t xml:space="preserve">Buffered</w:t>
            </w:r>
          </w:p>
        </w:tc>
        <w:tc>
          <w:tcPr/>
          <w:p>
            <w:pPr>
              <w:pStyle w:val="Compact"/>
              <w:jc w:val="right"/>
            </w:pPr>
            <w:r>
              <w:t xml:space="preserve">Delta</w:t>
            </w:r>
          </w:p>
        </w:tc>
        <w:tc>
          <w:tcPr/>
          <w:p>
            <w:pPr>
              <w:pStyle w:val="Compact"/>
              <w:jc w:val="right"/>
            </w:pPr>
            <w:r>
              <w:t xml:space="preserve">Rank un.</w:t>
            </w:r>
          </w:p>
        </w:tc>
        <w:tc>
          <w:tcPr/>
          <w:p>
            <w:pPr>
              <w:pStyle w:val="Compact"/>
              <w:jc w:val="right"/>
            </w:pPr>
            <w:r>
              <w:t xml:space="preserve">Rank buf.</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0.583</w:t>
            </w:r>
          </w:p>
        </w:tc>
        <w:tc>
          <w:tcPr/>
          <w:p>
            <w:pPr>
              <w:pStyle w:val="Compact"/>
              <w:jc w:val="right"/>
            </w:pPr>
            <w:r>
              <w:t xml:space="preserve">0.000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P5 QRF</w:t>
            </w:r>
          </w:p>
        </w:tc>
        <w:tc>
          <w:tcPr/>
          <w:p>
            <w:pPr>
              <w:pStyle w:val="Compact"/>
              <w:jc w:val="right"/>
            </w:pPr>
            <w:r>
              <w:t xml:space="preserve">0.588</w:t>
            </w:r>
          </w:p>
        </w:tc>
        <w:tc>
          <w:tcPr/>
          <w:p>
            <w:pPr>
              <w:pStyle w:val="Compact"/>
              <w:jc w:val="right"/>
            </w:pPr>
            <w:r>
              <w:t xml:space="preserve">0.592</w:t>
            </w:r>
          </w:p>
        </w:tc>
        <w:tc>
          <w:tcPr/>
          <w:p>
            <w:pPr>
              <w:pStyle w:val="Compact"/>
              <w:jc w:val="right"/>
            </w:pPr>
            <w:r>
              <w:t xml:space="preserve">0.004</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P7 BHS</w:t>
            </w:r>
          </w:p>
        </w:tc>
        <w:tc>
          <w:tcPr/>
          <w:p>
            <w:pPr>
              <w:pStyle w:val="Compact"/>
              <w:jc w:val="right"/>
            </w:pPr>
            <w:r>
              <w:t xml:space="preserve">0.605</w:t>
            </w:r>
          </w:p>
        </w:tc>
        <w:tc>
          <w:tcPr/>
          <w:p>
            <w:pPr>
              <w:pStyle w:val="Compact"/>
              <w:jc w:val="right"/>
            </w:pPr>
            <w:r>
              <w:t xml:space="preserve">0.608</w:t>
            </w:r>
          </w:p>
        </w:tc>
        <w:tc>
          <w:tcPr/>
          <w:p>
            <w:pPr>
              <w:pStyle w:val="Compact"/>
              <w:jc w:val="right"/>
            </w:pPr>
            <w:r>
              <w:t xml:space="preserve">0.003</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P6 Quantum KRR</w:t>
            </w:r>
          </w:p>
        </w:tc>
        <w:tc>
          <w:tcPr/>
          <w:p>
            <w:pPr>
              <w:pStyle w:val="Compact"/>
              <w:jc w:val="right"/>
            </w:pPr>
            <w:r>
              <w:t xml:space="preserve">0.660</w:t>
            </w:r>
          </w:p>
        </w:tc>
        <w:tc>
          <w:tcPr/>
          <w:p>
            <w:pPr>
              <w:pStyle w:val="Compact"/>
              <w:jc w:val="right"/>
            </w:pPr>
            <w:r>
              <w:t xml:space="preserve">0.663</w:t>
            </w:r>
          </w:p>
        </w:tc>
        <w:tc>
          <w:tcPr/>
          <w:p>
            <w:pPr>
              <w:pStyle w:val="Compact"/>
              <w:jc w:val="right"/>
            </w:pPr>
            <w:r>
              <w:t xml:space="preserve">0.003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P10 GAT (trained attention)</w:t>
            </w:r>
          </w:p>
        </w:tc>
        <w:tc>
          <w:tcPr/>
          <w:p>
            <w:pPr>
              <w:pStyle w:val="Compact"/>
              <w:jc w:val="right"/>
            </w:pPr>
            <w:r>
              <w:t xml:space="preserve">0.672</w:t>
            </w:r>
          </w:p>
        </w:tc>
        <w:tc>
          <w:tcPr/>
          <w:p>
            <w:pPr>
              <w:pStyle w:val="Compact"/>
              <w:jc w:val="right"/>
            </w:pPr>
            <w:r>
              <w:t xml:space="preserve">0.680</w:t>
            </w:r>
          </w:p>
        </w:tc>
        <w:tc>
          <w:tcPr/>
          <w:p>
            <w:pPr>
              <w:pStyle w:val="Compact"/>
              <w:jc w:val="right"/>
            </w:pPr>
            <w:r>
              <w:t xml:space="preserve">0.007</w:t>
            </w:r>
          </w:p>
        </w:tc>
        <w:tc>
          <w:tcPr/>
          <w:p>
            <w:pPr>
              <w:pStyle w:val="Compact"/>
              <w:jc w:val="right"/>
            </w:pPr>
            <w:r>
              <w:t xml:space="preserve">5</w:t>
            </w:r>
          </w:p>
        </w:tc>
        <w:tc>
          <w:tcPr/>
          <w:p>
            <w:pPr>
              <w:pStyle w:val="Compact"/>
              <w:jc w:val="right"/>
            </w:pPr>
            <w:r>
              <w:t xml:space="preserve">5</w:t>
            </w:r>
          </w:p>
        </w:tc>
      </w:tr>
    </w:tbl>
    <w:p>
      <w:pPr>
        <w:pStyle w:val="BodyText"/>
      </w:pPr>
      <w:r>
        <w:rPr>
          <w:b/>
          <w:bCs/>
        </w:rPr>
        <w:t xml:space="preserve">Table 10. What the 68 km buffer costs each method.</w:t>
      </w:r>
      <w:r>
        <w:t xml:space="preserve"> </w:t>
      </w:r>
      <w:r>
        <w:t xml:space="preserve">RMSE on the log1p scale, five methods on identical test blocks; the only difference is which training rows are discarded. Pillar 4 is scored in a separate harness and is not re-run here, so it is absent rather than omitted silently.</w:t>
      </w:r>
    </w:p>
    <w:p>
      <w:pPr>
        <w:pStyle w:val="BodyText"/>
      </w:pPr>
      <w:r>
        <w:t xml:space="preserve">The buffer costs every method a little and the graph attention network the most (0.007 against at most 0.004 for any other), which is the direction the mechanism predicts: a network whose representation is a graph over spatial neighbours is the method that gains most from training points immediately across a block boundary. But the effect is an order of magnitude smaller than we previously reported, and</w:t>
      </w:r>
      <w:r>
        <w:t xml:space="preserve"> </w:t>
      </w:r>
      <w:r>
        <w:rPr>
          <w:b/>
          <w:bCs/>
        </w:rPr>
        <w:t xml:space="preserve">the ranking is identical with and without it</w:t>
      </w:r>
      <w:r>
        <w:t xml:space="preserve">. The buffer is the right protocol on principle — a model must not be scored on rows it could interpolate from near-duplicates — and we keep it for that reason, not because it rescues a conclusion. On these data it does not change one.</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buffered folds.</w:t>
      </w:r>
      <w:r>
        <w:t xml:space="preserve"> </w:t>
      </w:r>
      <w:r>
        <w:t xml:space="preserve">(A) Predictive accuracy; bars are red where the method explains less than the achievable null of the training-fold mean. (B) Skill against that null, with the oracle null shown for contrast. (C) Calibration against sharpness: the shaded band is within four points of nominal 90% coverage, and the quantum kernel is both the sharpest and the least covered, an overconfidence invisible in panel A. (D) Wall-clock cost on a log scale. The two methods that fall below the achievable null are also the two most expensive, and the most accurate method is among the cheapest at 2.3 s. The least accurate is not itself the single most expensive: that is the quantum kernel, at roughly four times the graph network’s cost.</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Coverage is a rate, not a map: does the interval know where it is extrapolating?</w:t>
      </w:r>
    </w:p>
    <w:p>
      <w:pPr>
        <w:pStyle w:val="FirstParagraph"/>
      </w:pPr>
      <w:r>
        <w:t xml:space="preserve">A single PICP is a pooled rate. It reports what fraction of test profiles fell inside their interval; it does not report whether the interval was wide in the right</w:t>
      </w:r>
      <w:r>
        <w:t xml:space="preserve"> </w:t>
      </w:r>
      <w:r>
        <w:rPr>
          <w:i/>
          <w:iCs/>
        </w:rPr>
        <w:t xml:space="preserve">places</w:t>
      </w:r>
      <w:r>
        <w:t xml:space="preserve">. On spatially blocked folds that distinction carries the whole question, because a test profile here sits anywhere from 68 to 870 km from the nearest training profile (median 304 km). A method emitting the same width at both ends is quoting a constant that happens to average out.</w:t>
      </w:r>
    </w:p>
    <w:p>
      <w:pPr>
        <w:pStyle w:val="BodyText"/>
      </w:pPr>
      <w:r>
        <w:t xml:space="preserve">We measured it. For every test profile we recorded the width of its 90% interval and the distance to its nearest training profile, and we report the rank correlation both raw and after partialling out the Mahalanobis distance of that profile’s covariates from the training covariate centroid — because a method can widen for covariate novelty while remaining blind to geography, and only the partial correlation licenses a spatial claim.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right"/>
            </w:pPr>
            <w:r>
              <w:t xml:space="preserve">Width vs distance</w:t>
            </w:r>
          </w:p>
        </w:tc>
        <w:tc>
          <w:tcPr/>
          <w:p>
            <w:pPr>
              <w:pStyle w:val="Compact"/>
              <w:jc w:val="right"/>
            </w:pPr>
            <w:r>
              <w:t xml:space="preserve">partial</w:t>
            </w:r>
          </w:p>
        </w:tc>
        <w:tc>
          <w:tcPr/>
          <w:p>
            <w:pPr>
              <w:pStyle w:val="Compact"/>
              <w:jc w:val="right"/>
            </w:pPr>
            <w:r>
              <w:t xml:space="preserve">Error vs distance</w:t>
            </w:r>
          </w:p>
        </w:tc>
        <w:tc>
          <w:tcPr/>
          <w:p>
            <w:pPr>
              <w:pStyle w:val="Compact"/>
              <w:jc w:val="right"/>
            </w:pPr>
            <w:r>
              <w:t xml:space="preserve">p</w:t>
            </w:r>
          </w:p>
        </w:tc>
      </w:tr>
      <w:tr>
        <w:tc>
          <w:tcPr/>
          <w:p>
            <w:pPr>
              <w:pStyle w:val="Compact"/>
              <w:jc w:val="left"/>
            </w:pPr>
            <w:r>
              <w:t xml:space="preserve">P7</w:t>
            </w:r>
          </w:p>
        </w:tc>
        <w:tc>
          <w:tcPr/>
          <w:p>
            <w:pPr>
              <w:pStyle w:val="Compact"/>
              <w:jc w:val="right"/>
            </w:pPr>
            <w:r>
              <w:t xml:space="preserve">0.803</w:t>
            </w:r>
          </w:p>
        </w:tc>
        <w:tc>
          <w:tcPr/>
          <w:p>
            <w:pPr>
              <w:pStyle w:val="Compact"/>
              <w:jc w:val="right"/>
            </w:pPr>
            <w:r>
              <w:t xml:space="preserve">0.781</w:t>
            </w:r>
          </w:p>
        </w:tc>
        <w:tc>
          <w:tcPr/>
          <w:p>
            <w:pPr>
              <w:pStyle w:val="Compact"/>
              <w:jc w:val="right"/>
            </w:pPr>
            <w:r>
              <w:t xml:space="preserve">0.008</w:t>
            </w:r>
          </w:p>
        </w:tc>
        <w:tc>
          <w:tcPr/>
          <w:p>
            <w:pPr>
              <w:pStyle w:val="Compact"/>
              <w:jc w:val="right"/>
            </w:pPr>
            <w:r>
              <w:t xml:space="preserve">0.80000</w:t>
            </w:r>
          </w:p>
        </w:tc>
      </w:tr>
      <w:tr>
        <w:tc>
          <w:tcPr/>
          <w:p>
            <w:pPr>
              <w:pStyle w:val="Compact"/>
              <w:jc w:val="left"/>
            </w:pPr>
            <w:r>
              <w:t xml:space="preserve">P5</w:t>
            </w:r>
          </w:p>
        </w:tc>
        <w:tc>
          <w:tcPr/>
          <w:p>
            <w:pPr>
              <w:pStyle w:val="Compact"/>
              <w:jc w:val="right"/>
            </w:pPr>
            <w:r>
              <w:t xml:space="preserve">0.224</w:t>
            </w:r>
          </w:p>
        </w:tc>
        <w:tc>
          <w:tcPr/>
          <w:p>
            <w:pPr>
              <w:pStyle w:val="Compact"/>
              <w:jc w:val="right"/>
            </w:pPr>
            <w:r>
              <w:t xml:space="preserve">0.133</w:t>
            </w:r>
          </w:p>
        </w:tc>
        <w:tc>
          <w:tcPr/>
          <w:p>
            <w:pPr>
              <w:pStyle w:val="Compact"/>
              <w:jc w:val="right"/>
            </w:pPr>
            <w:r>
              <w:t xml:space="preserve">0.015</w:t>
            </w:r>
          </w:p>
        </w:tc>
        <w:tc>
          <w:tcPr/>
          <w:p>
            <w:pPr>
              <w:pStyle w:val="Compact"/>
              <w:jc w:val="right"/>
            </w:pPr>
            <w:r>
              <w:t xml:space="preserve">0.62000</w:t>
            </w:r>
          </w:p>
        </w:tc>
      </w:tr>
      <w:tr>
        <w:tc>
          <w:tcPr/>
          <w:p>
            <w:pPr>
              <w:pStyle w:val="Compact"/>
              <w:jc w:val="left"/>
            </w:pPr>
            <w:r>
              <w:t xml:space="preserve">P10</w:t>
            </w:r>
          </w:p>
        </w:tc>
        <w:tc>
          <w:tcPr/>
          <w:p>
            <w:pPr>
              <w:pStyle w:val="Compact"/>
              <w:jc w:val="right"/>
            </w:pPr>
            <w:r>
              <w:t xml:space="preserve">-0.045</w:t>
            </w:r>
          </w:p>
        </w:tc>
        <w:tc>
          <w:tcPr/>
          <w:p>
            <w:pPr>
              <w:pStyle w:val="Compact"/>
              <w:jc w:val="right"/>
            </w:pPr>
            <w:r>
              <w:t xml:space="preserve">-0.080</w:t>
            </w:r>
          </w:p>
        </w:tc>
        <w:tc>
          <w:tcPr/>
          <w:p>
            <w:pPr>
              <w:pStyle w:val="Compact"/>
              <w:jc w:val="right"/>
            </w:pPr>
            <w:r>
              <w:t xml:space="preserve">0.106</w:t>
            </w:r>
          </w:p>
        </w:tc>
        <w:tc>
          <w:tcPr/>
          <w:p>
            <w:pPr>
              <w:pStyle w:val="Compact"/>
              <w:jc w:val="right"/>
            </w:pPr>
            <w:r>
              <w:t xml:space="preserve">0.00043</w:t>
            </w:r>
          </w:p>
        </w:tc>
      </w:tr>
    </w:tbl>
    <w:p>
      <w:pPr>
        <w:pStyle w:val="BodyText"/>
      </w:pPr>
      <w:r>
        <w:rPr>
          <w:b/>
          <w:bCs/>
        </w:rPr>
        <w:t xml:space="preserve">Table 11. Does interval width track extrapolation distance?</w:t>
      </w:r>
      <w:r>
        <w:t xml:space="preserve"> </w:t>
      </w:r>
      <w:r>
        <w:t xml:space="preserve">Spearman correlations over 1095 held-out profiles across the 5 buffered folds.</w:t>
      </w:r>
      <w:r>
        <w:t xml:space="preserve"> </w:t>
      </w:r>
      <w:r>
        <w:t xml:space="preserve">“partial”</w:t>
      </w:r>
      <w:r>
        <w:t xml:space="preserve"> </w:t>
      </w:r>
      <w:r>
        <w:t xml:space="preserve">removes covariate-space distance, so what remains is geographic.</w:t>
      </w:r>
    </w:p>
    <w:p>
      <w:pPr>
        <w:pStyle w:val="BodyText"/>
      </w:pPr>
      <w:r>
        <w:t xml:space="preserve">The three methods answer differently, and the difference is not subtle. The Bayesian hierarchical model’s width tracks distance strongly (</w:t>
      </w:r>
      <m:oMath>
        <m:r>
          <m:t>ρ</m:t>
        </m:r>
        <m:r>
          <m:rPr>
            <m:sty m:val="p"/>
          </m:rPr>
          <m:t>=</m:t>
        </m:r>
        <m:r>
          <m:t>0.803</m:t>
        </m:r>
      </m:oMath>
      <w:r>
        <w:t xml:space="preserve">), and it survives the covariate control almost intact (</w:t>
      </w:r>
      <m:oMath>
        <m:r>
          <m:t>0.781</m:t>
        </m:r>
      </m:oMath>
      <w:r>
        <w:t xml:space="preserve">) — the widening is geographic, which is what a kriging variance is built to do. The quantile forest widens weakly and mostly for covariate reasons. The graph attention network does not widen at all: its correlation is -0.045 raw and -0.080 partial — if anything slightly</w:t>
      </w:r>
      <w:r>
        <w:t xml:space="preserve"> </w:t>
      </w:r>
      <w:r>
        <w:rPr>
          <w:i/>
          <w:iCs/>
        </w:rPr>
        <w:t xml:space="preserve">narrower</w:t>
      </w:r>
      <w:r>
        <w:t xml:space="preserve"> </w:t>
      </w:r>
      <w:r>
        <w:t xml:space="preserve">further from the data.</w:t>
      </w:r>
    </w:p>
    <w:p>
      <w:pPr>
        <w:pStyle w:val="BodyText"/>
      </w:pPr>
      <w:r>
        <w:t xml:space="preserve">Its error, meanwhile, does grow (</w:t>
      </w:r>
      <m:oMath>
        <m:r>
          <m:t>ρ</m:t>
        </m:r>
        <m:r>
          <m:rPr>
            <m:sty m:val="p"/>
          </m:rPr>
          <m:t>=</m:t>
        </m:r>
        <m:r>
          <m:t>0.106</m:t>
        </m:r>
      </m:oMath>
      <w:r>
        <w:t xml:space="preserve">,</w:t>
      </w:r>
      <w:r>
        <w:t xml:space="preserve"> </w:t>
      </w:r>
      <m:oMath>
        <m:r>
          <m:t>p</m:t>
        </m:r>
        <m:r>
          <m:rPr>
            <m:sty m:val="p"/>
          </m:rPr>
          <m:t>=</m:t>
        </m:r>
        <m:r>
          <m:t>4.3</m:t>
        </m:r>
        <m:r>
          <m:rPr>
            <m:sty m:val="p"/>
          </m:rPr>
          <m:t>×</m:t>
        </m:r>
        <m:sSup>
          <m:e>
            <m:r>
              <m:t>10</m:t>
            </m:r>
          </m:e>
          <m:sup>
            <m:r>
              <m:rPr>
                <m:sty m:val="p"/>
              </m:rPr>
              <m:t>−</m:t>
            </m:r>
            <m:r>
              <m:t>4</m:t>
            </m:r>
          </m:sup>
        </m:sSup>
      </m:oMath>
      <w:r>
        <w:t xml:space="preserve">), and it is the only one of the three for which that is true. So the network’s interval is mildly anti-correlated with the quantity it exists to track. This is a sharper and more useful statement than its PICP of 0.790, and it is the reason we do not present that number as a calibration property comparable to the others: three of the six methods derive an interval from a genuine predictive distribution and three construct one from ensemble spread plus an estimated noise term, and only the geostatistical model carries a variance that is a function of where the prediction is being made.</w:t>
      </w:r>
    </w:p>
    <w:p>
      <w:pPr>
        <w:pStyle w:val="BodyText"/>
      </w:pPr>
      <w:r>
        <w:t xml:space="preserve">One caveat belongs with the P7 column rather than beneath it. The profile-MLE of the correlation rate railed at its bracket in all 5 folds, so the bracket rather than the data sets the magnitude of that widening. The</w:t>
      </w:r>
      <w:r>
        <w:t xml:space="preserve"> </w:t>
      </w:r>
      <w:r>
        <w:rPr>
          <w:i/>
          <w:iCs/>
        </w:rPr>
        <w:t xml:space="preserve">sign</w:t>
      </w:r>
      <w:r>
        <w:t xml:space="preserve"> </w:t>
      </w:r>
      <w:r>
        <w:t xml:space="preserve">is structural to the kriging expression and does not depend on the rate; the size is not interpretable until the rate is identified, which these data do not do.</w:t>
      </w:r>
    </w:p>
    <w:p>
      <w:pPr>
        <w:pStyle w:val="BodyText"/>
      </w:pPr>
      <w:r>
        <w:t xml:space="preserve">Two consequences follow for practice. First, a coverage rate should be read alongside a plot of width against distance to data, since the two can disagree completely. Second, an uncertainty that does not vary with position is not usable for the tasks maps are made for — planning where to sample next, or bounding an inventory over a region that was never surveyed.</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9, whose bundle is bound to the current code by the test suite.</w:t>
      </w:r>
    </w:p>
    <w:p>
      <w:pPr>
        <w:pStyle w:val="Heading2"/>
      </w:pPr>
      <w:r>
        <w:t xml:space="preserve">Backdoor adjustment yields robust associations, and exposes confounding</w:t>
      </w:r>
    </w:p>
    <w:p>
      <w:pPr>
        <w:pStyle w:val="FirstParagraph"/>
      </w:pPr>
      <w:r>
        <w:t xml:space="preserve">Table 12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12.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rPr>
          <w:b/>
          <w:bCs/>
        </w:rPr>
        <w:t xml:space="preserve">The exposure is measured after the outcome.</w:t>
      </w:r>
      <w:r>
        <w:t xml:space="preserve"> </w:t>
      </w:r>
      <w:r>
        <w:t xml:space="preserve">One feature of these data forecloses a causal reading independently of any confounder, and it belongs here rather than in a limitations list. The tree-cover exposure is ESA WorldCover, a 2020 product; the SoilGrids texture and bulk-density covariates are likewise 2020. The outcome is a WoSIS topsoil measurement whose median sampling year is 1982, with every one of the 1,095 profiles but five sampled before 1990 and the quartiles falling in 1981 and 1983. The land surface described by the exposure is the one that existed 38 years</w:t>
      </w:r>
      <w:r>
        <w:t xml:space="preserve"> </w:t>
      </w:r>
      <w:r>
        <w:rPr>
          <w:i/>
          <w:iCs/>
        </w:rPr>
        <w:t xml:space="preserve">after</w:t>
      </w:r>
      <w:r>
        <w:t xml:space="preserve"> </w:t>
      </w:r>
      <w:r>
        <w:t xml:space="preserve">the carbon was measured. No adjustment set repairs that ordering: whatever the estimate is, it is not the effect of tree cover on soil carbon, because the Cerrado’s conversion to cropland and pasture happened largely in between.</w:t>
      </w:r>
    </w:p>
    <w:p>
      <w:pPr>
        <w:pStyle w:val="BodyText"/>
      </w:pPr>
      <w:r>
        <w:t xml:space="preserve">We keep the analysis, reported as what it is, for two reasons. The demonstration it is used for — that an apparent association collapses under adjustment for common causes — is a demonstration about estimators and does not require the exposure to be causally prior. And the temporal inversion is itself a second, independent reason to disbelieve the naive reading, arriving at the same conclusion the adjustment does by a route that needs no assumption about unobserved confounding at all. Where we write</w:t>
      </w:r>
      <w:r>
        <w:t xml:space="preserve"> </w:t>
      </w:r>
      <w:r>
        <w:t xml:space="preserve">“effect”</w:t>
      </w:r>
      <w:r>
        <w:t xml:space="preserve"> </w:t>
      </w:r>
      <w:r>
        <w:t xml:space="preserve">below, read</w:t>
      </w:r>
      <w:r>
        <w:t xml:space="preserve"> </w:t>
      </w:r>
      <w:r>
        <w:t xml:space="preserve">“backdoor-adjusted association between a 2020 land-cover product and a 1982 soil measurement”</w:t>
      </w:r>
      <w:r>
        <w:t xml:space="preserve">. The framework cannot fix a data set in which the cause postdates the effect; what it can do is make that visible instead of reporting a coefficient.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12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12,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two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surfaced a 38-year inversion between the epoch of the exposure product and the sampling year of the outcome that no adjustment set can repair,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bookmarkStart w:id="90" w:name="refs"/>
    <w:bookmarkStart w:id="53" w:name="ref-McBratney2003"/>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bookmarkEnd w:id="53"/>
    <w:bookmarkStart w:id="55" w:name="ref-Wadoux2020"/>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bookmarkEnd w:id="55"/>
    <w:bookmarkStart w:id="57" w:name="ref-Zhang2026causal"/>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bookmarkEnd w:id="57"/>
    <w:bookmarkStart w:id="59" w:name="ref-Batjes2024wosis"/>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bookmarkEnd w:id="59"/>
    <w:bookmarkStart w:id="61" w:name="ref-Fick2017worldclim"/>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bookmarkEnd w:id="61"/>
    <w:bookmarkStart w:id="63" w:name="ref-Hengl2017soilgrids"/>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bookmarkEnd w:id="63"/>
    <w:bookmarkStart w:id="65" w:name="ref-Bishop1999"/>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bookmarkEnd w:id="65"/>
    <w:bookmarkStart w:id="67" w:name="ref-Malone2009"/>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bookmarkEnd w:id="67"/>
    <w:bookmarkStart w:id="69" w:name="ref-MontielOlea2019"/>
    <w:p>
      <w:pPr>
        <w:pStyle w:val="Bibliography"/>
      </w:pPr>
      <w:r>
        <w:t xml:space="preserve">9.</w:t>
      </w:r>
      <w:r>
        <w:t xml:space="preserve"> </w:t>
      </w:r>
      <w:r>
        <w:t xml:space="preserve">	</w:t>
      </w:r>
      <w:r>
        <w:t xml:space="preserve">Montiel Olea JL, Plagborg-Møller M. Simultaneous confidence bands: Theory, implementation, and an application to</w:t>
      </w:r>
      <w:r>
        <w:t xml:space="preserve"> </w:t>
      </w:r>
      <w:r>
        <w:t xml:space="preserve">SVAR</w:t>
      </w:r>
      <w:r>
        <w:t xml:space="preserve">s. Journal of Applied Econometrics. 2019;34: 1–17. doi:</w:t>
      </w:r>
      <w:hyperlink r:id="rId68">
        <w:r>
          <w:rPr>
            <w:rStyle w:val="Hyperlink"/>
          </w:rPr>
          <w:t xml:space="preserve">10.1002/jae.2656</w:t>
        </w:r>
      </w:hyperlink>
    </w:p>
    <w:bookmarkEnd w:id="69"/>
    <w:bookmarkStart w:id="71" w:name="ref-Minasny2016"/>
    <w:p>
      <w:pPr>
        <w:pStyle w:val="Bibliography"/>
      </w:pPr>
      <w:r>
        <w:t xml:space="preserve">10.</w:t>
      </w:r>
      <w:r>
        <w:t xml:space="preserve"> </w:t>
      </w:r>
      <w:r>
        <w:t xml:space="preserve">	</w:t>
      </w:r>
      <w:r>
        <w:t xml:space="preserve">Minasny B, McBratney AB. Digital soil mapping: A brief history and some lessons learned. Geoderma. 2016;264: 301–311. doi:</w:t>
      </w:r>
      <w:hyperlink r:id="rId70">
        <w:r>
          <w:rPr>
            <w:rStyle w:val="Hyperlink"/>
          </w:rPr>
          <w:t xml:space="preserve">10.1016/j.geoderma.2015.07.017</w:t>
        </w:r>
      </w:hyperlink>
    </w:p>
    <w:bookmarkEnd w:id="71"/>
    <w:bookmarkStart w:id="73" w:name="ref-Elzein1995"/>
    <w:p>
      <w:pPr>
        <w:pStyle w:val="Bibliography"/>
      </w:pPr>
      <w:r>
        <w:t xml:space="preserve">11.</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2">
        <w:r>
          <w:rPr>
            <w:rStyle w:val="Hyperlink"/>
          </w:rPr>
          <w:t xml:space="preserve">10.2136/sssaj1995.03615995005900050019x</w:t>
        </w:r>
      </w:hyperlink>
    </w:p>
    <w:bookmarkEnd w:id="73"/>
    <w:bookmarkStart w:id="75" w:name="ref-Braakhekke2011"/>
    <w:p>
      <w:pPr>
        <w:pStyle w:val="Bibliography"/>
      </w:pPr>
      <w:r>
        <w:t xml:space="preserve">12.</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4">
        <w:r>
          <w:rPr>
            <w:rStyle w:val="Hyperlink"/>
          </w:rPr>
          <w:t xml:space="preserve">10.1016/j.ecolmodel.2011.02.015</w:t>
        </w:r>
      </w:hyperlink>
    </w:p>
    <w:bookmarkEnd w:id="75"/>
    <w:bookmarkStart w:id="77" w:name="ref-Gale1987"/>
    <w:p>
      <w:pPr>
        <w:pStyle w:val="Bibliography"/>
      </w:pPr>
      <w:r>
        <w:t xml:space="preserve">13.</w:t>
      </w:r>
      <w:r>
        <w:t xml:space="preserve"> </w:t>
      </w:r>
      <w:r>
        <w:t xml:space="preserve">	</w:t>
      </w:r>
      <w:r>
        <w:t xml:space="preserve">Gale MR, Grigal DF. Vertical root distributions of northern tree species in relation to successional status. Canadian Journal of Forest Research. 1987;17: 829–834. doi:</w:t>
      </w:r>
      <w:hyperlink r:id="rId76">
        <w:r>
          <w:rPr>
            <w:rStyle w:val="Hyperlink"/>
          </w:rPr>
          <w:t xml:space="preserve">10.1139/x87-131</w:t>
        </w:r>
      </w:hyperlink>
    </w:p>
    <w:bookmarkEnd w:id="77"/>
    <w:bookmarkStart w:id="79" w:name="ref-Jackson1996"/>
    <w:p>
      <w:pPr>
        <w:pStyle w:val="Bibliography"/>
      </w:pPr>
      <w:r>
        <w:t xml:space="preserve">14.</w:t>
      </w:r>
      <w:r>
        <w:t xml:space="preserve"> </w:t>
      </w:r>
      <w:r>
        <w:t xml:space="preserve">	</w:t>
      </w:r>
      <w:r>
        <w:t xml:space="preserve">Jackson RB, Canadell J, Ehleringer JR, Mooney HA, Sala OE, Schulze ED. A global analysis of root distributions for terrestrial biomes. Oecologia. 1996;108: 389–411. doi:</w:t>
      </w:r>
      <w:hyperlink r:id="rId78">
        <w:r>
          <w:rPr>
            <w:rStyle w:val="Hyperlink"/>
          </w:rPr>
          <w:t xml:space="preserve">10.1007/BF00333714</w:t>
        </w:r>
      </w:hyperlink>
    </w:p>
    <w:bookmarkEnd w:id="79"/>
    <w:bookmarkStart w:id="81" w:name="ref-Cambardella1994"/>
    <w:p>
      <w:pPr>
        <w:pStyle w:val="Bibliography"/>
      </w:pPr>
      <w:r>
        <w:t xml:space="preserve">15.</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80">
        <w:r>
          <w:rPr>
            <w:rStyle w:val="Hyperlink"/>
          </w:rPr>
          <w:t xml:space="preserve">10.2136/sssaj1994.03615995005800050033x</w:t>
        </w:r>
      </w:hyperlink>
    </w:p>
    <w:bookmarkEnd w:id="81"/>
    <w:bookmarkStart w:id="83" w:name="ref-Hassink1997"/>
    <w:p>
      <w:pPr>
        <w:pStyle w:val="Bibliography"/>
      </w:pPr>
      <w:r>
        <w:t xml:space="preserve">16.</w:t>
      </w:r>
      <w:r>
        <w:t xml:space="preserve"> </w:t>
      </w:r>
      <w:r>
        <w:t xml:space="preserve">	</w:t>
      </w:r>
      <w:r>
        <w:t xml:space="preserve">Hassink J. The capacity of soils to preserve organic c and n by their association with clay and silt particles. Plant and Soil. 1997;191: 77–87. doi:</w:t>
      </w:r>
      <w:hyperlink r:id="rId82">
        <w:r>
          <w:rPr>
            <w:rStyle w:val="Hyperlink"/>
          </w:rPr>
          <w:t xml:space="preserve">10.1023/A:1004213929699</w:t>
        </w:r>
      </w:hyperlink>
    </w:p>
    <w:bookmarkEnd w:id="83"/>
    <w:bookmarkStart w:id="85" w:name="ref-Jobbagy2000"/>
    <w:p>
      <w:pPr>
        <w:pStyle w:val="Bibliography"/>
      </w:pPr>
      <w:r>
        <w:t xml:space="preserve">17.</w:t>
      </w:r>
      <w:r>
        <w:t xml:space="preserve"> </w:t>
      </w:r>
      <w:r>
        <w:t xml:space="preserve">	</w:t>
      </w:r>
      <w:r>
        <w:t xml:space="preserve">Jobbágy EG, Jackson RB. The vertical distribution of soil organic carbon and its relation to climate and vegetation. Ecological Applications. 2000;10: 423–436. doi:</w:t>
      </w:r>
      <w:hyperlink r:id="rId84">
        <w:r>
          <w:rPr>
            <w:rStyle w:val="Hyperlink"/>
          </w:rPr>
          <w:t xml:space="preserve">10.1890/1051-0761(2000)010[0423:TVDOSO]2.0.CO;2</w:t>
        </w:r>
      </w:hyperlink>
    </w:p>
    <w:bookmarkEnd w:id="85"/>
    <w:bookmarkStart w:id="87" w:name="ref-Roberts2017"/>
    <w:p>
      <w:pPr>
        <w:pStyle w:val="Bibliography"/>
      </w:pPr>
      <w:r>
        <w:t xml:space="preserve">18.</w:t>
      </w:r>
      <w:r>
        <w:t xml:space="preserve"> </w:t>
      </w:r>
      <w:r>
        <w:t xml:space="preserve">	</w:t>
      </w:r>
      <w:r>
        <w:t xml:space="preserve">Roberts DR, Bahn V, Ciuti S, Boyce MS, Elith J, Guillera-Arroita G, et al. Cross-validation strategies for data with temporal, spatial, hierarchical, or phylogenetic structure. Ecography. 2017;40: 913–929. doi:</w:t>
      </w:r>
      <w:hyperlink r:id="rId86">
        <w:r>
          <w:rPr>
            <w:rStyle w:val="Hyperlink"/>
          </w:rPr>
          <w:t xml:space="preserve">10.1111/ecog.02881</w:t>
        </w:r>
      </w:hyperlink>
    </w:p>
    <w:bookmarkEnd w:id="87"/>
    <w:bookmarkStart w:id="89" w:name="ref-CinelliHazlett2020"/>
    <w:p>
      <w:pPr>
        <w:pStyle w:val="Bibliography"/>
      </w:pPr>
      <w:r>
        <w:t xml:space="preserve">19.</w:t>
      </w:r>
      <w:r>
        <w:t xml:space="preserve"> </w:t>
      </w:r>
      <w:r>
        <w:t xml:space="preserve">	</w:t>
      </w:r>
      <w:r>
        <w:t xml:space="preserve">Cinelli C, Hazlett C. Making sense of sensitivity: Extending omitted variable bias. Journal of the Royal Statistical Society: Series B. 2020;82: 39–67. doi:</w:t>
      </w:r>
      <w:hyperlink r:id="rId88">
        <w:r>
          <w:rPr>
            <w:rStyle w:val="Hyperlink"/>
          </w:rPr>
          <w:t xml:space="preserve">10.1111/rssb.12348</w:t>
        </w:r>
      </w:hyperlink>
    </w:p>
    <w:bookmarkEnd w:id="89"/>
    <w:bookmarkEnd w:id="90"/>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78"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4"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0" Target="https://doi.org/10.1016/j.geoderma.2015.07.017" TargetMode="External" /><Relationship Type="http://schemas.openxmlformats.org/officeDocument/2006/relationships/hyperlink" Id="rId82" Target="https://doi.org/10.1023/A:1004213929699" TargetMode="External" /><Relationship Type="http://schemas.openxmlformats.org/officeDocument/2006/relationships/hyperlink" Id="rId86"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88" Target="https://doi.org/10.1111/rssb.12348" TargetMode="External" /><Relationship Type="http://schemas.openxmlformats.org/officeDocument/2006/relationships/hyperlink" Id="rId76"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84" Target="https://doi.org/10.1890/1051-0761(2000)010[0423:TVDOSO]2.0.CO;2" TargetMode="External" /><Relationship Type="http://schemas.openxmlformats.org/officeDocument/2006/relationships/hyperlink" Id="rId80" Target="https://doi.org/10.2136/sssaj1994.03615995005800050033x" TargetMode="External" /><Relationship Type="http://schemas.openxmlformats.org/officeDocument/2006/relationships/hyperlink" Id="rId72"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78"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4"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0" Target="https://doi.org/10.1016/j.geoderma.2015.07.017" TargetMode="External" /><Relationship Type="http://schemas.openxmlformats.org/officeDocument/2006/relationships/hyperlink" Id="rId82" Target="https://doi.org/10.1023/A:1004213929699" TargetMode="External" /><Relationship Type="http://schemas.openxmlformats.org/officeDocument/2006/relationships/hyperlink" Id="rId86"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88" Target="https://doi.org/10.1111/rssb.12348" TargetMode="External" /><Relationship Type="http://schemas.openxmlformats.org/officeDocument/2006/relationships/hyperlink" Id="rId76"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84" Target="https://doi.org/10.1890/1051-0761(2000)010[0423:TVDOSO]2.0.CO;2" TargetMode="External" /><Relationship Type="http://schemas.openxmlformats.org/officeDocument/2006/relationships/hyperlink" Id="rId80" Target="https://doi.org/10.2136/sssaj1994.03615995005800050033x" TargetMode="External" /><Relationship Type="http://schemas.openxmlformats.org/officeDocument/2006/relationships/hyperlink" Id="rId72"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2026-08-11T01:55:46Z</dcterms:created>
  <dcterms:modified xsi:type="dcterms:W3CDTF">2026-08-11T01:55:46Z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