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 the typical profile and fails without warning on a small minority, and no scope statement available at fit time separates the two: over 1,105 real multi-horizon profiles the pedogenetic equation dy/dz = −λ₀e^(−μz)(y − y∞) predicts a held-out deepest horizon with a median absolute error of 0.76 g/kg and beats every baseline tested on paired comparison, while ten profiles carrying buried organic horizons — 1.1% of the set — account for 99% of its squared error, and the size of that failure correlates with nothing measurable in the horizons above it (|r| &lt; 0.03). We also show that the equation’s own solution does not converge to y∞ — the attainable deep value is y∞ + (y₀ − y∞)e^(−λ₀/μ), which the data identify while y∞ itself is unidentified and reaches into negative carbon — that a Gaussian likelihood on g/kg is the wrong observation model for a positive skewed concentration and costs real predictive accuracy, since replacing it wins on 720 of 1,105 profiles; and that an alternative derived from a steady-state carbon balance, in which the depth-dependence sits in the asymptote rather than in the rate, is mechanistically defensible at no cost in accuracy, the two being statistically indistinguishable once both are correctly specified.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two of them fall below the achievable null of the training-fold mean. That comparison is made on spatially blocked folds carrying a 68 km buffer, chosen as the longest identified variogram range in these data; without the buffer the graph attention network scores half a rank higher, which is what a method built on a spatial neighbour graph would be expected to gain from training points immediately across a block boundary. Third, backdoor adjustment yields robust associations with explicit sensitivity bounds rather than identified causal effects, and adjustment collapses an apparent tree-cover association to near zero, demonstrating confounding directly.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ten otherwise incompatible method families — quantile forests, Gibbs samplers, neural operators, diffusion models, graph networks — to a common currency, so that accuracy, coverage and proper scores are comparable across all of them.</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Three further specification choices follow from having real horizons. First,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Second,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BodyText"/>
      </w:pPr>
      <w:r>
        <w:t xml:space="preserve">Third, and least obviously, the likelihood is not Gaussian. Organic carbon is positive and right-skewed, and a Gaussian on g/kg with one</w:t>
      </w:r>
      <w:r>
        <w:t xml:space="preserve"> </w:t>
      </w:r>
      <m:oMath>
        <m:r>
          <m:t>σ</m:t>
        </m:r>
      </m:oMath>
      <w:r>
        <w:t xml:space="preserve"> </w:t>
      </w:r>
      <w:r>
        <w:t xml:space="preserve">makes three errors: it places predictive mass below zero, it assumes additive error where laboratory error is multiplicative, and — the consequential one — it weights every horizon by the same</w:t>
      </w:r>
      <w:r>
        <w:t xml:space="preserve"> </w:t>
      </w:r>
      <w:r>
        <w:rPr>
          <w:i/>
          <w:iCs/>
        </w:rPr>
        <w:t xml:space="preserve">absolute</w:t>
      </w:r>
      <w:r>
        <w:t xml:space="preserve"> </w:t>
      </w:r>
      <w:r>
        <w:t xml:space="preserve">discrepancy. A profile running from 29 g/kg at the surface to 2.3 g/kg at 5 m is then fitted almost entirely by its topsoil, and the deep horizons that carry all the information about the asymptote contribute almost nothing. We use a lognormal likelihood parameterised so that the model’s prediction is the</w:t>
      </w:r>
      <w:r>
        <w:t xml:space="preserve"> </w:t>
      </w:r>
      <w:r>
        <w:rPr>
          <w:i/>
          <w:iCs/>
        </w:rPr>
        <w:t xml:space="preserve">mean</w:t>
      </w:r>
      <w:r>
        <w:t xml:space="preserve"> </w:t>
      </w:r>
      <w:r>
        <w:t xml:space="preserve">of the observation, which matters because that prediction is a horizon average and therefore a mass-preserving quantity; a median-preserving parameterisation would bias every layer downward.</w:t>
      </w:r>
    </w:p>
    <w:p>
      <w:pPr>
        <w:pStyle w:val="BodyText"/>
      </w:pPr>
      <w:r>
        <w:t xml:space="preserve">The change is not cosmetic. On the pedon below the Gaussian fit misses the deepest horizon by 90% of its value while the lognormal caps its worst relative residual at 23%. On leave-the-deepest-horizon-out prediction across all 1,105 profiles the lognormal wins on 720 of them (paired Wilcoxon</w:t>
      </w:r>
      <w:r>
        <w:t xml:space="preserve"> </w:t>
      </w:r>
      <m:oMath>
        <m:r>
          <m:t>p</m:t>
        </m:r>
        <m:r>
          <m:rPr>
            <m:sty m:val="p"/>
          </m:rPr>
          <m:t>=</m:t>
        </m:r>
        <m:r>
          <m:t>2</m:t>
        </m:r>
        <m:r>
          <m:rPr>
            <m:sty m:val="p"/>
          </m:rPr>
          <m:t>×</m:t>
        </m:r>
        <m:sSup>
          <m:e>
            <m:r>
              <m:t>10</m:t>
            </m:r>
          </m:e>
          <m:sup>
            <m:r>
              <m:rPr>
                <m:sty m:val="p"/>
              </m:rPr>
              <m:t>−</m:t>
            </m:r>
            <m:r>
              <m:t>30</m:t>
            </m:r>
          </m:sup>
        </m:sSup>
      </m:oMath>
      <w:r>
        <w:t xml:space="preserve">), improving mean absolute error from 2.20 to 2.00 g/kg, and it wins even on root-mean-square error — the criterion the Gaussian optimises by construction — because over-weighting the topsoil is precisely what makes a profile extrapolate its deepest horizon badly.</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0.009613  mu = 0.004151</w:t>
      </w:r>
      <w:r>
        <w:br/>
      </w:r>
      <w:r>
        <w:rPr>
          <w:rStyle w:val="CommentTok"/>
        </w:rPr>
        <w:t xml:space="preserve">#&gt;   y0      = 23.45     y(Inf) = 1.982      (kappa = 2.32)</w:t>
      </w:r>
      <w:r>
        <w:br/>
      </w:r>
      <w:r>
        <w:rPr>
          <w:rStyle w:val="CommentTok"/>
        </w:rPr>
        <w:t xml:space="preserve">#&gt;   y_inf   = -0.3678   (ODE coordinate, not the attained value)</w:t>
      </w:r>
      <w:r>
        <w:br/>
      </w:r>
      <w:r>
        <w:rPr>
          <w:rStyle w:val="CommentTok"/>
        </w:rPr>
        <w:t xml:space="preserve">#&gt;   n obs   = 9 (layer)         rmse = 2.517</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Laplace approximation over a real nine-horizon WoSIS profile reaching 550 cm, fitted through the horizon-average operator with a lognormal likelihood. Intervals are 2.5% and 97.5% posterior quantiles. The first four rows are the equation’s symbols, the next two the coordinates the model is estimated in, and the last the sampled observation noise, here a coefficient of variation.</w:t>
      </w:r>
    </w:p>
    <w:tbl>
      <w:tblPr>
        <w:tblStyle w:val="Table"/>
        <w:tblW w:type="pct" w:w="5000"/>
        <w:tblLayout w:type="fixed"/>
        <w:tblLook w:firstRow="1" w:lastRow="0" w:firstColumn="0" w:lastColumn="0" w:noHBand="0" w:noVBand="0" w:val="0020"/>
      </w:tblPr>
      <w:tblGrid>
        <w:gridCol w:w="733"/>
        <w:gridCol w:w="4986"/>
        <w:gridCol w:w="586"/>
        <w:gridCol w:w="513"/>
        <w:gridCol w:w="586"/>
        <w:gridCol w:w="513"/>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0.0105</w:t>
            </w:r>
          </w:p>
        </w:tc>
        <w:tc>
          <w:tcPr/>
          <w:p>
            <w:pPr>
              <w:pStyle w:val="Compact"/>
              <w:jc w:val="right"/>
            </w:pPr>
            <w:r>
              <w:t xml:space="preserve">0.0036</w:t>
            </w:r>
          </w:p>
        </w:tc>
        <w:tc>
          <w:tcPr/>
          <w:p>
            <w:pPr>
              <w:pStyle w:val="Compact"/>
              <w:jc w:val="right"/>
            </w:pPr>
            <w:r>
              <w:t xml:space="preserve">0.005</w:t>
            </w:r>
          </w:p>
        </w:tc>
        <w:tc>
          <w:tcPr/>
          <w:p>
            <w:pPr>
              <w:pStyle w:val="Compact"/>
              <w:jc w:val="right"/>
            </w:pPr>
            <w:r>
              <w:t xml:space="preserve">0.019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0.0048</w:t>
            </w:r>
          </w:p>
        </w:tc>
        <w:tc>
          <w:tcPr/>
          <w:p>
            <w:pPr>
              <w:pStyle w:val="Compact"/>
              <w:jc w:val="right"/>
            </w:pPr>
            <w:r>
              <w:t xml:space="preserve">0.0029</w:t>
            </w:r>
          </w:p>
        </w:tc>
        <w:tc>
          <w:tcPr/>
          <w:p>
            <w:pPr>
              <w:pStyle w:val="Compact"/>
              <w:jc w:val="right"/>
            </w:pPr>
            <w:r>
              <w:t xml:space="preserve">0.001</w:t>
            </w:r>
          </w:p>
        </w:tc>
        <w:tc>
          <w:tcPr/>
          <w:p>
            <w:pPr>
              <w:pStyle w:val="Compact"/>
              <w:jc w:val="right"/>
            </w:pPr>
            <w:r>
              <w:t xml:space="preserve">0.013</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-2.2916</w:t>
            </w:r>
          </w:p>
        </w:tc>
        <w:tc>
          <w:tcPr/>
          <w:p>
            <w:pPr>
              <w:pStyle w:val="Compact"/>
              <w:jc w:val="right"/>
            </w:pPr>
            <w:r>
              <w:t xml:space="preserve">6.0867</w:t>
            </w:r>
          </w:p>
        </w:tc>
        <w:tc>
          <w:tcPr/>
          <w:p>
            <w:pPr>
              <w:pStyle w:val="Compact"/>
              <w:jc w:val="right"/>
            </w:pPr>
            <w:r>
              <w:t xml:space="preserve">-20.460</w:t>
            </w:r>
          </w:p>
        </w:tc>
        <w:tc>
          <w:tcPr/>
          <w:p>
            <w:pPr>
              <w:pStyle w:val="Compact"/>
              <w:jc w:val="right"/>
            </w:pPr>
            <w:r>
              <w:t xml:space="preserve">3.243</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24.2147</w:t>
            </w:r>
          </w:p>
        </w:tc>
        <w:tc>
          <w:tcPr/>
          <w:p>
            <w:pPr>
              <w:pStyle w:val="Compact"/>
              <w:jc w:val="right"/>
            </w:pPr>
            <w:r>
              <w:t xml:space="preserve">3.1968</w:t>
            </w:r>
          </w:p>
        </w:tc>
        <w:tc>
          <w:tcPr/>
          <w:p>
            <w:pPr>
              <w:pStyle w:val="Compact"/>
              <w:jc w:val="right"/>
            </w:pPr>
            <w:r>
              <w:t xml:space="preserve">18.516</w:t>
            </w:r>
          </w:p>
        </w:tc>
        <w:tc>
          <w:tcPr/>
          <w:p>
            <w:pPr>
              <w:pStyle w:val="Compact"/>
              <w:jc w:val="right"/>
            </w:pPr>
            <w:r>
              <w:t xml:space="preserve">31.096</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3.0343</w:t>
            </w:r>
          </w:p>
        </w:tc>
        <w:tc>
          <w:tcPr/>
          <w:p>
            <w:pPr>
              <w:pStyle w:val="Compact"/>
              <w:jc w:val="right"/>
            </w:pPr>
            <w:r>
              <w:t xml:space="preserve">2.3539</w:t>
            </w:r>
          </w:p>
        </w:tc>
        <w:tc>
          <w:tcPr/>
          <w:p>
            <w:pPr>
              <w:pStyle w:val="Compact"/>
              <w:jc w:val="right"/>
            </w:pPr>
            <w:r>
              <w:t xml:space="preserve">0.677</w:t>
            </w:r>
          </w:p>
        </w:tc>
        <w:tc>
          <w:tcPr/>
          <w:p>
            <w:pPr>
              <w:pStyle w:val="Compact"/>
              <w:jc w:val="right"/>
            </w:pPr>
            <w:r>
              <w:t xml:space="preserve">9.453</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2.2205</w:t>
            </w:r>
          </w:p>
        </w:tc>
        <w:tc>
          <w:tcPr/>
          <w:p>
            <w:pPr>
              <w:pStyle w:val="Compact"/>
              <w:jc w:val="right"/>
            </w:pPr>
            <w:r>
              <w:t xml:space="preserve">0.9058</w:t>
            </w:r>
          </w:p>
        </w:tc>
        <w:tc>
          <w:tcPr/>
          <w:p>
            <w:pPr>
              <w:pStyle w:val="Compact"/>
              <w:jc w:val="right"/>
            </w:pPr>
            <w:r>
              <w:t xml:space="preserve">0.945</w:t>
            </w:r>
          </w:p>
        </w:tc>
        <w:tc>
          <w:tcPr/>
          <w:p>
            <w:pPr>
              <w:pStyle w:val="Compact"/>
              <w:jc w:val="right"/>
            </w:pPr>
            <w:r>
              <w:t xml:space="preserve">4.478</w:t>
            </w:r>
          </w:p>
        </w:tc>
      </w:tr>
      <w:tr>
        <w:tc>
          <w:tcPr/>
          <w:p>
            <w:pPr>
              <w:pStyle w:val="Compact"/>
              <w:jc w:val="left"/>
            </w:pPr>
            <w:r>
              <w:t xml:space="preserve">sigma</w:t>
            </w:r>
          </w:p>
        </w:tc>
        <w:tc>
          <w:tcPr/>
          <w:p>
            <w:pPr>
              <w:pStyle w:val="Compact"/>
              <w:jc w:val="left"/>
            </w:pPr>
            <w:r>
              <w:t xml:space="preserve">Observation noise, coefficient of variation (lognormal family)</w:t>
            </w:r>
          </w:p>
        </w:tc>
        <w:tc>
          <w:tcPr/>
          <w:p>
            <w:pPr>
              <w:pStyle w:val="Compact"/>
              <w:jc w:val="right"/>
            </w:pPr>
            <w:r>
              <w:t xml:space="preserve">0.1684</w:t>
            </w:r>
          </w:p>
        </w:tc>
        <w:tc>
          <w:tcPr/>
          <w:p>
            <w:pPr>
              <w:pStyle w:val="Compact"/>
              <w:jc w:val="right"/>
            </w:pPr>
            <w:r>
              <w:t xml:space="preserve">0.0412</w:t>
            </w:r>
          </w:p>
        </w:tc>
        <w:tc>
          <w:tcPr/>
          <w:p>
            <w:pPr>
              <w:pStyle w:val="Compact"/>
              <w:jc w:val="right"/>
            </w:pPr>
            <w:r>
              <w:t xml:space="preserve">0.100</w:t>
            </w:r>
          </w:p>
        </w:tc>
        <w:tc>
          <w:tcPr/>
          <w:p>
            <w:pPr>
              <w:pStyle w:val="Compact"/>
              <w:jc w:val="right"/>
            </w:pPr>
            <w:r>
              <w:t xml:space="preserve">0.257</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and 95% posterior band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24.2 g/kg with an interval 12.6 g/kg wide, and the attainable deep value is identified and admissible at 2.22 g/kg, interval [0.95, 4.48]. The coordinate</w:t>
      </w:r>
      <w:r>
        <w:t xml:space="preserve"> </w:t>
      </w:r>
      <m:oMath>
        <m:sSub>
          <m:e>
            <m:r>
              <m:t>y</m:t>
            </m:r>
          </m:e>
          <m:sub>
            <m:r>
              <m:rPr>
                <m:sty m:val="p"/>
              </m:rPr>
              <m:t>∞</m:t>
            </m:r>
          </m:sub>
        </m:sSub>
      </m:oMath>
      <w:r>
        <w:t xml:space="preserve"> </w:t>
      </w:r>
      <w:r>
        <w:t xml:space="preserve">is not identified: its interval, [−20.5, 3.2], is 6.7 times wider and reaches into negative carbon. Nine horizons to 550 cm do constrain where the profile is heading; what they cannot do is locate a coordinate the profile never visits. The last row is the observation noise, a coefficient of variation of 0.17 — a 17% relative error, which is the right order for laboratory organic carbon and would have been an uninterpretable 1.5 g/kg under the Gaussian.</w:t>
      </w:r>
    </w:p>
    <w:p>
      <w:pPr>
        <w:pStyle w:val="BodyText"/>
      </w:pPr>
      <w:r>
        <w:rPr>
          <w:b/>
          <w:bCs/>
        </w:rPr>
        <w:t xml:space="preserve">Does the mechanism buy anything?</w:t>
      </w:r>
      <w:r>
        <w:t xml:space="preserve"> </w:t>
      </w:r>
      <w:r>
        <w:t xml:space="preserve">This is the question a depth model must answer.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Root-mean-square error is the wrong statistic to lead with here, and saying why is part of the result. On the extrapolation task every method lands near 14 g/kg — the ODE at 14.04, copying the nearest measured horizon at 14.05, the random forest at 14.05 — and those numbers are not measuring the methods. Ten profiles out of 935, 1.1% of the set, account for 99% of the ODE’s sum of squares; removing them takes its RMSE from 14.74 to 1.54. The extreme case is a profile whose horizon at 125 cm holds 430 g/kg of carbon with 3.0 g/kg immediately above it: a buried organic horizon, which a monotone depth function cannot represent and, more importantly, cannot anticipate. We therefore report mean absolute error as the primary criterion and RMSE alongside it, and treat the difference between them as the finding rather than as a nuisance.</w:t>
      </w:r>
    </w:p>
    <w:p>
      <w:pPr>
        <w:pStyle w:val="BodyText"/>
      </w:pPr>
      <w:r>
        <w:t xml:space="preserve">On that criterion the mechanism does help (Table 3). The ODE reaches MAE 1.82 g/kg with a median absolute error of 0.76, against 2.06 for copying the nearest horizon, 2.07 for its own nested</w:t>
      </w:r>
      <w:r>
        <w:t xml:space="preserve"> </w:t>
      </w:r>
      <m:oMath>
        <m:r>
          <m:t>μ</m:t>
        </m:r>
        <m:r>
          <m:rPr>
            <m:sty m:val="p"/>
          </m:rPr>
          <m:t>=</m:t>
        </m:r>
        <m:r>
          <m:t>0</m:t>
        </m:r>
      </m:oMath>
      <w:r>
        <w:t xml:space="preserve"> </w:t>
      </w:r>
      <w:r>
        <w:t xml:space="preserve">special case and 2.67 for the pooled random forest. Paired across profiles it beats copying the nearest horizon on 579 of 935 (Wilcoxon</w:t>
      </w:r>
      <w:r>
        <w:t xml:space="preserve"> </w:t>
      </w:r>
      <m:oMath>
        <m:r>
          <m:t>p</m:t>
        </m:r>
        <m:r>
          <m:rPr>
            <m:sty m:val="p"/>
          </m:rPr>
          <m:t>=</m:t>
        </m:r>
        <m:r>
          <m:t>3</m:t>
        </m:r>
        <m:r>
          <m:rPr>
            <m:sty m:val="p"/>
          </m:rPr>
          <m:t>×</m:t>
        </m:r>
        <m:sSup>
          <m:e>
            <m:r>
              <m:t>10</m:t>
            </m:r>
          </m:e>
          <m:sup>
            <m:r>
              <m:rPr>
                <m:sty m:val="p"/>
              </m:rPr>
              <m:t>−</m:t>
            </m:r>
            <m:r>
              <m:t>16</m:t>
            </m:r>
          </m:sup>
        </m:sSup>
      </m:oMath>
      <w:r>
        <w:t xml:space="preserve">), its nested special case on 646 (</w:t>
      </w:r>
      <m:oMath>
        <m:r>
          <m:t>p</m:t>
        </m:r>
        <m:r>
          <m:rPr>
            <m:sty m:val="p"/>
          </m:rPr>
          <m:t>=</m:t>
        </m:r>
        <m:r>
          <m:t>1</m:t>
        </m:r>
        <m:r>
          <m:rPr>
            <m:sty m:val="p"/>
          </m:rPr>
          <m:t>×</m:t>
        </m:r>
        <m:sSup>
          <m:e>
            <m:r>
              <m:t>10</m:t>
            </m:r>
          </m:e>
          <m:sup>
            <m:r>
              <m:rPr>
                <m:sty m:val="p"/>
              </m:rPr>
              <m:t>−</m:t>
            </m:r>
            <m:r>
              <m:t>42</m:t>
            </m:r>
          </m:sup>
        </m:sSup>
      </m:oMath>
      <w:r>
        <w:t xml:space="preserve">) and the random forest on 679 (</w:t>
      </w:r>
      <m:oMath>
        <m:r>
          <m:t>p</m:t>
        </m:r>
        <m:r>
          <m:rPr>
            <m:sty m:val="p"/>
          </m:rPr>
          <m:t>=</m:t>
        </m:r>
        <m:r>
          <m:t>4</m:t>
        </m:r>
        <m:r>
          <m:rPr>
            <m:sty m:val="p"/>
          </m:rPr>
          <m:t>×</m:t>
        </m:r>
        <m:sSup>
          <m:e>
            <m:r>
              <m:t>10</m:t>
            </m:r>
          </m:e>
          <m:sup>
            <m:r>
              <m:rPr>
                <m:sty m:val="p"/>
              </m:rPr>
              <m:t>−</m:t>
            </m:r>
            <m:r>
              <m:t>50</m:t>
            </m:r>
          </m:sup>
        </m:sSup>
      </m:oMath>
      <w:r>
        <w:t xml:space="preserve">).</w:t>
      </w:r>
    </w:p>
    <w:p>
      <w:pPr>
        <w:pStyle w:val="BodyText"/>
      </w:pPr>
      <w:r>
        <w:rPr>
          <w:b/>
          <w:bCs/>
        </w:rPr>
        <w:t xml:space="preserve">Table 3. Leave-the-deepest-horizon-out prediction on 935 WoSIS profiles.</w:t>
      </w:r>
      <w:r>
        <w:t xml:space="preserve"> </w:t>
      </w:r>
      <w:r>
        <w:t xml:space="preserve">The profiles whose</w:t>
      </w:r>
      <w:r>
        <w:t xml:space="preserve"> </w:t>
      </w:r>
      <w:r>
        <w:rPr>
          <w:i/>
          <w:iCs/>
        </w:rPr>
        <w:t xml:space="preserve">training</w:t>
      </w:r>
      <w:r>
        <w:t xml:space="preserve"> </w:t>
      </w:r>
      <w:r>
        <w:t xml:space="preserve">horizons are monotone — the model’s declared validity domain, judged without reading the horizon being predicted. MAE is the primary criterion: RMSE on this task is dominated by ten profiles with buried organic horizons and separates the methods by less than 0.5%.</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1.760</w:t>
            </w:r>
          </w:p>
        </w:tc>
        <w:tc>
          <w:tcPr/>
          <w:p>
            <w:pPr>
              <w:pStyle w:val="Compact"/>
              <w:jc w:val="right"/>
            </w:pPr>
            <w:r>
              <w:t xml:space="preserve">14.74</w:t>
            </w:r>
          </w:p>
        </w:tc>
        <w:tc>
          <w:tcPr/>
          <w:p>
            <w:pPr>
              <w:pStyle w:val="Compact"/>
              <w:jc w:val="right"/>
            </w:pPr>
            <w:r>
              <w:t xml:space="preserve">-0.242</w:t>
            </w:r>
          </w:p>
        </w:tc>
        <w:tc>
          <w:tcPr/>
          <w:p>
            <w:pPr>
              <w:pStyle w:val="Compact"/>
              <w:jc w:val="right"/>
            </w:pPr>
            <w:r>
              <w:t xml:space="preserve">0.037</w:t>
            </w:r>
          </w:p>
        </w:tc>
      </w:tr>
      <w:tr>
        <w:tc>
          <w:tcPr/>
          <w:p>
            <w:pPr>
              <w:pStyle w:val="Compact"/>
              <w:jc w:val="left"/>
            </w:pPr>
            <w:r>
              <w:t xml:space="preserve">edaphos ODE, attenuating rate (4 par)</w:t>
            </w:r>
          </w:p>
        </w:tc>
        <w:tc>
          <w:tcPr/>
          <w:p>
            <w:pPr>
              <w:pStyle w:val="Compact"/>
              <w:jc w:val="right"/>
            </w:pPr>
            <w:r>
              <w:t xml:space="preserve">1.819</w:t>
            </w:r>
          </w:p>
        </w:tc>
        <w:tc>
          <w:tcPr/>
          <w:p>
            <w:pPr>
              <w:pStyle w:val="Compact"/>
              <w:jc w:val="right"/>
            </w:pPr>
            <w:r>
              <w:t xml:space="preserve">14.74</w:t>
            </w:r>
          </w:p>
        </w:tc>
        <w:tc>
          <w:tcPr/>
          <w:p>
            <w:pPr>
              <w:pStyle w:val="Compact"/>
              <w:jc w:val="right"/>
            </w:pPr>
            <w:r>
              <w:t xml:space="preserve">-0.222</w:t>
            </w:r>
          </w:p>
        </w:tc>
        <w:tc>
          <w:tcPr/>
          <w:p>
            <w:pPr>
              <w:pStyle w:val="Compact"/>
              <w:jc w:val="right"/>
            </w:pPr>
            <w:r>
              <w:t xml:space="preserve">0.037</w:t>
            </w:r>
          </w:p>
        </w:tc>
      </w:tr>
      <w:tr>
        <w:tc>
          <w:tcPr/>
          <w:p>
            <w:pPr>
              <w:pStyle w:val="Compact"/>
              <w:jc w:val="left"/>
            </w:pPr>
            <w:r>
              <w:t xml:space="preserve">copy nearest training horizon</w:t>
            </w:r>
          </w:p>
        </w:tc>
        <w:tc>
          <w:tcPr/>
          <w:p>
            <w:pPr>
              <w:pStyle w:val="Compact"/>
              <w:jc w:val="right"/>
            </w:pPr>
            <w:r>
              <w:t xml:space="preserve">2.058</w:t>
            </w:r>
          </w:p>
        </w:tc>
        <w:tc>
          <w:tcPr/>
          <w:p>
            <w:pPr>
              <w:pStyle w:val="Compact"/>
              <w:jc w:val="right"/>
            </w:pPr>
            <w:r>
              <w:t xml:space="preserve">14.77</w:t>
            </w:r>
          </w:p>
        </w:tc>
        <w:tc>
          <w:tcPr/>
          <w:p>
            <w:pPr>
              <w:pStyle w:val="Compact"/>
              <w:jc w:val="right"/>
            </w:pPr>
            <w:r>
              <w:t xml:space="preserve">0.391</w:t>
            </w:r>
          </w:p>
        </w:tc>
        <w:tc>
          <w:tcPr/>
          <w:p>
            <w:pPr>
              <w:pStyle w:val="Compact"/>
              <w:jc w:val="right"/>
            </w:pPr>
            <w:r>
              <w:t xml:space="preserve">0.040</w:t>
            </w:r>
          </w:p>
        </w:tc>
      </w:tr>
      <w:tr>
        <w:tc>
          <w:tcPr/>
          <w:p>
            <w:pPr>
              <w:pStyle w:val="Compact"/>
              <w:jc w:val="left"/>
            </w:pPr>
            <w:r>
              <w:t xml:space="preserve">nested exponential (3 par)</w:t>
            </w:r>
          </w:p>
        </w:tc>
        <w:tc>
          <w:tcPr/>
          <w:p>
            <w:pPr>
              <w:pStyle w:val="Compact"/>
              <w:jc w:val="right"/>
            </w:pPr>
            <w:r>
              <w:t xml:space="preserve">2.073</w:t>
            </w:r>
          </w:p>
        </w:tc>
        <w:tc>
          <w:tcPr/>
          <w:p>
            <w:pPr>
              <w:pStyle w:val="Compact"/>
              <w:jc w:val="right"/>
            </w:pPr>
            <w:r>
              <w:t xml:space="preserve">14.77</w:t>
            </w:r>
          </w:p>
        </w:tc>
        <w:tc>
          <w:tcPr/>
          <w:p>
            <w:pPr>
              <w:pStyle w:val="Compact"/>
              <w:jc w:val="right"/>
            </w:pPr>
            <w:r>
              <w:t xml:space="preserve">0.081</w:t>
            </w:r>
          </w:p>
        </w:tc>
        <w:tc>
          <w:tcPr/>
          <w:p>
            <w:pPr>
              <w:pStyle w:val="Compact"/>
              <w:jc w:val="right"/>
            </w:pPr>
            <w:r>
              <w:t xml:space="preserve">0.036</w:t>
            </w:r>
          </w:p>
        </w:tc>
      </w:tr>
      <w:tr>
        <w:tc>
          <w:tcPr/>
          <w:p>
            <w:pPr>
              <w:pStyle w:val="Compact"/>
              <w:jc w:val="left"/>
            </w:pPr>
            <w:r>
              <w:t xml:space="preserve">RF, depth as covariate (pooled)</w:t>
            </w:r>
          </w:p>
        </w:tc>
        <w:tc>
          <w:tcPr/>
          <w:p>
            <w:pPr>
              <w:pStyle w:val="Compact"/>
              <w:jc w:val="right"/>
            </w:pPr>
            <w:r>
              <w:t xml:space="preserve">2.667</w:t>
            </w:r>
          </w:p>
        </w:tc>
        <w:tc>
          <w:tcPr/>
          <w:p>
            <w:pPr>
              <w:pStyle w:val="Compact"/>
              <w:jc w:val="right"/>
            </w:pPr>
            <w:r>
              <w:t xml:space="preserve">14.76</w:t>
            </w:r>
          </w:p>
        </w:tc>
        <w:tc>
          <w:tcPr/>
          <w:p>
            <w:pPr>
              <w:pStyle w:val="Compact"/>
              <w:jc w:val="right"/>
            </w:pPr>
            <w:r>
              <w:t xml:space="preserve">0.380</w:t>
            </w:r>
          </w:p>
        </w:tc>
        <w:tc>
          <w:tcPr/>
          <w:p>
            <w:pPr>
              <w:pStyle w:val="Compact"/>
              <w:jc w:val="right"/>
            </w:pPr>
            <w:r>
              <w:t xml:space="preserve">0.013</w:t>
            </w:r>
          </w:p>
        </w:tc>
      </w:tr>
      <w:tr>
        <w:tc>
          <w:tcPr/>
          <w:p>
            <w:pPr>
              <w:pStyle w:val="Compact"/>
              <w:jc w:val="left"/>
            </w:pPr>
            <w:r>
              <w:t xml:space="preserve">profile mean</w:t>
            </w:r>
          </w:p>
        </w:tc>
        <w:tc>
          <w:tcPr/>
          <w:p>
            <w:pPr>
              <w:pStyle w:val="Compact"/>
              <w:jc w:val="right"/>
            </w:pPr>
            <w:r>
              <w:t xml:space="preserve">8.000</w:t>
            </w:r>
          </w:p>
        </w:tc>
        <w:tc>
          <w:tcPr/>
          <w:p>
            <w:pPr>
              <w:pStyle w:val="Compact"/>
              <w:jc w:val="right"/>
            </w:pPr>
            <w:r>
              <w:t xml:space="preserve">17.23</w:t>
            </w:r>
          </w:p>
        </w:tc>
        <w:tc>
          <w:tcPr/>
          <w:p>
            <w:pPr>
              <w:pStyle w:val="Compact"/>
              <w:jc w:val="right"/>
            </w:pPr>
            <w:r>
              <w:t xml:space="preserve">6.548</w:t>
            </w:r>
          </w:p>
        </w:tc>
        <w:tc>
          <w:tcPr/>
          <w:p>
            <w:pPr>
              <w:pStyle w:val="Compact"/>
              <w:jc w:val="right"/>
            </w:pPr>
            <w:r>
              <w:t xml:space="preserve">0.039</w:t>
            </w:r>
          </w:p>
        </w:tc>
      </w:tr>
    </w:tbl>
    <w:p>
      <w:pPr>
        <w:pStyle w:val="BodyText"/>
      </w:pPr>
      <w:r>
        <w:rPr>
          <w:b/>
          <w:bCs/>
        </w:rPr>
        <w:t xml:space="preserve">What declaring the validity domain does, and does not, buy.</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15.4% of these profiles are not monotone even in their training horizons. It is tempting to read that as a scope statement that rescues the model, and an earlier version of this analysis did exactly that, reporting that restricting to the monotone profiles moved the RMSE from 14.04 to 1.51.</w:t>
      </w:r>
    </w:p>
    <w:p>
      <w:pPr>
        <w:pStyle w:val="BodyText"/>
      </w:pPr>
      <w:r>
        <w:t xml:space="preserve">That reduction was an artefact of how the restriction was computed. Judging a profile monotone from its</w:t>
      </w:r>
      <w:r>
        <w:t xml:space="preserve"> </w:t>
      </w:r>
      <w:r>
        <w:rPr>
          <w:i/>
          <w:iCs/>
        </w:rPr>
        <w:t xml:space="preserve">complete</w:t>
      </w:r>
      <w:r>
        <w:t xml:space="preserve"> </w:t>
      </w:r>
      <w:r>
        <w:t xml:space="preserve">record — including the deepest horizon, the one the extrapolation task holds out — excludes precisely those profiles whose held-out horizon jumps, which are the hard cases. Sixty of the 935 profiles are monotone in their training horizons but not in the full record, and they are enough to carry the result: the largest jump of the held-out horizon is 17 g/kg among the profiles the leaking criterion admits and 427 g/kg among those the honest one admits. Computing the criterion from training horizons only, as it must be, leaves the RMSE at 14.74 rather than 1.51.</w:t>
      </w:r>
    </w:p>
    <w:p>
      <w:pPr>
        <w:pStyle w:val="BodyText"/>
      </w:pPr>
      <w:r>
        <w:t xml:space="preserve">The honest conclusion is narrower than the one that stratification appeared to license, and more useful. The model predicts the typical held-out horizon well — median absolute error 0.76 g/kg — and fails catastrophically on about one profile in a hundred, and nothing available at fit time distinguishes the two. The absolute correlation between the size of the jump in the held-out horizon and the number of training horizons, the depth of the prediction, or the model’s own extrapolation diagnostic is below 0.03 in every case. A depth function fitted to the horizons above cannot know that a buried organic horizon is coming, and declaring a validity domain does not change that, because the declaration would have to be made from the same information.</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9]</w:t>
      </w:r>
      <w:r>
        <w:t xml:space="preserve"> </w:t>
      </w:r>
      <w:r>
        <w:t xml:space="preserve">carrying a fourth shape parameter. The defensible steady-state balance for soil carbon is an advection–reaction–diffusion equation</w:t>
      </w:r>
      <w:r>
        <w:t xml:space="preserve"> </w:t>
      </w:r>
      <w:r>
        <w:t xml:space="preserve">[10,11]</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[12,13]</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935 profiles the derived model leads the table on mean absolute error, 1.76 against 1.82 g/kg, but the difference is not significant: it wins on 486 profiles against 449, paired Wilcoxon</w:t>
      </w:r>
      <w:r>
        <w:t xml:space="preserve"> </w:t>
      </w:r>
      <m:oMath>
        <m:r>
          <m:t>p</m:t>
        </m:r>
        <m:r>
          <m:rPr>
            <m:sty m:val="p"/>
          </m:rPr>
          <m:t>=</m:t>
        </m:r>
        <m:r>
          <m:t>0.25</m:t>
        </m:r>
      </m:oMath>
      <w:r>
        <w:t xml:space="preserve">. On the nine-horizon pedon it does fit markedly better, 0.44 against 2.52 g/kg.</w:t>
      </w:r>
    </w:p>
    <w:p>
      <w:pPr>
        <w:pStyle w:val="BodyText"/>
      </w:pPr>
      <w:r>
        <w:t xml:space="preserve">That null result is worth stating carefully, because an earlier version of this analysis reached the opposite conclusion. Under a Gaussian likelihood the derived model appeared to win decisively (</w:t>
      </w:r>
      <m:oMath>
        <m:r>
          <m:t>p</m:t>
        </m:r>
        <m:r>
          <m:rPr>
            <m:sty m:val="p"/>
          </m:rPr>
          <m:t>=</m:t>
        </m:r>
        <m:r>
          <m:t>2</m:t>
        </m:r>
        <m:r>
          <m:rPr>
            <m:sty m:val="p"/>
          </m:rPr>
          <m:t>×</m:t>
        </m:r>
        <m:sSup>
          <m:e>
            <m:r>
              <m:t>10</m:t>
            </m:r>
          </m:e>
          <m:sup>
            <m:r>
              <m:rPr>
                <m:sty m:val="p"/>
              </m:rPr>
              <m:t>−</m:t>
            </m:r>
            <m:r>
              <m:t>6</m:t>
            </m:r>
          </m:sup>
        </m:sSup>
      </m:oMath>
      <w:r>
        <w:t xml:space="preserve">). Correcting the likelihood for both models removed the difference — the Gaussian was penalising the attenuating-rate form more, because over-weighting the topsoil hurts the model whose flexibility lies in the deep tail. The two forms are, on this evidence, equally accurate at predicting a held-out deepest horizon.</w:t>
      </w:r>
    </w:p>
    <w:p>
      <w:pPr>
        <w:pStyle w:val="BodyText"/>
      </w:pPr>
      <w:r>
        <w:t xml:space="preserve">We therefore recommend the derived form on the grounds it can actually be defended — it follows from a carbon balance, its parameters are positive and priorable from published rooting and stabilisation values, and its asymptote is a parameter of the equation rather than a coordinate the profile never reaches — and not on grounds of accuracy, where the honest answer is a tie. The attenuating-rate equation is retained because it is what the depth-function literature has used and it is the fair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Two of the four parameters have an identified variogram. The attainable deep value reaches a sill with a nugget-to-sill ratio of 0.63 at a range of 68 km, and the depth attenuation 0.56 at 55 km — moderate spatial dependence in the sense of Cambardella et al.</w:t>
      </w:r>
      <w:r>
        <w:t xml:space="preserve"> </w:t>
      </w:r>
      <w:r>
        <w:t xml:space="preserve">[14]</w:t>
      </w:r>
      <w:r>
        <w:t xml:space="preserve">. The other two, the surface value and the total relaxation, fit ranges of 12 and 9 km, which lie</w:t>
      </w:r>
      <w:r>
        <w:t xml:space="preserve"> </w:t>
      </w:r>
      <w:r>
        <w:rPr>
          <w:i/>
          <w:iCs/>
        </w:rPr>
        <w:t xml:space="preserve">below the closest pair of profiles in the archive</w:t>
      </w:r>
      <w:r>
        <w:t xml:space="preserve">: the nearest lag these 1,105 profiles support is 35 km, so a range shorter than that is interpolated through empty space rather than measured. Their spatial structure, whatever it is, operates at a scale this survey cannot see.</w:t>
      </w:r>
    </w:p>
    <w:p>
      <w:pPr>
        <w:pStyle w:val="BodyText"/>
      </w:pPr>
      <w:r>
        <w:t xml:space="preserve">The consequence for mapping is the same in both cases and it is unfavourable. Even the two identified ranges, 55 and 68 km, are far shorter than the median separation between profiles in this archive, so kriging the parameters would be extrapolating almost everywhere. Regressing each on climate and terrain first does not rescue the situation: those covariates explain between 1.4% and 8.1%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1,105 profiles, 386,729 point pairs, with fitted exponential models. Two parameters reach a sill within the observed separations at ranges of 55 and 68 km; the other two fit ranges shorter than the 35 km nearest lag the archive supports, and are therefore not identified. Point size is the number of pairs in each lag.</w:t>
      </w:r>
    </w:p>
    <w:p>
      <w:pPr>
        <w:pStyle w:val="BodyText"/>
      </w:pPr>
      <w:r>
        <w:rPr>
          <w:b/>
          <w:bCs/>
        </w:rPr>
        <w:t xml:space="preserve">Do the parameters mean what they are called?</w:t>
      </w:r>
      <w:r>
        <w:t xml:space="preserve"> </w:t>
      </w:r>
      <w:r>
        <w:t xml:space="preserve">The pillar claims its parameters are identified and interpretable. Identified we demonstrate; interpretable we had only asserted. Two directional predictions test it, both falsifiable, and they come out differently.</w:t>
      </w:r>
    </w:p>
    <w:p>
      <w:pPr>
        <w:pStyle w:val="BodyText"/>
      </w:pPr>
      <w:r>
        <w:t xml:space="preserve">The first concerns the deep floor. Hassink</w:t>
      </w:r>
      <w:r>
        <w:t xml:space="preserve"> </w:t>
      </w:r>
      <w:r>
        <w:t xml:space="preserve">[15]</w:t>
      </w:r>
      <w:r>
        <w:t xml:space="preserve"> </w:t>
      </w:r>
      <w:r>
        <w:t xml:space="preserve">showed that a soil’s capacity to preserve carbon in association with its fine fraction rises with the mass of that fraction, so if</w:t>
      </w:r>
      <w:r>
        <w:t xml:space="preserve"> </w:t>
      </w:r>
      <m:oMath>
        <m:r>
          <m:t>y</m:t>
        </m:r>
        <m:r>
          <m:rPr>
            <m:sty m:val="p"/>
          </m:rPr>
          <m:t>(</m:t>
        </m:r>
        <m:r>
          <m:rPr>
            <m:sty m:val="p"/>
          </m:rPr>
          <m:t>∞</m:t>
        </m:r>
        <m:r>
          <m:rPr>
            <m:sty m:val="p"/>
          </m:rPr>
          <m:t>)</m:t>
        </m:r>
      </m:oMath>
      <w:r>
        <w:t xml:space="preserve"> </w:t>
      </w:r>
      <w:r>
        <w:t xml:space="preserve">is a mineral-associated floor it must increase with clay plus silt; if it is only a shape parameter, there is no reason it should. Across 812 monotone profiles with a texture estimate within 5 km, it does: the slope of</w:t>
      </w:r>
      <w:r>
        <w:t xml:space="preserve"> </w:t>
      </w:r>
      <m:oMath>
        <m:r>
          <m:rPr>
            <m:sty m:val="p"/>
          </m:rPr>
          <m:t>log</m:t>
        </m:r>
        <m:r>
          <m:t>y</m:t>
        </m:r>
        <m:r>
          <m:rPr>
            <m:sty m:val="p"/>
          </m:rPr>
          <m:t>(</m:t>
        </m:r>
        <m:r>
          <m:rPr>
            <m:sty m:val="p"/>
          </m:rPr>
          <m:t>∞</m:t>
        </m:r>
        <m:r>
          <m:rPr>
            <m:sty m:val="p"/>
          </m:rPr>
          <m:t>)</m:t>
        </m:r>
      </m:oMath>
      <w:r>
        <w:t xml:space="preserve"> </w:t>
      </w:r>
      <w:r>
        <w:t xml:space="preserve">on clay + silt is</w:t>
      </w:r>
      <w:r>
        <w:t xml:space="preserve"> </w:t>
      </w:r>
      <m:oMath>
        <m:r>
          <m:rPr>
            <m:sty m:val="p"/>
          </m:rPr>
          <m:t>+</m:t>
        </m:r>
        <m:r>
          <m:t>0.0067</m:t>
        </m:r>
      </m:oMath>
      <w:r>
        <w:t xml:space="preserve"> </w:t>
      </w:r>
      <w:r>
        <w:t xml:space="preserve">per percentage point (</w:t>
      </w:r>
      <m:oMath>
        <m:r>
          <m:t>p</m:t>
        </m:r>
        <m:r>
          <m:rPr>
            <m:sty m:val="p"/>
          </m:rPr>
          <m:t>=</m:t>
        </m:r>
        <m:r>
          <m:t>0.03</m:t>
        </m:r>
      </m:oMath>
      <w:r>
        <w:t xml:space="preserve">; Spearman</w:t>
      </w:r>
      <w:r>
        <w:t xml:space="preserve"> </w:t>
      </w:r>
      <m:oMath>
        <m:r>
          <m:t>ρ</m:t>
        </m:r>
        <m:r>
          <m:rPr>
            <m:sty m:val="p"/>
          </m:rPr>
          <m:t>=</m:t>
        </m:r>
        <m:r>
          <m:t>0.10</m:t>
        </m:r>
      </m:oMath>
      <w:r>
        <w:t xml:space="preserve">,</w:t>
      </w:r>
      <w:r>
        <w:t xml:space="preserve"> </w:t>
      </w:r>
      <m:oMath>
        <m:r>
          <m:t>p</m:t>
        </m:r>
        <m:r>
          <m:rPr>
            <m:sty m:val="p"/>
          </m:rPr>
          <m:t>=</m:t>
        </m:r>
        <m:r>
          <m:t>0.004</m:t>
        </m:r>
      </m:oMath>
      <w:r>
        <w:t xml:space="preserve">), which over the observed 17–93% range corresponds to a 1.7-fold change in the fitted floor. The direction is the predicted one and the association is not an artefact of one parameterisation — the attained value of the attenuating-rate form gives the same sign more strongly (</w:t>
      </w:r>
      <m:oMath>
        <m:r>
          <m:t>p</m:t>
        </m:r>
        <m:r>
          <m:rPr>
            <m:sty m:val="p"/>
          </m:rPr>
          <m:t>=</m:t>
        </m:r>
        <m:r>
          <m:t>0.002</m:t>
        </m:r>
      </m:oMath>
      <w:r>
        <w:t xml:space="preserve">).</w:t>
      </w:r>
    </w:p>
    <w:p>
      <w:pPr>
        <w:pStyle w:val="BodyText"/>
      </w:pPr>
      <w:r>
        <w:t xml:space="preserve">The magnitude, however, is negligible: texture explains 0.5% of the variance in the fitted floor. With 812 profiles a relation this weak clears significance easily, and the texture is a SoilGrids prediction rather than a measurement, from a product trained partly on the same WoSIS archive. We report this as consistent with the mechanism and as very much weaker than a confirmation of it.</w:t>
      </w:r>
    </w:p>
    <w:p>
      <w:pPr>
        <w:pStyle w:val="BodyText"/>
      </w:pPr>
      <w:r>
        <w:t xml:space="preserve">The second anchor fails, and how it fails is the more useful result. Jobbágy and Jackson</w:t>
      </w:r>
      <w:r>
        <w:t xml:space="preserve"> </w:t>
      </w:r>
      <w:r>
        <w:t xml:space="preserve">[16]</w:t>
      </w:r>
      <w:r>
        <w:t xml:space="preserve"> </w:t>
      </w:r>
      <w:r>
        <w:t xml:space="preserve">summarise the vertical distribution of soil carbon by</w:t>
      </w:r>
      <w:r>
        <w:t xml:space="preserve"> </w:t>
      </w:r>
      <m:oMath>
        <m:r>
          <m:t>β</m:t>
        </m:r>
      </m:oMath>
      <w:r>
        <w:t xml:space="preserve"> </w:t>
      </w:r>
      <w:r>
        <w:t xml:space="preserve">in</w:t>
      </w:r>
      <w:r>
        <w:t xml:space="preserve"> </w:t>
      </w:r>
      <m:oMath>
        <m:r>
          <m:t>Y</m:t>
        </m:r>
        <m:r>
          <m:rPr>
            <m:sty m:val="p"/>
          </m:rPr>
          <m:t>(</m:t>
        </m:r>
        <m:r>
          <m:t>d</m:t>
        </m:r>
        <m:r>
          <m:rPr>
            <m:sty m:val="p"/>
          </m:rPr>
          <m:t>)</m:t>
        </m:r>
        <m:r>
          <m:rPr>
            <m:sty m:val="p"/>
          </m:rPr>
          <m:t>=</m:t>
        </m:r>
        <m:r>
          <m:t>1</m:t>
        </m:r>
        <m:r>
          <m:rPr>
            <m:sty m:val="p"/>
          </m:rPr>
          <m:t>−</m:t>
        </m:r>
        <m:sSup>
          <m:e>
            <m:r>
              <m:t>β</m:t>
            </m:r>
          </m:e>
          <m:sup>
            <m:r>
              <m:t>d</m:t>
            </m:r>
          </m:sup>
        </m:sSup>
      </m:oMath>
      <w:r>
        <w:t xml:space="preserve">, a whole-profile shape statistic defined without reference to any of our parameters, and their central finding is that vegetation shapes it. Our fitted depth functions imply a</w:t>
      </w:r>
      <w:r>
        <w:t xml:space="preserve"> </w:t>
      </w:r>
      <m:oMath>
        <m:r>
          <m:t>β</m:t>
        </m:r>
      </m:oMath>
      <w:r>
        <w:t xml:space="preserve"> </w:t>
      </w:r>
      <w:r>
        <w:t xml:space="preserve">with a median of 0.971 and a 5–95% range of 0.957–0.980 — a narrow, pedologically unremarkable band. But it moves with nothing outside the fit. Regressed on tree cover it gives a slope of</w:t>
      </w:r>
      <w:r>
        <w:t xml:space="preserve"> </w:t>
      </w:r>
      <m:oMath>
        <m:r>
          <m:rPr>
            <m:sty m:val="p"/>
          </m:rPr>
          <m:t>−</m:t>
        </m:r>
        <m:r>
          <m:t>4</m:t>
        </m:r>
        <m:r>
          <m:rPr>
            <m:sty m:val="p"/>
          </m:rPr>
          <m:t>×</m:t>
        </m:r>
        <m:sSup>
          <m:e>
            <m:r>
              <m:t>10</m:t>
            </m:r>
          </m:e>
          <m:sup>
            <m:r>
              <m:rPr>
                <m:sty m:val="p"/>
              </m:rPr>
              <m:t>−</m:t>
            </m:r>
            <m:r>
              <m:t>5</m:t>
            </m:r>
          </m:sup>
        </m:sSup>
      </m:oMath>
      <w:r>
        <w:t xml:space="preserve"> </w:t>
      </w:r>
      <w:r>
        <w:t xml:space="preserve">(</w:t>
      </w:r>
      <m:oMath>
        <m:r>
          <m:t>p</m:t>
        </m:r>
        <m:r>
          <m:rPr>
            <m:sty m:val="p"/>
          </m:rPr>
          <m:t>=</m:t>
        </m:r>
        <m:r>
          <m:t>0.97</m:t>
        </m:r>
      </m:oMath>
      <w:r>
        <w:t xml:space="preserve">,</w:t>
      </w:r>
      <w:r>
        <w:t xml:space="preserve"> </w:t>
      </w:r>
      <m:oMath>
        <m:sSup>
          <m:e>
            <m:r>
              <m:t>R</m:t>
            </m:r>
          </m:e>
          <m:sup>
            <m:r>
              <m:t>2</m:t>
            </m:r>
          </m:sup>
        </m:sSup>
        <m:r>
          <m:rPr>
            <m:sty m:val="p"/>
          </m:rPr>
          <m:t>=</m:t>
        </m:r>
        <m:r>
          <m:t>0.00003</m:t>
        </m:r>
      </m:oMath>
      <w:r>
        <w:t xml:space="preserve">); on clay,</w:t>
      </w:r>
      <w:r>
        <w:t xml:space="preserve"> </w:t>
      </w:r>
      <m:oMath>
        <m:sSup>
          <m:e>
            <m:r>
              <m:t>R</m:t>
            </m:r>
          </m:e>
          <m:sup>
            <m:r>
              <m:t>2</m:t>
            </m:r>
          </m:sup>
        </m:sSup>
        <m:r>
          <m:rPr>
            <m:sty m:val="p"/>
          </m:rPr>
          <m:t>&lt;</m:t>
        </m:r>
        <m:r>
          <m:t>0.0001</m:t>
        </m:r>
      </m:oMath>
      <w:r>
        <w:t xml:space="preserve">; on mean annual precipitation,</w:t>
      </w:r>
      <w:r>
        <w:t xml:space="preserve"> </w:t>
      </w:r>
      <m:oMath>
        <m:sSup>
          <m:e>
            <m:r>
              <m:t>R</m:t>
            </m:r>
          </m:e>
          <m:sup>
            <m:r>
              <m:t>2</m:t>
            </m:r>
          </m:sup>
        </m:sSup>
        <m:r>
          <m:rPr>
            <m:sty m:val="p"/>
          </m:rPr>
          <m:t>=</m:t>
        </m:r>
        <m:r>
          <m:t>0.0005</m:t>
        </m:r>
      </m:oMath>
      <w:r>
        <w:t xml:space="preserve">. The one external variable it does track is the depth to which the profile happened to be dug (</w:t>
      </w:r>
      <m:oMath>
        <m:sSup>
          <m:e>
            <m:r>
              <m:t>R</m:t>
            </m:r>
          </m:e>
          <m:sup>
            <m:r>
              <m:t>2</m:t>
            </m:r>
          </m:sup>
        </m:sSup>
        <m:r>
          <m:rPr>
            <m:sty m:val="p"/>
          </m:rPr>
          <m:t>=</m:t>
        </m:r>
        <m:r>
          <m:t>0.024</m:t>
        </m:r>
      </m:oMath>
      <w:r>
        <w:t xml:space="preserve">,</w:t>
      </w:r>
      <w:r>
        <w:t xml:space="preserve"> </w:t>
      </w:r>
      <m:oMath>
        <m:r>
          <m:t>p</m:t>
        </m:r>
        <m:r>
          <m:rPr>
            <m:sty m:val="p"/>
          </m:rPr>
          <m:t>=</m:t>
        </m:r>
        <m:r>
          <m:t>1</m:t>
        </m:r>
        <m:r>
          <m:rPr>
            <m:sty m:val="p"/>
          </m:rPr>
          <m:t>×</m:t>
        </m:r>
        <m:sSup>
          <m:e>
            <m:r>
              <m:t>10</m:t>
            </m:r>
          </m:e>
          <m:sup>
            <m:r>
              <m:rPr>
                <m:sty m:val="p"/>
              </m:rPr>
              <m:t>−</m:t>
            </m:r>
            <m:r>
              <m:t>5</m:t>
            </m:r>
          </m:sup>
        </m:sSup>
      </m:oMath>
      <w:r>
        <w:t xml:space="preserve">), which is a property of the survey rather than of the soil.</w:t>
      </w:r>
    </w:p>
    <w:p>
      <w:pPr>
        <w:pStyle w:val="BodyText"/>
      </w:pPr>
      <w:r>
        <w:t xml:space="preserve">What it does track is us. Sixty-three percent of the variance in the implied</w:t>
      </w:r>
      <w:r>
        <w:t xml:space="preserve"> </w:t>
      </w:r>
      <m:oMath>
        <m:r>
          <m:t>β</m:t>
        </m:r>
      </m:oMath>
      <w:r>
        <w:t xml:space="preserve"> </w:t>
      </w:r>
      <w:r>
        <w:t xml:space="preserve">is explained by the fitted surface concentration alone. That is mechanically unsurprising once stated — within this model family the cumulative curve is pinned by the contrast between the surface and the deep value, which is what the parameterisation encodes — but it is decisive for the anchor’s purpose. A statistic that is two-thirds determined by a parameter of the model it is meant to validate is not external evidence, and we withdraw it as such. It remains a useful check that the fitted profiles are not absurd; it is not a check that they are right.</w:t>
      </w:r>
    </w:p>
    <w:p>
      <w:pPr>
        <w:pStyle w:val="BodyText"/>
      </w:pPr>
      <w:r>
        <w:rPr>
          <w:b/>
          <w:bCs/>
        </w:rPr>
        <w:t xml:space="preserve">What we do not claim.</w:t>
      </w:r>
      <w:r>
        <w:t xml:space="preserve"> </w:t>
      </w:r>
      <w:r>
        <w:t xml:space="preserve">Four limits belong with this pillar. The model is monotone and cannot represent horizon differentiation; the 15.4% of profiles whose training horizons already violate monotonicity are not a rounding error but the pedologically most interesting ones, and the profiles that violate it only in the horizon being predicted cannot be excluded in advance at all. Carbon</w:t>
      </w:r>
      <w:r>
        <w:t xml:space="preserve"> </w:t>
      </w:r>
      <w:r>
        <w:rPr>
          <w:i/>
          <w:iCs/>
        </w:rPr>
        <w:t xml:space="preserve">stock</w:t>
      </w:r>
      <w:r>
        <w:t xml:space="preserve">, not concentration, is the quantity that is conserved and mapped, and we cannot validate against it here: WoSIS bulk density covers 3.9% of these horizons and only eight profiles completely, so a stock comparison would rest on a pedotransfer function rather than on measurement.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 And the interpretation of the parameters rests, on the evidence above, on one weak directional association and one anchor that turned out to be internal.</w:t>
      </w:r>
    </w:p>
    <w:p>
      <w:pPr>
        <w:pStyle w:val="Heading3"/>
      </w:pPr>
      <w:r>
        <w:t xml:space="preserve">Four-dimensional pedometry</w:t>
      </w:r>
    </w:p>
    <w:p>
      <w:pPr>
        <w:pStyle w:val="FirstParagraph"/>
      </w:pPr>
      <w:r>
        <w:t xml:space="preserve">The third pillar treats a soil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(A) Observed and forecast vegetation index at three lead times over a 10 x 10 Cerrado grid. (B) The ten-member forecast ensemble at the cell the filter corrects most, against the observed trajectory. (C) Ensemble Kalman assimilation of eight in-situ observations (points): the prior field, the analysis, and the increment between them.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mean of the rows being scored. The distinction is not pedantic, and we report both because we got it wrong ourselves. The conventional R-squared divides by the variance of the test values about</w:t>
      </w:r>
      <w:r>
        <w:t xml:space="preserve"> </w:t>
      </w:r>
      <w:r>
        <w:rPr>
          <w:i/>
          <w:iCs/>
        </w:rPr>
        <w:t xml:space="preserve">their own</w:t>
      </w:r>
      <w:r>
        <w:t xml:space="preserve"> </w:t>
      </w:r>
      <w:r>
        <w:t xml:space="preserve">mean, which is computed from the very observations being scored: a model compared against it is compared against an oracle. That is the harder bar, since the test mean is by construction the best constant predictor of the test set, and a method can clear the achievable null while failing the oracle one. Under the achievable null a method that explains nothing scores zero and a method worse than predicting the training mean scores negative; two of our six methods do, and three fall below the oracle.</w:t>
      </w:r>
      <w:r>
        <w:t xml:space="preserve"> </w:t>
      </w:r>
      <w:r>
        <w:rPr>
          <w:rStyle w:val="VerbatimChar"/>
        </w:rPr>
        <w:t xml:space="preserve">edaphos_nse()</w:t>
      </w:r>
      <w:r>
        <w:t xml:space="preserve"> </w:t>
      </w:r>
      <w:r>
        <w:t xml:space="preserve">takes the null as a required argument for exactly this reason.</w:t>
      </w:r>
    </w:p>
    <w:p>
      <w:pPr>
        <w:pStyle w:val="BodyText"/>
      </w:pPr>
      <w:r>
        <w:t xml:space="preserve">Folds are spatially blocked</w:t>
      </w:r>
      <w:r>
        <w:t xml:space="preserve"> </w:t>
      </w:r>
      <w:r>
        <w:rPr>
          <w:i/>
          <w:iCs/>
        </w:rPr>
        <w:t xml:space="preserve">with a buffer</w:t>
      </w:r>
      <w:r>
        <w:t xml:space="preserve">. Blocking alone leaves training rows immediately across the block boundary from test rows — on these coordinates the nearest was 12.3 km away, well inside the 55–68 km range at which the fitted depth-function parameters are still correlated — and blocking without a dead zone under-states generalisation error</w:t>
      </w:r>
      <w:r>
        <w:t xml:space="preserve"> </w:t>
      </w:r>
      <w:r>
        <w:t xml:space="preserve">[17]</w:t>
      </w:r>
      <w:r>
        <w:t xml:space="preserve">.</w:t>
      </w:r>
      <w:r>
        <w:t xml:space="preserve"> </w:t>
      </w:r>
      <w:r>
        <w:rPr>
          <w:rStyle w:val="VerbatimChar"/>
        </w:rPr>
        <w:t xml:space="preserve">spatial_block_folds()</w:t>
      </w:r>
      <w:r>
        <w:t xml:space="preserve"> </w:t>
      </w:r>
      <w:r>
        <w:t xml:space="preserve">discards training rows within 68 km of any test row, reports how many it discarded, and returns the realised minimum distance so the exclusion is auditable rather than implicit.</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[18]</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4 reports the matched benchmark. Read across the row rather than down the first column: accuracy (root-mean-square error, lower is better), skill against each of two nulls, calibration (coverage near the nominal 0.90 and interval width), the proper score, and wall-clock cost.</w:t>
      </w:r>
    </w:p>
    <w:p>
      <w:pPr>
        <w:pStyle w:val="BodyText"/>
      </w:pPr>
      <w:r>
        <w:t xml:space="preserve">Two columns report skill because the choice of null decides the headline, and the two are easy to conflate.</w:t>
      </w:r>
      <w:r>
        <w:t xml:space="preserve"> </w:t>
      </w:r>
      <w:r>
        <w:rPr>
          <w:b/>
          <w:bCs/>
        </w:rPr>
        <w:t xml:space="preserve">NSE</w:t>
      </w:r>
      <w:r>
        <w:t xml:space="preserve"> </w:t>
      </w:r>
      <w:r>
        <w:t xml:space="preserve">is measured against the mean of each fold’s</w:t>
      </w:r>
      <w:r>
        <w:t xml:space="preserve"> </w:t>
      </w:r>
      <w:r>
        <w:rPr>
          <w:i/>
          <w:iCs/>
        </w:rPr>
        <w:t xml:space="preserve">training</w:t>
      </w:r>
      <w:r>
        <w:t xml:space="preserve"> </w:t>
      </w:r>
      <w:r>
        <w:t xml:space="preserve">rows — a null a deployed map could actually use.</w:t>
      </w:r>
      <w:r>
        <w:t xml:space="preserve"> </w:t>
      </w:r>
      <w:r>
        <w:rPr>
          <w:b/>
          <w:bCs/>
        </w:rPr>
        <w:t xml:space="preserve">R-squared</w:t>
      </w:r>
      <w:r>
        <w:t xml:space="preserve"> </w:t>
      </w:r>
      <w:r>
        <w:t xml:space="preserve">is measured against the mean of the</w:t>
      </w:r>
      <w:r>
        <w:t xml:space="preserve"> </w:t>
      </w:r>
      <w:r>
        <w:rPr>
          <w:i/>
          <w:iCs/>
        </w:rPr>
        <w:t xml:space="preserve">test</w:t>
      </w:r>
      <w:r>
        <w:t xml:space="preserve"> </w:t>
      </w:r>
      <w:r>
        <w:t xml:space="preserve">rows, which is what the conventional formula does and which no map has access to; it is the harder bar, because the test mean is by construction the best constant predictor of the test set. An earlier version of this paper reported the second under the first’s name, and the difference is not cosmetic: three methods fall below the oracle null and two below the achievable one.</w:t>
      </w:r>
    </w:p>
    <w:p>
      <w:pPr>
        <w:pStyle w:val="BodyText"/>
      </w:pPr>
      <w:r>
        <w:rPr>
          <w:b/>
          <w:bCs/>
        </w:rPr>
        <w:t xml:space="preserve">Table 4. Matched cross-pillar benchmark on real Cerrado profiles.</w:t>
      </w:r>
      <w:r>
        <w:t xml:space="preserve"> </w:t>
      </w:r>
      <w:r>
        <w:t xml:space="preserve">Six methods on the same spatially blocked folds and the same target transform. Folds carry a 68 km buffer: training rows within that distance of any test row are discarded, which cost 88 of 3,077 rows and raised the realised minimum training-to-test distance from 12.3 to 68.3 km. RMSE and CRPS: lower is better. NSE is skill against the training-fold mean, R-squared against the test-fold mean; PICP should approach 0.90. Rows are ordered by RMSE.</w:t>
      </w:r>
    </w:p>
    <w:tbl>
      <w:tblPr>
        <w:tblStyle w:val="Table"/>
        <w:tblW w:type="pct" w:w="5000"/>
        <w:tblLayout w:type="fixed"/>
        <w:tblLook w:firstRow="1" w:lastRow="0" w:firstColumn="0" w:lastColumn="0" w:noHBand="0" w:noVBand="0" w:val="0020"/>
      </w:tblPr>
      <w:tblGrid>
        <w:gridCol w:w="3148"/>
        <w:gridCol w:w="572"/>
        <w:gridCol w:w="667"/>
        <w:gridCol w:w="954"/>
        <w:gridCol w:w="572"/>
        <w:gridCol w:w="572"/>
        <w:gridCol w:w="572"/>
        <w:gridCol w:w="858"/>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NSE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0.200</w:t>
            </w:r>
          </w:p>
        </w:tc>
        <w:tc>
          <w:tcPr/>
          <w:p>
            <w:pPr>
              <w:pStyle w:val="Compact"/>
              <w:jc w:val="right"/>
            </w:pPr>
            <w:r>
              <w:t xml:space="preserve">0.069</w:t>
            </w:r>
          </w:p>
        </w:tc>
        <w:tc>
          <w:tcPr/>
          <w:p>
            <w:pPr>
              <w:pStyle w:val="Compact"/>
              <w:jc w:val="right"/>
            </w:pPr>
            <w:r>
              <w:t xml:space="preserve">0.882</w:t>
            </w:r>
          </w:p>
        </w:tc>
        <w:tc>
          <w:tcPr/>
          <w:p>
            <w:pPr>
              <w:pStyle w:val="Compact"/>
              <w:jc w:val="right"/>
            </w:pPr>
            <w:r>
              <w:t xml:space="preserve">1.843</w:t>
            </w:r>
          </w:p>
        </w:tc>
        <w:tc>
          <w:tcPr/>
          <w:p>
            <w:pPr>
              <w:pStyle w:val="Compact"/>
              <w:jc w:val="right"/>
            </w:pPr>
            <w:r>
              <w:t xml:space="preserve">0.323</w:t>
            </w:r>
          </w:p>
        </w:tc>
        <w:tc>
          <w:tcPr/>
          <w:p>
            <w:pPr>
              <w:pStyle w:val="Compact"/>
              <w:jc w:val="right"/>
            </w:pPr>
            <w:r>
              <w:t xml:space="preserve">2.5</w:t>
            </w:r>
          </w:p>
        </w:tc>
      </w:tr>
      <w:tr>
        <w:tc>
          <w:tcPr/>
          <w:p>
            <w:pPr>
              <w:pStyle w:val="Compact"/>
              <w:jc w:val="left"/>
            </w:pPr>
            <w:r>
              <w:t xml:space="preserve">P5 QRF</w:t>
            </w:r>
          </w:p>
        </w:tc>
        <w:tc>
          <w:tcPr/>
          <w:p>
            <w:pPr>
              <w:pStyle w:val="Compact"/>
              <w:jc w:val="right"/>
            </w:pPr>
            <w:r>
              <w:t xml:space="preserve">0.592</w:t>
            </w:r>
          </w:p>
        </w:tc>
        <w:tc>
          <w:tcPr/>
          <w:p>
            <w:pPr>
              <w:pStyle w:val="Compact"/>
              <w:jc w:val="right"/>
            </w:pPr>
            <w:r>
              <w:t xml:space="preserve">0.177</w:t>
            </w:r>
          </w:p>
        </w:tc>
        <w:tc>
          <w:tcPr/>
          <w:p>
            <w:pPr>
              <w:pStyle w:val="Compact"/>
              <w:jc w:val="right"/>
            </w:pPr>
            <w:r>
              <w:t xml:space="preserve">0.044</w:t>
            </w:r>
          </w:p>
        </w:tc>
        <w:tc>
          <w:tcPr/>
          <w:p>
            <w:pPr>
              <w:pStyle w:val="Compact"/>
              <w:jc w:val="right"/>
            </w:pPr>
            <w:r>
              <w:t xml:space="preserve">0.874</w:t>
            </w:r>
          </w:p>
        </w:tc>
        <w:tc>
          <w:tcPr/>
          <w:p>
            <w:pPr>
              <w:pStyle w:val="Compact"/>
              <w:jc w:val="right"/>
            </w:pPr>
            <w:r>
              <w:t xml:space="preserve">1.871</w:t>
            </w:r>
          </w:p>
        </w:tc>
        <w:tc>
          <w:tcPr/>
          <w:p>
            <w:pPr>
              <w:pStyle w:val="Compact"/>
              <w:jc w:val="right"/>
            </w:pPr>
            <w:r>
              <w:t xml:space="preserve">0.323</w:t>
            </w:r>
          </w:p>
        </w:tc>
        <w:tc>
          <w:tcPr/>
          <w:p>
            <w:pPr>
              <w:pStyle w:val="Compact"/>
              <w:jc w:val="right"/>
            </w:pPr>
            <w:r>
              <w:t xml:space="preserve">2.1</w:t>
            </w:r>
          </w:p>
        </w:tc>
      </w:tr>
      <w:tr>
        <w:tc>
          <w:tcPr/>
          <w:p>
            <w:pPr>
              <w:pStyle w:val="Compact"/>
              <w:jc w:val="left"/>
            </w:pPr>
            <w:r>
              <w:t xml:space="preserve">P7 BHS</w:t>
            </w:r>
          </w:p>
        </w:tc>
        <w:tc>
          <w:tcPr/>
          <w:p>
            <w:pPr>
              <w:pStyle w:val="Compact"/>
              <w:jc w:val="right"/>
            </w:pPr>
            <w:r>
              <w:t xml:space="preserve">0.603</w:t>
            </w:r>
          </w:p>
        </w:tc>
        <w:tc>
          <w:tcPr/>
          <w:p>
            <w:pPr>
              <w:pStyle w:val="Compact"/>
              <w:jc w:val="right"/>
            </w:pPr>
            <w:r>
              <w:t xml:space="preserve">0.151</w:t>
            </w:r>
          </w:p>
        </w:tc>
        <w:tc>
          <w:tcPr/>
          <w:p>
            <w:pPr>
              <w:pStyle w:val="Compact"/>
              <w:jc w:val="right"/>
            </w:pPr>
            <w:r>
              <w:t xml:space="preserve">0.020</w:t>
            </w:r>
          </w:p>
        </w:tc>
        <w:tc>
          <w:tcPr/>
          <w:p>
            <w:pPr>
              <w:pStyle w:val="Compact"/>
              <w:jc w:val="right"/>
            </w:pPr>
            <w:r>
              <w:t xml:space="preserve">0.919</w:t>
            </w:r>
          </w:p>
        </w:tc>
        <w:tc>
          <w:tcPr/>
          <w:p>
            <w:pPr>
              <w:pStyle w:val="Compact"/>
              <w:jc w:val="right"/>
            </w:pPr>
            <w:r>
              <w:t xml:space="preserve">2.161</w:t>
            </w:r>
          </w:p>
        </w:tc>
        <w:tc>
          <w:tcPr/>
          <w:p>
            <w:pPr>
              <w:pStyle w:val="Compact"/>
              <w:jc w:val="right"/>
            </w:pPr>
            <w:r>
              <w:t xml:space="preserve">0.339</w:t>
            </w:r>
          </w:p>
        </w:tc>
        <w:tc>
          <w:tcPr/>
          <w:p>
            <w:pPr>
              <w:pStyle w:val="Compact"/>
              <w:jc w:val="right"/>
            </w:pPr>
            <w:r>
              <w:t xml:space="preserve">77.5</w:t>
            </w:r>
          </w:p>
        </w:tc>
      </w:tr>
      <w:tr>
        <w:tc>
          <w:tcPr/>
          <w:p>
            <w:pPr>
              <w:pStyle w:val="Compact"/>
              <w:jc w:val="left"/>
            </w:pPr>
            <w:r>
              <w:t xml:space="preserve">P4 Foundation embeddings + QRF</w:t>
            </w:r>
          </w:p>
        </w:tc>
        <w:tc>
          <w:tcPr/>
          <w:p>
            <w:pPr>
              <w:pStyle w:val="Compact"/>
              <w:jc w:val="right"/>
            </w:pPr>
            <w:r>
              <w:t xml:space="preserve">0.616</w:t>
            </w:r>
          </w:p>
        </w:tc>
        <w:tc>
          <w:tcPr/>
          <w:p>
            <w:pPr>
              <w:pStyle w:val="Compact"/>
              <w:jc w:val="right"/>
            </w:pPr>
            <w:r>
              <w:t xml:space="preserve">0.118</w:t>
            </w:r>
          </w:p>
        </w:tc>
        <w:tc>
          <w:tcPr/>
          <w:p>
            <w:pPr>
              <w:pStyle w:val="Compact"/>
              <w:jc w:val="right"/>
            </w:pPr>
            <w:r>
              <w:t xml:space="preserve">-0.013</w:t>
            </w:r>
          </w:p>
        </w:tc>
        <w:tc>
          <w:tcPr/>
          <w:p>
            <w:pPr>
              <w:pStyle w:val="Compact"/>
              <w:jc w:val="right"/>
            </w:pPr>
            <w:r>
              <w:t xml:space="preserve">0.892</w:t>
            </w:r>
          </w:p>
        </w:tc>
        <w:tc>
          <w:tcPr/>
          <w:p>
            <w:pPr>
              <w:pStyle w:val="Compact"/>
              <w:jc w:val="right"/>
            </w:pPr>
            <w:r>
              <w:t xml:space="preserve">2.179</w:t>
            </w:r>
          </w:p>
        </w:tc>
        <w:tc>
          <w:tcPr/>
          <w:p>
            <w:pPr>
              <w:pStyle w:val="Compact"/>
              <w:jc w:val="right"/>
            </w:pPr>
            <w:r>
              <w:t xml:space="preserve">0.340</w:t>
            </w:r>
          </w:p>
        </w:tc>
        <w:tc>
          <w:tcPr/>
          <w:p>
            <w:pPr>
              <w:pStyle w:val="Compact"/>
              <w:jc w:val="right"/>
            </w:pPr>
            <w:r>
              <w:t xml:space="preserve">8.2</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-0.024</w:t>
            </w:r>
          </w:p>
        </w:tc>
        <w:tc>
          <w:tcPr/>
          <w:p>
            <w:pPr>
              <w:pStyle w:val="Compact"/>
              <w:jc w:val="right"/>
            </w:pPr>
            <w:r>
              <w:t xml:space="preserve">-0.185</w:t>
            </w:r>
          </w:p>
        </w:tc>
        <w:tc>
          <w:tcPr/>
          <w:p>
            <w:pPr>
              <w:pStyle w:val="Compact"/>
              <w:jc w:val="right"/>
            </w:pPr>
            <w:r>
              <w:t xml:space="preserve">0.471</w:t>
            </w:r>
          </w:p>
        </w:tc>
        <w:tc>
          <w:tcPr/>
          <w:p>
            <w:pPr>
              <w:pStyle w:val="Compact"/>
              <w:jc w:val="right"/>
            </w:pPr>
            <w:r>
              <w:t xml:space="preserve">0.858</w:t>
            </w:r>
          </w:p>
        </w:tc>
        <w:tc>
          <w:tcPr/>
          <w:p>
            <w:pPr>
              <w:pStyle w:val="Compact"/>
              <w:jc w:val="right"/>
            </w:pPr>
            <w:r>
              <w:t xml:space="preserve">0.417</w:t>
            </w:r>
          </w:p>
        </w:tc>
        <w:tc>
          <w:tcPr/>
          <w:p>
            <w:pPr>
              <w:pStyle w:val="Compact"/>
              <w:jc w:val="right"/>
            </w:pPr>
            <w:r>
              <w:t xml:space="preserve">770.6</w:t>
            </w:r>
          </w:p>
        </w:tc>
      </w:tr>
      <w:tr>
        <w:tc>
          <w:tcPr/>
          <w:p>
            <w:pPr>
              <w:pStyle w:val="Compact"/>
              <w:jc w:val="left"/>
            </w:pPr>
            <w:r>
              <w:t xml:space="preserve">P10 GAT (trained attention)</w:t>
            </w:r>
          </w:p>
        </w:tc>
        <w:tc>
          <w:tcPr/>
          <w:p>
            <w:pPr>
              <w:pStyle w:val="Compact"/>
              <w:jc w:val="right"/>
            </w:pPr>
            <w:r>
              <w:t xml:space="preserve">0.686</w:t>
            </w:r>
          </w:p>
        </w:tc>
        <w:tc>
          <w:tcPr/>
          <w:p>
            <w:pPr>
              <w:pStyle w:val="Compact"/>
              <w:jc w:val="right"/>
            </w:pPr>
            <w:r>
              <w:t xml:space="preserve">-0.149</w:t>
            </w:r>
          </w:p>
        </w:tc>
        <w:tc>
          <w:tcPr/>
          <w:p>
            <w:pPr>
              <w:pStyle w:val="Compact"/>
              <w:jc w:val="right"/>
            </w:pPr>
            <w:r>
              <w:t xml:space="preserve">-0.368</w:t>
            </w:r>
          </w:p>
        </w:tc>
        <w:tc>
          <w:tcPr/>
          <w:p>
            <w:pPr>
              <w:pStyle w:val="Compact"/>
              <w:jc w:val="right"/>
            </w:pPr>
            <w:r>
              <w:t xml:space="preserve">0.729</w:t>
            </w:r>
          </w:p>
        </w:tc>
        <w:tc>
          <w:tcPr/>
          <w:p>
            <w:pPr>
              <w:pStyle w:val="Compact"/>
              <w:jc w:val="right"/>
            </w:pPr>
            <w:r>
              <w:t xml:space="preserve">1.515</w:t>
            </w:r>
          </w:p>
        </w:tc>
        <w:tc>
          <w:tcPr/>
          <w:p>
            <w:pPr>
              <w:pStyle w:val="Compact"/>
              <w:jc w:val="right"/>
            </w:pPr>
            <w:r>
              <w:t xml:space="preserve">0.407</w:t>
            </w:r>
          </w:p>
        </w:tc>
        <w:tc>
          <w:tcPr/>
          <w:p>
            <w:pPr>
              <w:pStyle w:val="Compact"/>
              <w:jc w:val="right"/>
            </w:pPr>
            <w:r>
              <w:t xml:space="preserve">63.4</w:t>
            </w:r>
          </w:p>
        </w:tc>
      </w:tr>
    </w:tbl>
    <w:p>
      <w:pPr>
        <w:pStyle w:val="BodyText"/>
      </w:pPr>
      <w:r>
        <w:t xml:space="preserve">Ordinary least squares restricted to the covariates in the backdoor adjustment set has the lowest error (0.583) and the highest skill against both nulls (NSE 0.200), and its coverage (0.882) is close to nominal. The quantile random forest is a close second at a comparable cost. The three methods with the greatest representational capacity — foundation-model embeddings, the graph attention network, and the quantum kernel — rank last. 3 of them fall below the oracle null and 2 below the achievable one (P6 and P10): on spatially blocked folds those two explain less of the variation than predicting each training partition’s mean. The quantum kernel is simultaneously among the least accurate and, at 771 s against 2.5 s for the baseline, several hundred times the most expensive.</w:t>
      </w:r>
    </w:p>
    <w:p>
      <w:pPr>
        <w:pStyle w:val="BodyText"/>
      </w:pPr>
      <w:r>
        <w:t xml:space="preserve">The buffer earns its place in that ranking. Without it the graph attention network reaches RMSE 0.621 and sits fifth; with it, 0.686 and last. A network whose representation is a graph over spatial neighbours is precisely the method that gains most from training points immediately across a block boundary, and the unbuffered comparison flattered it by half a rank. None of the other five moved by more than 0.01.</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buffered folds.</w:t>
      </w:r>
      <w:r>
        <w:t xml:space="preserve"> </w:t>
      </w:r>
      <w:r>
        <w:t xml:space="preserve">(A) Predictive accuracy; bars are red where the method explains less than the achievable null of the training-fold mean. (B) Skill against that null, with the oracle null shown for contrast. (C) Calibration against sharpness: the shaded band is within four points of nominal 90% coverage, and the quantum kernel is both the sharpest and the least covered, an overconfidence invisible in panel A. (D) Wall-clock cost on a log scale; the least accurate method is also the most expensive.</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4, whose bundle is bound to the current code by the test suite.</w:t>
      </w:r>
    </w:p>
    <w:p>
      <w:pPr>
        <w:pStyle w:val="Heading2"/>
      </w:pPr>
      <w:r>
        <w:t xml:space="preserve">Backdoor adjustment yields robust associations, and exposes confounding</w:t>
      </w:r>
    </w:p>
    <w:p>
      <w:pPr>
        <w:pStyle w:val="FirstParagraph"/>
      </w:pPr>
      <w:r>
        <w:t xml:space="preserve">Table 5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5.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5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5,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two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p>
      <w:pPr>
        <w:pStyle w:val="Bibliography"/>
      </w:pPr>
      <w:r>
        <w:t xml:space="preserve">9.</w:t>
      </w:r>
      <w:r>
        <w:t xml:space="preserve"> </w:t>
      </w:r>
      <w:r>
        <w:t xml:space="preserve">	</w:t>
      </w:r>
      <w:r>
        <w:t xml:space="preserve">Minasny B, McBratney AB. Digital soil mapping: A brief history and some lessons learned. Geoderma. 2016;264: 301–311. doi:</w:t>
      </w:r>
      <w:hyperlink r:id="rId68">
        <w:r>
          <w:rPr>
            <w:rStyle w:val="Hyperlink"/>
          </w:rPr>
          <w:t xml:space="preserve">10.1016/j.geoderma.2015.07.017</w:t>
        </w:r>
      </w:hyperlink>
    </w:p>
    <w:p>
      <w:pPr>
        <w:pStyle w:val="Bibliography"/>
      </w:pPr>
      <w:r>
        <w:t xml:space="preserve">10.</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0">
        <w:r>
          <w:rPr>
            <w:rStyle w:val="Hyperlink"/>
          </w:rPr>
          <w:t xml:space="preserve">10.2136/sssaj1995.03615995005900050019x</w:t>
        </w:r>
      </w:hyperlink>
    </w:p>
    <w:p>
      <w:pPr>
        <w:pStyle w:val="Bibliography"/>
      </w:pPr>
      <w:r>
        <w:t xml:space="preserve">11.</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2">
        <w:r>
          <w:rPr>
            <w:rStyle w:val="Hyperlink"/>
          </w:rPr>
          <w:t xml:space="preserve">10.1016/j.ecolmodel.2011.02.015</w:t>
        </w:r>
      </w:hyperlink>
    </w:p>
    <w:p>
      <w:pPr>
        <w:pStyle w:val="Bibliography"/>
      </w:pPr>
      <w:r>
        <w:t xml:space="preserve">12.</w:t>
      </w:r>
      <w:r>
        <w:t xml:space="preserve"> </w:t>
      </w:r>
      <w:r>
        <w:t xml:space="preserve">	</w:t>
      </w:r>
      <w:r>
        <w:t xml:space="preserve">Gale MR, Grigal DF. Vertical root distributions of northern tree species in relation to successional status. Canadian Journal of Forest Research. 1987;17: 829–834. doi:</w:t>
      </w:r>
      <w:hyperlink r:id="rId74">
        <w:r>
          <w:rPr>
            <w:rStyle w:val="Hyperlink"/>
          </w:rPr>
          <w:t xml:space="preserve">10.1139/x87-131</w:t>
        </w:r>
      </w:hyperlink>
    </w:p>
    <w:p>
      <w:pPr>
        <w:pStyle w:val="Bibliography"/>
      </w:pPr>
      <w:r>
        <w:t xml:space="preserve">13.</w:t>
      </w:r>
      <w:r>
        <w:t xml:space="preserve"> </w:t>
      </w:r>
      <w:r>
        <w:t xml:space="preserve">	</w:t>
      </w:r>
      <w:r>
        <w:t xml:space="preserve">Jackson RB, Canadell J, Ehleringer JR, Mooney HA, Sala OE, Schulze ED. A global analysis of root distributions for terrestrial biomes. Oecologia. 1996;108: 389–411. doi:</w:t>
      </w:r>
      <w:hyperlink r:id="rId76">
        <w:r>
          <w:rPr>
            <w:rStyle w:val="Hyperlink"/>
          </w:rPr>
          <w:t xml:space="preserve">10.1007/BF00333714</w:t>
        </w:r>
      </w:hyperlink>
    </w:p>
    <w:p>
      <w:pPr>
        <w:pStyle w:val="Bibliography"/>
      </w:pPr>
      <w:r>
        <w:t xml:space="preserve">14.</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78">
        <w:r>
          <w:rPr>
            <w:rStyle w:val="Hyperlink"/>
          </w:rPr>
          <w:t xml:space="preserve">10.2136/sssaj1994.03615995005800050033x</w:t>
        </w:r>
      </w:hyperlink>
    </w:p>
    <w:p>
      <w:pPr>
        <w:pStyle w:val="Bibliography"/>
      </w:pPr>
      <w:r>
        <w:t xml:space="preserve">15.</w:t>
      </w:r>
      <w:r>
        <w:t xml:space="preserve"> </w:t>
      </w:r>
      <w:r>
        <w:t xml:space="preserve">	</w:t>
      </w:r>
      <w:r>
        <w:t xml:space="preserve">Hassink J. The capacity of soils to preserve organic c and n by their association with clay and silt particles. Plant and Soil. 1997;191: 77–87. doi:</w:t>
      </w:r>
      <w:hyperlink r:id="rId80">
        <w:r>
          <w:rPr>
            <w:rStyle w:val="Hyperlink"/>
          </w:rPr>
          <w:t xml:space="preserve">10.1023/A:1004213929699</w:t>
        </w:r>
      </w:hyperlink>
    </w:p>
    <w:p>
      <w:pPr>
        <w:pStyle w:val="Bibliography"/>
      </w:pPr>
      <w:r>
        <w:t xml:space="preserve">16.</w:t>
      </w:r>
      <w:r>
        <w:t xml:space="preserve"> </w:t>
      </w:r>
      <w:r>
        <w:t xml:space="preserve">	</w:t>
      </w:r>
      <w:r>
        <w:t xml:space="preserve">Jobbágy EG, Jackson RB. The vertical distribution of soil organic carbon and its relation to climate and vegetation. Ecological Applications. 2000;10: 423–436. doi:</w:t>
      </w:r>
      <w:hyperlink r:id="rId82">
        <w:r>
          <w:rPr>
            <w:rStyle w:val="Hyperlink"/>
          </w:rPr>
          <w:t xml:space="preserve">10.1890/1051-0761(2000)010[0423:TVDOSO]2.0.CO;2</w:t>
        </w:r>
      </w:hyperlink>
    </w:p>
    <w:p>
      <w:pPr>
        <w:pStyle w:val="Bibliography"/>
      </w:pPr>
      <w:r>
        <w:t xml:space="preserve">17.</w:t>
      </w:r>
      <w:r>
        <w:t xml:space="preserve"> </w:t>
      </w:r>
      <w:r>
        <w:t xml:space="preserve">	</w:t>
      </w:r>
      <w:r>
        <w:t xml:space="preserve">Roberts DR, Bahn V, Ciuti S, Boyce MS, Elith J, Guillera-Arroita G, et al. Cross-validation strategies for data with temporal, spatial, hierarchical, or phylogenetic structure. Ecography. 2017;40: 913–929. doi:</w:t>
      </w:r>
      <w:hyperlink r:id="rId84">
        <w:r>
          <w:rPr>
            <w:rStyle w:val="Hyperlink"/>
          </w:rPr>
          <w:t xml:space="preserve">10.1111/ecog.02881</w:t>
        </w:r>
      </w:hyperlink>
    </w:p>
    <w:p>
      <w:pPr>
        <w:pStyle w:val="Bibliography"/>
      </w:pPr>
      <w:r>
        <w:t xml:space="preserve">18.</w:t>
      </w:r>
      <w:r>
        <w:t xml:space="preserve"> </w:t>
      </w:r>
      <w:r>
        <w:t xml:space="preserve">	</w:t>
      </w:r>
      <w:r>
        <w:t xml:space="preserve">Cinelli C, Hazlett C. Making sense of sensitivity: Extending omitted variable bias. Journal of the Royal Statistical Society: Series B. 2020;82: 39–67. doi:</w:t>
      </w:r>
      <w:hyperlink r:id="rId86">
        <w:r>
          <w:rPr>
            <w:rStyle w:val="Hyperlink"/>
          </w:rPr>
          <w:t xml:space="preserve">10.1111/rssb.12348</w:t>
        </w:r>
      </w:hyperlink>
    </w:p>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0" Target="https://doi.org/10.1002/joc.5086" TargetMode="External" /><Relationship Type="http://schemas.openxmlformats.org/officeDocument/2006/relationships/hyperlink" Id="rId76"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2"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68" Target="https://doi.org/10.1016/j.geoderma.2015.07.017" TargetMode="External" /><Relationship Type="http://schemas.openxmlformats.org/officeDocument/2006/relationships/hyperlink" Id="rId80" Target="https://doi.org/10.1023/A:1004213929699" TargetMode="External" /><Relationship Type="http://schemas.openxmlformats.org/officeDocument/2006/relationships/hyperlink" Id="rId84"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86" Target="https://doi.org/10.1111/rssb.12348" TargetMode="External" /><Relationship Type="http://schemas.openxmlformats.org/officeDocument/2006/relationships/hyperlink" Id="rId74"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82" Target="https://doi.org/10.1890/1051-0761(2000)010[0423:TVDOSO]2.0.CO;2" TargetMode="External" /><Relationship Type="http://schemas.openxmlformats.org/officeDocument/2006/relationships/hyperlink" Id="rId78" Target="https://doi.org/10.2136/sssaj1994.03615995005800050033x" TargetMode="External" /><Relationship Type="http://schemas.openxmlformats.org/officeDocument/2006/relationships/hyperlink" Id="rId70"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joc.5086" TargetMode="External" /><Relationship Type="http://schemas.openxmlformats.org/officeDocument/2006/relationships/hyperlink" Id="rId76"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2"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68" Target="https://doi.org/10.1016/j.geoderma.2015.07.017" TargetMode="External" /><Relationship Type="http://schemas.openxmlformats.org/officeDocument/2006/relationships/hyperlink" Id="rId80" Target="https://doi.org/10.1023/A:1004213929699" TargetMode="External" /><Relationship Type="http://schemas.openxmlformats.org/officeDocument/2006/relationships/hyperlink" Id="rId84"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86" Target="https://doi.org/10.1111/rssb.12348" TargetMode="External" /><Relationship Type="http://schemas.openxmlformats.org/officeDocument/2006/relationships/hyperlink" Id="rId74"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82" Target="https://doi.org/10.1890/1051-0761(2000)010[0423:TVDOSO]2.0.CO;2" TargetMode="External" /><Relationship Type="http://schemas.openxmlformats.org/officeDocument/2006/relationships/hyperlink" Id="rId78" Target="https://doi.org/10.2136/sssaj1994.03615995005800050033x" TargetMode="External" /><Relationship Type="http://schemas.openxmlformats.org/officeDocument/2006/relationships/hyperlink" Id="rId70"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2026-08-05T17:13:11Z</dcterms:created>
  <dcterms:modified xsi:type="dcterms:W3CDTF">2026-08-05T17:13:11Z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