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0.74, and 0.72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t xml:space="preserve">That guard was itself weaker than the sentence above implies, and the correction belongs in the record. It caught an under-mixed chain, which is what it was written for, but it was blind to a chain that had not mixed</w:t>
      </w:r>
      <w:r>
        <w:t xml:space="preserve"> </w:t>
      </w:r>
      <w:r>
        <w:rPr>
          <w:b/>
          <w:bCs/>
        </w:rPr>
        <w:t xml:space="preserve">at all</w:t>
      </w:r>
      <w:r>
        <w:t xml:space="preserve">. When every draw is identical the split-</w:t>
      </w:r>
      <m:oMath>
        <m:acc>
          <m:accPr>
            <m:chr m:val="̂"/>
          </m:accPr>
          <m:e>
            <m:r>
              <m:t>R</m:t>
            </m:r>
          </m:e>
        </m:acc>
      </m:oMath>
      <w:r>
        <w:t xml:space="preserve"> </w:t>
      </w:r>
      <w:r>
        <w:t xml:space="preserve">is undefined, the diagnostic returned</w:t>
      </w:r>
      <w:r>
        <w:t xml:space="preserve"> </w:t>
      </w:r>
      <w:r>
        <w:rPr>
          <w:rStyle w:val="VerbatimChar"/>
        </w:rPr>
        <w:t xml:space="preserve">NA</w:t>
      </w:r>
      <w:r>
        <w:t xml:space="preserve"> </w:t>
      </w:r>
      <w:r>
        <w:t xml:space="preserve">for each parameter, and the reduction</w:t>
      </w:r>
      <w:r>
        <w:t xml:space="preserve"> </w:t>
      </w:r>
      <w:r>
        <w:rPr>
          <w:rStyle w:val="VerbatimChar"/>
        </w:rPr>
        <w:t xml:space="preserve">max(rhat, na.rm = TRUE)</w:t>
      </w:r>
      <w:r>
        <w:t xml:space="preserve"> </w:t>
      </w:r>
      <w:r>
        <w:t xml:space="preserve">over an all-</w:t>
      </w:r>
      <w:r>
        <w:rPr>
          <w:rStyle w:val="VerbatimChar"/>
        </w:rPr>
        <w:t xml:space="preserve">NA</w:t>
      </w:r>
      <w:r>
        <w:t xml:space="preserve"> </w:t>
      </w:r>
      <w:r>
        <w:t xml:space="preserve">vector returns</w:t>
      </w:r>
      <w:r>
        <w:t xml:space="preserve"> </w:t>
      </w:r>
      <m:oMath>
        <m:r>
          <m:rPr>
            <m:sty m:val="p"/>
          </m:rPr>
          <m:t>−</m:t>
        </m:r>
        <m:r>
          <m:rPr>
            <m:sty m:val="p"/>
          </m:rPr>
          <m:t>∞</m:t>
        </m:r>
      </m:oMath>
      <w:r>
        <w:t xml:space="preserve"> </w:t>
      </w:r>
      <w:r>
        <w:t xml:space="preserve">— the identity element of the maximum over an empty set, and a value that passes any upper threshold. On a sample of 60 profiles from this archive, a quarter of every positive convergence verdict the package issued was of that kind. No number in this paper rests on one: the pedon reported here has nine horizons, an acceptance rate of 0.12 and 6,706 distinct draws in 56,000, and the failure is confined to profiles with three or four horizons against four free parameters. But the diagnostic now encodes an uncomputable statistic as</w:t>
      </w:r>
      <w:r>
        <w:t xml:space="preserve"> </w:t>
      </w:r>
      <m:oMath>
        <m:acc>
          <m:accPr>
            <m:chr m:val="̂"/>
          </m:accPr>
          <m:e>
            <m:r>
              <m:t>R</m:t>
            </m:r>
          </m:e>
        </m:acc>
        <m:r>
          <m:rPr>
            <m:sty m:val="p"/>
          </m:rPr>
          <m:t>=</m:t>
        </m:r>
        <m:r>
          <m:rPr>
            <m:sty m:val="p"/>
          </m:rPr>
          <m:t>∞</m:t>
        </m:r>
      </m:oMath>
      <w:r>
        <w:t xml:space="preserve"> </w:t>
      </w:r>
      <w:r>
        <w:t xml:space="preserve">and ESS</w:t>
      </w:r>
      <w:r>
        <w:t xml:space="preserve"> </w:t>
      </w:r>
      <m:oMath>
        <m:r>
          <m:rPr>
            <m:sty m:val="p"/>
          </m:rPr>
          <m:t>=</m:t>
        </m:r>
        <m:r>
          <m:t>0</m:t>
        </m:r>
      </m:oMath>
      <w:r>
        <w:t xml:space="preserve"> </w:t>
      </w:r>
      <w:r>
        <w:t xml:space="preserve">rather than as</w:t>
      </w:r>
      <w:r>
        <w:t xml:space="preserve"> </w:t>
      </w:r>
      <w:r>
        <w:rPr>
          <w:rStyle w:val="VerbatimChar"/>
        </w:rPr>
        <w:t xml:space="preserve">NA</w:t>
      </w:r>
      <w:r>
        <w:t xml:space="preserve">, so that every reduction fails on it, and the acceptance rate is reported in its own right.</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Applying our own standard to our own pillar.</w:t>
      </w:r>
      <w:r>
        <w:t xml:space="preserve"> </w:t>
      </w:r>
      <w:r>
        <w:t xml:space="preserve">This paper argues that coverage belongs beside accuracy. Pillar 2 is the pillar it spends most of its pages on, and every number above it is an error statistic; nothing so far has said whether its interval covers. Scored where the point prediction is scored — the held-out deepest horizon, over profiles in the declared domain — on 150 profiles: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Subset</w:t>
            </w:r>
          </w:p>
        </w:tc>
        <w:tc>
          <w:tcPr/>
          <w:p>
            <w:pPr>
              <w:pStyle w:val="Compact"/>
              <w:jc w:val="right"/>
            </w:pPr>
            <w:r>
              <w:t xml:space="preserve">n</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Interval score</w:t>
            </w:r>
          </w:p>
        </w:tc>
      </w:tr>
      <w:tr>
        <w:tc>
          <w:tcPr/>
          <w:p>
            <w:pPr>
              <w:pStyle w:val="Compact"/>
              <w:jc w:val="left"/>
            </w:pPr>
            <w:r>
              <w:t xml:space="preserve">all fits</w:t>
            </w:r>
          </w:p>
        </w:tc>
        <w:tc>
          <w:tcPr/>
          <w:p>
            <w:pPr>
              <w:pStyle w:val="Compact"/>
              <w:jc w:val="right"/>
            </w:pPr>
            <w:r>
              <w:t xml:space="preserve">150</w:t>
            </w:r>
          </w:p>
        </w:tc>
        <w:tc>
          <w:tcPr/>
          <w:p>
            <w:pPr>
              <w:pStyle w:val="Compact"/>
              <w:jc w:val="right"/>
            </w:pPr>
            <w:r>
              <w:t xml:space="preserve">0.520</w:t>
            </w:r>
          </w:p>
        </w:tc>
        <w:tc>
          <w:tcPr/>
          <w:p>
            <w:pPr>
              <w:pStyle w:val="Compact"/>
              <w:jc w:val="right"/>
            </w:pPr>
            <w:r>
              <w:t xml:space="preserve">3.38</w:t>
            </w:r>
          </w:p>
        </w:tc>
        <w:tc>
          <w:tcPr/>
          <w:p>
            <w:pPr>
              <w:pStyle w:val="Compact"/>
              <w:jc w:val="right"/>
            </w:pPr>
            <w:r>
              <w:t xml:space="preserve">5.22</w:t>
            </w:r>
          </w:p>
        </w:tc>
      </w:tr>
      <w:tr>
        <w:tc>
          <w:tcPr/>
          <w:p>
            <w:pPr>
              <w:pStyle w:val="Compact"/>
              <w:jc w:val="left"/>
            </w:pPr>
            <w:r>
              <w:t xml:space="preserve">converged fits only</w:t>
            </w:r>
          </w:p>
        </w:tc>
        <w:tc>
          <w:tcPr/>
          <w:p>
            <w:pPr>
              <w:pStyle w:val="Compact"/>
              <w:jc w:val="right"/>
            </w:pPr>
            <w:r>
              <w:t xml:space="preserve">41</w:t>
            </w:r>
          </w:p>
        </w:tc>
        <w:tc>
          <w:tcPr/>
          <w:p>
            <w:pPr>
              <w:pStyle w:val="Compact"/>
              <w:jc w:val="right"/>
            </w:pPr>
            <w:r>
              <w:t xml:space="preserve">0.756</w:t>
            </w:r>
          </w:p>
        </w:tc>
        <w:tc>
          <w:tcPr/>
          <w:p>
            <w:pPr>
              <w:pStyle w:val="Compact"/>
              <w:jc w:val="right"/>
            </w:pPr>
            <w:r>
              <w:t xml:space="preserve">6.00</w:t>
            </w:r>
          </w:p>
        </w:tc>
        <w:tc>
          <w:tcPr/>
          <w:p>
            <w:pPr>
              <w:pStyle w:val="Compact"/>
              <w:jc w:val="right"/>
            </w:pPr>
            <w:r>
              <w:t xml:space="preserve">5.53</w:t>
            </w:r>
          </w:p>
        </w:tc>
      </w:tr>
    </w:tbl>
    <w:p>
      <w:pPr>
        <w:pStyle w:val="BodyText"/>
      </w:pPr>
      <w:r>
        <w:rPr>
          <w:b/>
          <w:bCs/>
        </w:rPr>
        <w:t xml:space="preserve">Table 7. Coverage of the Pillar-2 predictive interval.</w:t>
      </w:r>
      <w:r>
        <w:t xml:space="preserve"> </w:t>
      </w:r>
      <w:r>
        <w:t xml:space="preserve">Nominal 0.90. The interval is the predictive one for a future</w:t>
      </w:r>
      <w:r>
        <w:t xml:space="preserve"> </w:t>
      </w:r>
      <w:r>
        <w:rPr>
          <w:i/>
          <w:iCs/>
        </w:rPr>
        <w:t xml:space="preserve">observation</w:t>
      </w:r>
      <w:r>
        <w:t xml:space="preserve">, which is what a held-out laboratory value is. The interval score</w:t>
      </w:r>
      <w:r>
        <w:t xml:space="preserve"> </w:t>
      </w:r>
      <w:r>
        <w:t xml:space="preserve">[10]</w:t>
      </w:r>
      <w:r>
        <w:t xml:space="preserve"> </w:t>
      </w:r>
      <w:r>
        <w:t xml:space="preserve">is width plus a penalty per miss, so coverage cannot be bought with width alone; lower is better.</w:t>
      </w:r>
    </w:p>
    <w:p>
      <w:pPr>
        <w:pStyle w:val="BodyText"/>
      </w:pPr>
      <w:r>
        <w:t xml:space="preserve">It undercovers badly. A nominal 90% interval contains the held-out value 52% of the time, and restricting to the fits that genuinely converge — 27% of them — only lifts it to 76%. Widening is not the missing ingredient: the converged subset already has intervals 1.8 times wider and still misses a quarter of the time.</w:t>
      </w:r>
    </w:p>
    <w:p>
      <w:pPr>
        <w:pStyle w:val="BodyText"/>
      </w:pPr>
      <w:r>
        <w:t xml:space="preserve">The reason is a limitation of the interval rather than of the sampler, and it is worth stating precisely because it applies to every physics-informed model of this shape. What the posterior propagates is uncertainty in the</w:t>
      </w:r>
      <w:r>
        <w:t xml:space="preserve"> </w:t>
      </w:r>
      <w:r>
        <w:rPr>
          <w:i/>
          <w:iCs/>
        </w:rPr>
        <w:t xml:space="preserve">parameters</w:t>
      </w:r>
      <w:r>
        <w:t xml:space="preserve"> </w:t>
      </w:r>
      <w:r>
        <w:t xml:space="preserve">and in the observation noise, conditional on the equation being right. The held-out horizon is deeper than anything the fit saw, so the dominant error there is that the equation’s shape is wrong below the data — and a within-model interval cannot represent that. Coverage improves with depth (0.54 for horizons at 100–200 cm against 0.35 at 50–100 cm), which is consistent with that reading: a profile whose deepest horizon is already at 200 cm has been observed through most of its curvature.</w:t>
      </w:r>
    </w:p>
    <w:p>
      <w:pPr>
        <w:pStyle w:val="BodyText"/>
      </w:pPr>
      <w:r>
        <w:t xml:space="preserve">We report this as a failure of the pillar’s uncertainty, not as a caveat. A method that is more confident than it is correct is exactly what this paper’s benchmark section is built to expose, and the same standard has to survive being turned inward.</w:t>
      </w:r>
    </w:p>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8.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 What it replaces is a declared impossibility, which was the weaker position.</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11]</w:t>
      </w:r>
      <w:r>
        <w:t xml:space="preserve"> </w:t>
      </w:r>
      <w:r>
        <w:t xml:space="preserve">carrying a fourth shape parameter. The defensible steady-state balance for soil carbon is an advection–reaction–diffusion equation</w:t>
      </w:r>
      <w:r>
        <w:t xml:space="preserve"> </w:t>
      </w:r>
      <w:r>
        <w:t xml:space="preserve">[12,13]</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[14,15]</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[16]</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[17]</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[18]</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Six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and a stock validation at scale would need a pedotransfer function we have not built.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The predictive interval covers about half the time against a nominal 90%, so the pillar’s</w:t>
      </w:r>
      <w:r>
        <w:t xml:space="preserve"> </w:t>
      </w:r>
      <w:r>
        <w:rPr>
          <w:i/>
          <w:iCs/>
        </w:rPr>
        <w:t xml:space="preserve">uncertainty</w:t>
      </w:r>
      <w:r>
        <w:t xml:space="preserve"> </w:t>
      </w:r>
      <w:r>
        <w:t xml:space="preserve">should not be used as a decision input until the model error it omits is represented; and only 27% of these fits converge at the package’s default budget, with the failures concentrated in the three-to-four-horizon profiles that make up most of the archive, so the Bayesian path is not currently usable at archive scale.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9.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[19]</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[20]</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10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10.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2.2</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0.138</w:t>
            </w:r>
          </w:p>
        </w:tc>
        <w:tc>
          <w:tcPr/>
          <w:p>
            <w:pPr>
              <w:pStyle w:val="Compact"/>
              <w:jc w:val="right"/>
            </w:pPr>
            <w:r>
              <w:t xml:space="preserve">0.006</w:t>
            </w:r>
          </w:p>
        </w:tc>
        <w:tc>
          <w:tcPr/>
          <w:p>
            <w:pPr>
              <w:pStyle w:val="Compact"/>
              <w:jc w:val="right"/>
            </w:pPr>
            <w:r>
              <w:t xml:space="preserve">0.926</w:t>
            </w:r>
          </w:p>
        </w:tc>
        <w:tc>
          <w:tcPr/>
          <w:p>
            <w:pPr>
              <w:pStyle w:val="Compact"/>
              <w:jc w:val="right"/>
            </w:pPr>
            <w:r>
              <w:t xml:space="preserve">2.163</w:t>
            </w:r>
          </w:p>
        </w:tc>
        <w:tc>
          <w:tcPr/>
          <w:p>
            <w:pPr>
              <w:pStyle w:val="Compact"/>
              <w:jc w:val="right"/>
            </w:pPr>
            <w:r>
              <w:t xml:space="preserve">0.341</w:t>
            </w:r>
          </w:p>
        </w:tc>
        <w:tc>
          <w:tcPr/>
          <w:p>
            <w:pPr>
              <w:pStyle w:val="Compact"/>
              <w:jc w:val="right"/>
            </w:pPr>
            <w:r>
              <w:t xml:space="preserve">97.8</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94.2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728.3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191.7</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728 s against 2.5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11.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12.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10, whose bundle is bound to the current code by the test suite.</w:t>
      </w:r>
    </w:p>
    <w:p>
      <w:pPr>
        <w:pStyle w:val="Heading2"/>
      </w:pPr>
      <w:r>
        <w:t xml:space="preserve">Backdoor adjustment yields robust associations, and exposes confounding</w:t>
      </w:r>
    </w:p>
    <w:p>
      <w:pPr>
        <w:pStyle w:val="FirstParagraph"/>
      </w:pPr>
      <w:r>
        <w:t xml:space="preserve">Table 13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13.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13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13,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2"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Gneiting2007"/>
    <w:p>
      <w:pPr>
        <w:pStyle w:val="Bibliography"/>
      </w:pPr>
      <w:r>
        <w:t xml:space="preserve">10.</w:t>
      </w:r>
      <w:r>
        <w:t xml:space="preserve"> </w:t>
      </w:r>
      <w:r>
        <w:t xml:space="preserve">	</w:t>
      </w:r>
      <w:r>
        <w:t xml:space="preserve">Gneiting T, Raftery AE. Strictly proper scoring rules, prediction, and estimation. Journal of the American Statistical Association. 2007;102: 359–378. doi:</w:t>
      </w:r>
      <w:hyperlink r:id="rId70">
        <w:r>
          <w:rPr>
            <w:rStyle w:val="Hyperlink"/>
          </w:rPr>
          <w:t xml:space="preserve">10.1198/016214506000001437</w:t>
        </w:r>
      </w:hyperlink>
    </w:p>
    <w:bookmarkEnd w:id="71"/>
    <w:bookmarkStart w:id="73" w:name="ref-Minasny2016"/>
    <w:p>
      <w:pPr>
        <w:pStyle w:val="Bibliography"/>
      </w:pPr>
      <w:r>
        <w:t xml:space="preserve">11.</w:t>
      </w:r>
      <w:r>
        <w:t xml:space="preserve"> </w:t>
      </w:r>
      <w:r>
        <w:t xml:space="preserve">	</w:t>
      </w:r>
      <w:r>
        <w:t xml:space="preserve">Minasny B, McBratney AB. Digital soil mapping: A brief history and some lessons learned. Geoderma. 2016;264: 301–311. doi:</w:t>
      </w:r>
      <w:hyperlink r:id="rId72">
        <w:r>
          <w:rPr>
            <w:rStyle w:val="Hyperlink"/>
          </w:rPr>
          <w:t xml:space="preserve">10.1016/j.geoderma.2015.07.017</w:t>
        </w:r>
      </w:hyperlink>
    </w:p>
    <w:bookmarkEnd w:id="73"/>
    <w:bookmarkStart w:id="75" w:name="ref-Elzein1995"/>
    <w:p>
      <w:pPr>
        <w:pStyle w:val="Bibliography"/>
      </w:pPr>
      <w:r>
        <w:t xml:space="preserve">12.</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4">
        <w:r>
          <w:rPr>
            <w:rStyle w:val="Hyperlink"/>
          </w:rPr>
          <w:t xml:space="preserve">10.2136/sssaj1995.03615995005900050019x</w:t>
        </w:r>
      </w:hyperlink>
    </w:p>
    <w:bookmarkEnd w:id="75"/>
    <w:bookmarkStart w:id="77" w:name="ref-Braakhekke2011"/>
    <w:p>
      <w:pPr>
        <w:pStyle w:val="Bibliography"/>
      </w:pPr>
      <w:r>
        <w:t xml:space="preserve">13.</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6">
        <w:r>
          <w:rPr>
            <w:rStyle w:val="Hyperlink"/>
          </w:rPr>
          <w:t xml:space="preserve">10.1016/j.ecolmodel.2011.02.015</w:t>
        </w:r>
      </w:hyperlink>
    </w:p>
    <w:bookmarkEnd w:id="77"/>
    <w:bookmarkStart w:id="79" w:name="ref-Gale1987"/>
    <w:p>
      <w:pPr>
        <w:pStyle w:val="Bibliography"/>
      </w:pPr>
      <w:r>
        <w:t xml:space="preserve">14.</w:t>
      </w:r>
      <w:r>
        <w:t xml:space="preserve"> </w:t>
      </w:r>
      <w:r>
        <w:t xml:space="preserve">	</w:t>
      </w:r>
      <w:r>
        <w:t xml:space="preserve">Gale MR, Grigal DF. Vertical root distributions of northern tree species in relation to successional status. Canadian Journal of Forest Research. 1987;17: 829–834. doi:</w:t>
      </w:r>
      <w:hyperlink r:id="rId78">
        <w:r>
          <w:rPr>
            <w:rStyle w:val="Hyperlink"/>
          </w:rPr>
          <w:t xml:space="preserve">10.1139/x87-131</w:t>
        </w:r>
      </w:hyperlink>
    </w:p>
    <w:bookmarkEnd w:id="79"/>
    <w:bookmarkStart w:id="81" w:name="ref-Jackson1996"/>
    <w:p>
      <w:pPr>
        <w:pStyle w:val="Bibliography"/>
      </w:pPr>
      <w:r>
        <w:t xml:space="preserve">15.</w:t>
      </w:r>
      <w:r>
        <w:t xml:space="preserve"> </w:t>
      </w:r>
      <w:r>
        <w:t xml:space="preserve">	</w:t>
      </w:r>
      <w:r>
        <w:t xml:space="preserve">Jackson RB, Canadell J, Ehleringer JR, Mooney HA, Sala OE, Schulze ED. A global analysis of root distributions for terrestrial biomes. Oecologia. 1996;108: 389–411. doi:</w:t>
      </w:r>
      <w:hyperlink r:id="rId80">
        <w:r>
          <w:rPr>
            <w:rStyle w:val="Hyperlink"/>
          </w:rPr>
          <w:t xml:space="preserve">10.1007/BF00333714</w:t>
        </w:r>
      </w:hyperlink>
    </w:p>
    <w:bookmarkEnd w:id="81"/>
    <w:bookmarkStart w:id="83" w:name="ref-Cambardella1994"/>
    <w:p>
      <w:pPr>
        <w:pStyle w:val="Bibliography"/>
      </w:pPr>
      <w:r>
        <w:t xml:space="preserve">16.</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2">
        <w:r>
          <w:rPr>
            <w:rStyle w:val="Hyperlink"/>
          </w:rPr>
          <w:t xml:space="preserve">10.2136/sssaj1994.03615995005800050033x</w:t>
        </w:r>
      </w:hyperlink>
    </w:p>
    <w:bookmarkEnd w:id="83"/>
    <w:bookmarkStart w:id="85" w:name="ref-Hassink1997"/>
    <w:p>
      <w:pPr>
        <w:pStyle w:val="Bibliography"/>
      </w:pPr>
      <w:r>
        <w:t xml:space="preserve">17.</w:t>
      </w:r>
      <w:r>
        <w:t xml:space="preserve"> </w:t>
      </w:r>
      <w:r>
        <w:t xml:space="preserve">	</w:t>
      </w:r>
      <w:r>
        <w:t xml:space="preserve">Hassink J. The capacity of soils to preserve organic c and n by their association with clay and silt particles. Plant and Soil. 1997;191: 77–87. doi:</w:t>
      </w:r>
      <w:hyperlink r:id="rId84">
        <w:r>
          <w:rPr>
            <w:rStyle w:val="Hyperlink"/>
          </w:rPr>
          <w:t xml:space="preserve">10.1023/A:1004213929699</w:t>
        </w:r>
      </w:hyperlink>
    </w:p>
    <w:bookmarkEnd w:id="85"/>
    <w:bookmarkStart w:id="87" w:name="ref-Jobbagy2000"/>
    <w:p>
      <w:pPr>
        <w:pStyle w:val="Bibliography"/>
      </w:pPr>
      <w:r>
        <w:t xml:space="preserve">18.</w:t>
      </w:r>
      <w:r>
        <w:t xml:space="preserve"> </w:t>
      </w:r>
      <w:r>
        <w:t xml:space="preserve">	</w:t>
      </w:r>
      <w:r>
        <w:t xml:space="preserve">Jobbágy EG, Jackson RB. The vertical distribution of soil organic carbon and its relation to climate and vegetation. Ecological Applications. 2000;10: 423–436. doi:</w:t>
      </w:r>
      <w:hyperlink r:id="rId86">
        <w:r>
          <w:rPr>
            <w:rStyle w:val="Hyperlink"/>
          </w:rPr>
          <w:t xml:space="preserve">10.1890/1051-0761(2000)010[0423:TVDOSO]2.0.CO;2</w:t>
        </w:r>
      </w:hyperlink>
    </w:p>
    <w:bookmarkEnd w:id="87"/>
    <w:bookmarkStart w:id="89" w:name="ref-Roberts2017"/>
    <w:p>
      <w:pPr>
        <w:pStyle w:val="Bibliography"/>
      </w:pPr>
      <w:r>
        <w:t xml:space="preserve">19.</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8">
        <w:r>
          <w:rPr>
            <w:rStyle w:val="Hyperlink"/>
          </w:rPr>
          <w:t xml:space="preserve">10.1111/ecog.02881</w:t>
        </w:r>
      </w:hyperlink>
    </w:p>
    <w:bookmarkEnd w:id="89"/>
    <w:bookmarkStart w:id="91" w:name="ref-CinelliHazlett2020"/>
    <w:p>
      <w:pPr>
        <w:pStyle w:val="Bibliography"/>
      </w:pPr>
      <w:r>
        <w:t xml:space="preserve">20.</w:t>
      </w:r>
      <w:r>
        <w:t xml:space="preserve"> </w:t>
      </w:r>
      <w:r>
        <w:t xml:space="preserve">	</w:t>
      </w:r>
      <w:r>
        <w:t xml:space="preserve">Cinelli C, Hazlett C. Making sense of sensitivity: Extending omitted variable bias. Journal of the Royal Statistical Society: Series B. 2020;82: 39–67. doi:</w:t>
      </w:r>
      <w:hyperlink r:id="rId90">
        <w:r>
          <w:rPr>
            <w:rStyle w:val="Hyperlink"/>
          </w:rPr>
          <w:t xml:space="preserve">10.1111/rssb.12348</w:t>
        </w:r>
      </w:hyperlink>
    </w:p>
    <w:bookmarkEnd w:id="91"/>
    <w:bookmarkEnd w:id="92"/>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2026-08-11T10:00:35Z</dcterms:created>
  <dcterms:modified xsi:type="dcterms:W3CDTF">2026-08-11T10:00:35Z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