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only where it applies, and saying where that is changes the conclusion entirely: over 1,105 real multi-horizon profiles the pedogenetic equation dy/dz = −λ₀e^(−μz)(y − y∞) predicts a held-out deepest horizon no better than copying the nearest measured one (RMSE 14.15 against 14.05 g/kg), but the equation is monotone by construction and 20.8% of those profiles are not, and inside its declared domain the same comparison gives 1.65 against 1.99 g/kg and it beats every baseline tested. We also show that the equation’s own solution does not converge to y∞ — the attainable deep value is y∞ + (y₀ − y∞)e^(−λ₀/μ), which the data identify at 4.28 [2.85, 6.25] g/kg while y∞ itself is unidentified and reaches into negative carbon — and that an alternative derived from a steady-state carbon balance, in which the depth-dependence sits in the asymptote rather than in the rate, is both mechanistically defensible and more accurate (RMSE 1.51).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Third, backdoor adjustment yields robust associations with explicit sensitivity bounds rather than identified causal effects, and adjustment collapses an apparent tree-cover association to near zero, demonstrating confounding directly.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Two further specification choices follow from having real horizons.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And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0.02585   mu = 0.009308</w:t>
      </w:r>
      <w:r>
        <w:br/>
      </w:r>
      <w:r>
        <w:rPr>
          <w:rStyle w:val="CommentTok"/>
        </w:rPr>
        <w:t xml:space="preserve">#&gt;   y0      = 31.77     y(Inf) = 4.325      (kappa = 2.78)</w:t>
      </w:r>
      <w:r>
        <w:br/>
      </w:r>
      <w:r>
        <w:rPr>
          <w:rStyle w:val="CommentTok"/>
        </w:rPr>
        <w:t xml:space="preserve">#&gt;   y_inf   = 2.504     (ODE coordinate, not the attained value)</w:t>
      </w:r>
      <w:r>
        <w:br/>
      </w:r>
      <w:r>
        <w:rPr>
          <w:rStyle w:val="CommentTok"/>
        </w:rPr>
        <w:t xml:space="preserve">#&gt;   n obs   = 9 (layer)         rmse = 1.342</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Laplace approximation over a real nine-horizon WoSIS profile reaching 550 cm, fitted through the horizon-average operator. Intervals are 2.5% and 97.5% posterior quantiles. The first four rows are the equation’s symbols, the next two the coordinates the model is estimated in, and the last the sampled observation noise.</w:t>
      </w:r>
    </w:p>
    <w:tbl>
      <w:tblPr>
        <w:tblStyle w:val="Table"/>
        <w:tblW w:type="pct" w:w="5000"/>
        <w:tblLayout w:type="fixed"/>
        <w:tblLook w:firstRow="1" w:lastRow="0" w:firstColumn="0" w:lastColumn="0" w:noHBand="0" w:noVBand="0" w:val="0020"/>
      </w:tblPr>
      <w:tblGrid>
        <w:gridCol w:w="733"/>
        <w:gridCol w:w="4986"/>
        <w:gridCol w:w="586"/>
        <w:gridCol w:w="513"/>
        <w:gridCol w:w="586"/>
        <w:gridCol w:w="513"/>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0.0260</w:t>
            </w:r>
          </w:p>
        </w:tc>
        <w:tc>
          <w:tcPr/>
          <w:p>
            <w:pPr>
              <w:pStyle w:val="Compact"/>
              <w:jc w:val="right"/>
            </w:pPr>
            <w:r>
              <w:t xml:space="preserve">0.0058</w:t>
            </w:r>
          </w:p>
        </w:tc>
        <w:tc>
          <w:tcPr/>
          <w:p>
            <w:pPr>
              <w:pStyle w:val="Compact"/>
              <w:jc w:val="right"/>
            </w:pPr>
            <w:r>
              <w:t xml:space="preserve">0.016</w:t>
            </w:r>
          </w:p>
        </w:tc>
        <w:tc>
          <w:tcPr/>
          <w:p>
            <w:pPr>
              <w:pStyle w:val="Compact"/>
              <w:jc w:val="right"/>
            </w:pPr>
            <w:r>
              <w:t xml:space="preserve">0.039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0.0098</w:t>
            </w:r>
          </w:p>
        </w:tc>
        <w:tc>
          <w:tcPr/>
          <w:p>
            <w:pPr>
              <w:pStyle w:val="Compact"/>
              <w:jc w:val="right"/>
            </w:pPr>
            <w:r>
              <w:t xml:space="preserve">0.0053</w:t>
            </w:r>
          </w:p>
        </w:tc>
        <w:tc>
          <w:tcPr/>
          <w:p>
            <w:pPr>
              <w:pStyle w:val="Compact"/>
              <w:jc w:val="right"/>
            </w:pPr>
            <w:r>
              <w:t xml:space="preserve">0.003</w:t>
            </w:r>
          </w:p>
        </w:tc>
        <w:tc>
          <w:tcPr/>
          <w:p>
            <w:pPr>
              <w:pStyle w:val="Compact"/>
              <w:jc w:val="right"/>
            </w:pPr>
            <w:r>
              <w:t xml:space="preserve">0.023</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1.2650</w:t>
            </w:r>
          </w:p>
        </w:tc>
        <w:tc>
          <w:tcPr/>
          <w:p>
            <w:pPr>
              <w:pStyle w:val="Compact"/>
              <w:jc w:val="right"/>
            </w:pPr>
            <w:r>
              <w:t xml:space="preserve">4.0921</w:t>
            </w:r>
          </w:p>
        </w:tc>
        <w:tc>
          <w:tcPr/>
          <w:p>
            <w:pPr>
              <w:pStyle w:val="Compact"/>
              <w:jc w:val="right"/>
            </w:pPr>
            <w:r>
              <w:t xml:space="preserve">-10.620</w:t>
            </w:r>
          </w:p>
        </w:tc>
        <w:tc>
          <w:tcPr/>
          <w:p>
            <w:pPr>
              <w:pStyle w:val="Compact"/>
              <w:jc w:val="right"/>
            </w:pPr>
            <w:r>
              <w:t xml:space="preserve">5.462</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31.7014</w:t>
            </w:r>
          </w:p>
        </w:tc>
        <w:tc>
          <w:tcPr/>
          <w:p>
            <w:pPr>
              <w:pStyle w:val="Compact"/>
              <w:jc w:val="right"/>
            </w:pPr>
            <w:r>
              <w:t xml:space="preserve">2.1742</w:t>
            </w:r>
          </w:p>
        </w:tc>
        <w:tc>
          <w:tcPr/>
          <w:p>
            <w:pPr>
              <w:pStyle w:val="Compact"/>
              <w:jc w:val="right"/>
            </w:pPr>
            <w:r>
              <w:t xml:space="preserve">27.519</w:t>
            </w:r>
          </w:p>
        </w:tc>
        <w:tc>
          <w:tcPr/>
          <w:p>
            <w:pPr>
              <w:pStyle w:val="Compact"/>
              <w:jc w:val="right"/>
            </w:pPr>
            <w:r>
              <w:t xml:space="preserve">36.016</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3.4583</w:t>
            </w:r>
          </w:p>
        </w:tc>
        <w:tc>
          <w:tcPr/>
          <w:p>
            <w:pPr>
              <w:pStyle w:val="Compact"/>
              <w:jc w:val="right"/>
            </w:pPr>
            <w:r>
              <w:t xml:space="preserve">2.0729</w:t>
            </w:r>
          </w:p>
        </w:tc>
        <w:tc>
          <w:tcPr/>
          <w:p>
            <w:pPr>
              <w:pStyle w:val="Compact"/>
              <w:jc w:val="right"/>
            </w:pPr>
            <w:r>
              <w:t xml:space="preserve">1.064</w:t>
            </w:r>
          </w:p>
        </w:tc>
        <w:tc>
          <w:tcPr/>
          <w:p>
            <w:pPr>
              <w:pStyle w:val="Compact"/>
              <w:jc w:val="right"/>
            </w:pPr>
            <w:r>
              <w:t xml:space="preserve">8.993</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4.2828</w:t>
            </w:r>
          </w:p>
        </w:tc>
        <w:tc>
          <w:tcPr/>
          <w:p>
            <w:pPr>
              <w:pStyle w:val="Compact"/>
              <w:jc w:val="right"/>
            </w:pPr>
            <w:r>
              <w:t xml:space="preserve">0.8858</w:t>
            </w:r>
          </w:p>
        </w:tc>
        <w:tc>
          <w:tcPr/>
          <w:p>
            <w:pPr>
              <w:pStyle w:val="Compact"/>
              <w:jc w:val="right"/>
            </w:pPr>
            <w:r>
              <w:t xml:space="preserve">2.854</w:t>
            </w:r>
          </w:p>
        </w:tc>
        <w:tc>
          <w:tcPr/>
          <w:p>
            <w:pPr>
              <w:pStyle w:val="Compact"/>
              <w:jc w:val="right"/>
            </w:pPr>
            <w:r>
              <w:t xml:space="preserve">6.255</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1.4604</w:t>
            </w:r>
          </w:p>
        </w:tc>
        <w:tc>
          <w:tcPr/>
          <w:p>
            <w:pPr>
              <w:pStyle w:val="Compact"/>
              <w:jc w:val="right"/>
            </w:pPr>
            <w:r>
              <w:t xml:space="preserve">0.3673</w:t>
            </w:r>
          </w:p>
        </w:tc>
        <w:tc>
          <w:tcPr/>
          <w:p>
            <w:pPr>
              <w:pStyle w:val="Compact"/>
              <w:jc w:val="right"/>
            </w:pPr>
            <w:r>
              <w:t xml:space="preserve">0.860</w:t>
            </w:r>
          </w:p>
        </w:tc>
        <w:tc>
          <w:tcPr/>
          <w:p>
            <w:pPr>
              <w:pStyle w:val="Compact"/>
              <w:jc w:val="right"/>
            </w:pPr>
            <w:r>
              <w:t xml:space="preserve">2.299</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31.7 g/kg with an interval 8.5 g/kg wide, and the attainable deep value is identified and admissible at 4.28 g/kg, interval [2.85, 6.25]. The coordinate</w:t>
      </w:r>
      <w:r>
        <w:t xml:space="preserve"> </w:t>
      </w:r>
      <m:oMath>
        <m:sSub>
          <m:e>
            <m:r>
              <m:t>y</m:t>
            </m:r>
          </m:e>
          <m:sub>
            <m:r>
              <m:rPr>
                <m:sty m:val="p"/>
              </m:rPr>
              <m:t>∞</m:t>
            </m:r>
          </m:sub>
        </m:sSub>
      </m:oMath>
      <w:r>
        <w:t xml:space="preserve"> </w:t>
      </w:r>
      <w:r>
        <w:t xml:space="preserve">is not identified: its interval, [−10.6, 5.5], is four times wider and reaches into negative carbon. Nine horizons to 550 cm do constrain where the profile is heading; what they cannot do is locate a coordinate the profile never visits.</w:t>
      </w:r>
    </w:p>
    <w:p>
      <w:pPr>
        <w:pStyle w:val="BodyText"/>
      </w:pPr>
      <w:r>
        <w:rPr>
          <w:b/>
          <w:bCs/>
        </w:rPr>
        <w:t xml:space="preserve">Does the mechanism buy anything?</w:t>
      </w:r>
      <w:r>
        <w:t xml:space="preserve"> </w:t>
      </w:r>
      <w:r>
        <w:t xml:space="preserve">This is the question a depth model must answer, and the answer depends entirely on a scope statement that the pillar previously did not make.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Over all 1,105 profiles the mechanism buys nothing. On extrapolation the ODE reaches RMSE 14.15 g/kg against 14.05 for copying the nearest measured horizon and 14.05 for the random forest. A reviewer running this comparison would conclude the model is worse than no model, and on that evidence they would be right.</w:t>
      </w:r>
    </w:p>
    <w:p>
      <w:pPr>
        <w:pStyle w:val="BodyText"/>
      </w:pPr>
      <w:r>
        <w:t xml:space="preserve">But</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 and 20.8% of these profiles are not monotone. Restricted to the 875 profiles inside that declared domain, the picture reverses completely (Table 3).</w:t>
      </w:r>
    </w:p>
    <w:p>
      <w:pPr>
        <w:pStyle w:val="BodyText"/>
      </w:pPr>
      <w:r>
        <w:rPr>
          <w:b/>
          <w:bCs/>
        </w:rPr>
        <w:t xml:space="preserve">Table 3. Leave-the-deepest-horizon-out prediction on 875 monotone WoSIS profiles.</w:t>
      </w:r>
      <w:r>
        <w:t xml:space="preserve"> </w:t>
      </w:r>
      <w:r>
        <w:t xml:space="preserve">The model’s declared validity domain. Over all 1,105 profiles, including the 230 the model cannot represent, every method sits near RMSE 14 g/kg and the mechanism is indistinguishable from copying the nearest horizon.</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1.511</w:t>
            </w:r>
          </w:p>
        </w:tc>
        <w:tc>
          <w:tcPr/>
          <w:p>
            <w:pPr>
              <w:pStyle w:val="Compact"/>
              <w:jc w:val="right"/>
            </w:pPr>
            <w:r>
              <w:t xml:space="preserve">0.983</w:t>
            </w:r>
          </w:p>
        </w:tc>
        <w:tc>
          <w:tcPr/>
          <w:p>
            <w:pPr>
              <w:pStyle w:val="Compact"/>
              <w:jc w:val="right"/>
            </w:pPr>
            <w:r>
              <w:t xml:space="preserve">0.638</w:t>
            </w:r>
          </w:p>
        </w:tc>
        <w:tc>
          <w:tcPr/>
          <w:p>
            <w:pPr>
              <w:pStyle w:val="Compact"/>
              <w:jc w:val="right"/>
            </w:pPr>
            <w:r>
              <w:t xml:space="preserve">0.803</w:t>
            </w:r>
          </w:p>
        </w:tc>
      </w:tr>
      <w:tr>
        <w:tc>
          <w:tcPr/>
          <w:p>
            <w:pPr>
              <w:pStyle w:val="Compact"/>
              <w:jc w:val="left"/>
            </w:pPr>
            <w:r>
              <w:t xml:space="preserve">edaphos ODE, attenuating rate (4 par)</w:t>
            </w:r>
          </w:p>
        </w:tc>
        <w:tc>
          <w:tcPr/>
          <w:p>
            <w:pPr>
              <w:pStyle w:val="Compact"/>
              <w:jc w:val="right"/>
            </w:pPr>
            <w:r>
              <w:t xml:space="preserve">1.653</w:t>
            </w:r>
          </w:p>
        </w:tc>
        <w:tc>
          <w:tcPr/>
          <w:p>
            <w:pPr>
              <w:pStyle w:val="Compact"/>
              <w:jc w:val="right"/>
            </w:pPr>
            <w:r>
              <w:t xml:space="preserve">1.161</w:t>
            </w:r>
          </w:p>
        </w:tc>
        <w:tc>
          <w:tcPr/>
          <w:p>
            <w:pPr>
              <w:pStyle w:val="Compact"/>
              <w:jc w:val="right"/>
            </w:pPr>
            <w:r>
              <w:t xml:space="preserve">0.782</w:t>
            </w:r>
          </w:p>
        </w:tc>
        <w:tc>
          <w:tcPr/>
          <w:p>
            <w:pPr>
              <w:pStyle w:val="Compact"/>
              <w:jc w:val="right"/>
            </w:pPr>
            <w:r>
              <w:t xml:space="preserve">0.771</w:t>
            </w:r>
          </w:p>
        </w:tc>
      </w:tr>
      <w:tr>
        <w:tc>
          <w:tcPr/>
          <w:p>
            <w:pPr>
              <w:pStyle w:val="Compact"/>
              <w:jc w:val="left"/>
            </w:pPr>
            <w:r>
              <w:t xml:space="preserve">nested exponential (3 par)</w:t>
            </w:r>
          </w:p>
        </w:tc>
        <w:tc>
          <w:tcPr/>
          <w:p>
            <w:pPr>
              <w:pStyle w:val="Compact"/>
              <w:jc w:val="right"/>
            </w:pPr>
            <w:r>
              <w:t xml:space="preserve">1.826</w:t>
            </w:r>
          </w:p>
        </w:tc>
        <w:tc>
          <w:tcPr/>
          <w:p>
            <w:pPr>
              <w:pStyle w:val="Compact"/>
              <w:jc w:val="right"/>
            </w:pPr>
            <w:r>
              <w:t xml:space="preserve">1.307</w:t>
            </w:r>
          </w:p>
        </w:tc>
        <w:tc>
          <w:tcPr/>
          <w:p>
            <w:pPr>
              <w:pStyle w:val="Compact"/>
              <w:jc w:val="right"/>
            </w:pPr>
            <w:r>
              <w:t xml:space="preserve">0.990</w:t>
            </w:r>
          </w:p>
        </w:tc>
        <w:tc>
          <w:tcPr/>
          <w:p>
            <w:pPr>
              <w:pStyle w:val="Compact"/>
              <w:jc w:val="right"/>
            </w:pPr>
            <w:r>
              <w:t xml:space="preserve">0.741</w:t>
            </w:r>
          </w:p>
        </w:tc>
      </w:tr>
      <w:tr>
        <w:tc>
          <w:tcPr/>
          <w:p>
            <w:pPr>
              <w:pStyle w:val="Compact"/>
              <w:jc w:val="left"/>
            </w:pPr>
            <w:r>
              <w:t xml:space="preserve">copy nearest training horizon</w:t>
            </w:r>
          </w:p>
        </w:tc>
        <w:tc>
          <w:tcPr/>
          <w:p>
            <w:pPr>
              <w:pStyle w:val="Compact"/>
              <w:jc w:val="right"/>
            </w:pPr>
            <w:r>
              <w:t xml:space="preserve">1.987</w:t>
            </w:r>
          </w:p>
        </w:tc>
        <w:tc>
          <w:tcPr/>
          <w:p>
            <w:pPr>
              <w:pStyle w:val="Compact"/>
              <w:jc w:val="right"/>
            </w:pPr>
            <w:r>
              <w:t xml:space="preserve">1.308</w:t>
            </w:r>
          </w:p>
        </w:tc>
        <w:tc>
          <w:tcPr/>
          <w:p>
            <w:pPr>
              <w:pStyle w:val="Compact"/>
              <w:jc w:val="right"/>
            </w:pPr>
            <w:r>
              <w:t xml:space="preserve">1.308</w:t>
            </w:r>
          </w:p>
        </w:tc>
        <w:tc>
          <w:tcPr/>
          <w:p>
            <w:pPr>
              <w:pStyle w:val="Compact"/>
              <w:jc w:val="right"/>
            </w:pPr>
            <w:r>
              <w:t xml:space="preserve">0.725</w:t>
            </w:r>
          </w:p>
        </w:tc>
      </w:tr>
      <w:tr>
        <w:tc>
          <w:tcPr/>
          <w:p>
            <w:pPr>
              <w:pStyle w:val="Compact"/>
              <w:jc w:val="left"/>
            </w:pPr>
            <w:r>
              <w:t xml:space="preserve">RF, depth as covariate (pooled)</w:t>
            </w:r>
          </w:p>
        </w:tc>
        <w:tc>
          <w:tcPr/>
          <w:p>
            <w:pPr>
              <w:pStyle w:val="Compact"/>
              <w:jc w:val="right"/>
            </w:pPr>
            <w:r>
              <w:t xml:space="preserve">2.391</w:t>
            </w:r>
          </w:p>
        </w:tc>
        <w:tc>
          <w:tcPr/>
          <w:p>
            <w:pPr>
              <w:pStyle w:val="Compact"/>
              <w:jc w:val="right"/>
            </w:pPr>
            <w:r>
              <w:t xml:space="preserve">1.915</w:t>
            </w:r>
          </w:p>
        </w:tc>
        <w:tc>
          <w:tcPr/>
          <w:p>
            <w:pPr>
              <w:pStyle w:val="Compact"/>
              <w:jc w:val="right"/>
            </w:pPr>
            <w:r>
              <w:t xml:space="preserve">1.208</w:t>
            </w:r>
          </w:p>
        </w:tc>
        <w:tc>
          <w:tcPr/>
          <w:p>
            <w:pPr>
              <w:pStyle w:val="Compact"/>
              <w:jc w:val="right"/>
            </w:pPr>
            <w:r>
              <w:t xml:space="preserve">0.223</w:t>
            </w:r>
          </w:p>
        </w:tc>
      </w:tr>
      <w:tr>
        <w:tc>
          <w:tcPr/>
          <w:p>
            <w:pPr>
              <w:pStyle w:val="Compact"/>
              <w:jc w:val="left"/>
            </w:pPr>
            <w:r>
              <w:t xml:space="preserve">profile mean</w:t>
            </w:r>
          </w:p>
        </w:tc>
        <w:tc>
          <w:tcPr/>
          <w:p>
            <w:pPr>
              <w:pStyle w:val="Compact"/>
              <w:jc w:val="right"/>
            </w:pPr>
            <w:r>
              <w:t xml:space="preserve">9.636</w:t>
            </w:r>
          </w:p>
        </w:tc>
        <w:tc>
          <w:tcPr/>
          <w:p>
            <w:pPr>
              <w:pStyle w:val="Compact"/>
              <w:jc w:val="right"/>
            </w:pPr>
            <w:r>
              <w:t xml:space="preserve">7.551</w:t>
            </w:r>
          </w:p>
        </w:tc>
        <w:tc>
          <w:tcPr/>
          <w:p>
            <w:pPr>
              <w:pStyle w:val="Compact"/>
              <w:jc w:val="right"/>
            </w:pPr>
            <w:r>
              <w:t xml:space="preserve">7.551</w:t>
            </w:r>
          </w:p>
        </w:tc>
        <w:tc>
          <w:tcPr/>
          <w:p>
            <w:pPr>
              <w:pStyle w:val="Compact"/>
              <w:jc w:val="right"/>
            </w:pPr>
            <w:r>
              <w:t xml:space="preserve">0.153</w:t>
            </w:r>
          </w:p>
        </w:tc>
      </w:tr>
    </w:tbl>
    <w:p>
      <w:pPr>
        <w:pStyle w:val="BodyText"/>
      </w:pPr>
      <w:r>
        <w:t xml:space="preserve">Inside its domain the ODE beats copying the nearest horizon on 492 of 875 profiles (paired Wilcoxon</w:t>
      </w:r>
      <w:r>
        <w:t xml:space="preserve"> </w:t>
      </w:r>
      <m:oMath>
        <m:r>
          <m:t>p</m:t>
        </m:r>
        <m:r>
          <m:rPr>
            <m:sty m:val="p"/>
          </m:rPr>
          <m:t>=</m:t>
        </m:r>
        <m:r>
          <m:t>1</m:t>
        </m:r>
        <m:r>
          <m:rPr>
            <m:sty m:val="p"/>
          </m:rPr>
          <m:t>×</m:t>
        </m:r>
        <m:sSup>
          <m:e>
            <m:r>
              <m:t>10</m:t>
            </m:r>
          </m:e>
          <m:sup>
            <m:r>
              <m:rPr>
                <m:sty m:val="p"/>
              </m:rPr>
              <m:t>−</m:t>
            </m:r>
            <m:r>
              <m:t>4</m:t>
            </m:r>
          </m:sup>
        </m:sSup>
      </m:oMath>
      <w:r>
        <w:t xml:space="preserve">), beats its own nested</w:t>
      </w:r>
      <w:r>
        <w:t xml:space="preserve"> </w:t>
      </w:r>
      <m:oMath>
        <m:r>
          <m:t>μ</m:t>
        </m:r>
        <m:r>
          <m:rPr>
            <m:sty m:val="p"/>
          </m:rPr>
          <m:t>=</m:t>
        </m:r>
        <m:r>
          <m:t>0</m:t>
        </m:r>
      </m:oMath>
      <w:r>
        <w:t xml:space="preserve"> </w:t>
      </w:r>
      <w:r>
        <w:t xml:space="preserve">special case on 648 (</w:t>
      </w:r>
      <m:oMath>
        <m:r>
          <m:t>p</m:t>
        </m:r>
        <m:r>
          <m:rPr>
            <m:sty m:val="p"/>
          </m:rPr>
          <m:t>=</m:t>
        </m:r>
        <m:r>
          <m:t>2</m:t>
        </m:r>
        <m:r>
          <m:rPr>
            <m:sty m:val="p"/>
          </m:rPr>
          <m:t>×</m:t>
        </m:r>
        <m:sSup>
          <m:e>
            <m:r>
              <m:t>10</m:t>
            </m:r>
          </m:e>
          <m:sup>
            <m:r>
              <m:rPr>
                <m:sty m:val="p"/>
              </m:rPr>
              <m:t>−</m:t>
            </m:r>
            <m:r>
              <m:t>52</m:t>
            </m:r>
          </m:sup>
        </m:sSup>
      </m:oMath>
      <w:r>
        <w:t xml:space="preserve">), and beats the pooled random forest on 601 (</w:t>
      </w:r>
      <m:oMath>
        <m:r>
          <m:t>p</m:t>
        </m:r>
        <m:r>
          <m:rPr>
            <m:sty m:val="p"/>
          </m:rPr>
          <m:t>=</m:t>
        </m:r>
        <m:r>
          <m:t>2</m:t>
        </m:r>
        <m:r>
          <m:rPr>
            <m:sty m:val="p"/>
          </m:rPr>
          <m:t>×</m:t>
        </m:r>
        <m:sSup>
          <m:e>
            <m:r>
              <m:t>10</m:t>
            </m:r>
          </m:e>
          <m:sup>
            <m:r>
              <m:rPr>
                <m:sty m:val="p"/>
              </m:rPr>
              <m:t>−</m:t>
            </m:r>
            <m:r>
              <m:t>36</m:t>
            </m:r>
          </m:sup>
        </m:sSup>
      </m:oMath>
      <w:r>
        <w:t xml:space="preserve">). Declaring the domain moves the RMSE from 14.15 to 1.65. The mechanism helps; it helps only where it applies; and the difference between those two sentences is the entire result.</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9]</w:t>
      </w:r>
      <w:r>
        <w:t xml:space="preserve"> </w:t>
      </w:r>
      <w:r>
        <w:t xml:space="preserve">carrying a fourth shape parameter. The defensible steady-state balance for soil carbon is an advection–reaction–diffusion equation</w:t>
      </w:r>
      <w:r>
        <w:t xml:space="preserve"> </w:t>
      </w:r>
      <w:r>
        <w:t xml:space="preserve">[10,11]</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[12,13]</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875 profiles the derived model leads the table at RMSE 1.511 against 1.653, beating the attenuating-rate form on 467 of 875 profiles (</w:t>
      </w:r>
      <m:oMath>
        <m:r>
          <m:t>p</m:t>
        </m:r>
        <m:r>
          <m:rPr>
            <m:sty m:val="p"/>
          </m:rPr>
          <m:t>=</m:t>
        </m:r>
        <m:r>
          <m:t>2</m:t>
        </m:r>
        <m:r>
          <m:rPr>
            <m:sty m:val="p"/>
          </m:rPr>
          <m:t>×</m:t>
        </m:r>
        <m:sSup>
          <m:e>
            <m:r>
              <m:t>10</m:t>
            </m:r>
          </m:e>
          <m:sup>
            <m:r>
              <m:rPr>
                <m:sty m:val="p"/>
              </m:rPr>
              <m:t>−</m:t>
            </m:r>
            <m:r>
              <m:t>6</m:t>
            </m:r>
          </m:sup>
        </m:sSup>
      </m:oMath>
      <w:r>
        <w:t xml:space="preserve">). On the nine-horizon pedon it fits more than three times better, 0.415 against 1.342 g/kg. We therefore report the derived form as the better model on both counts — it is mechanistically defensible</w:t>
      </w:r>
      <w:r>
        <w:t xml:space="preserve"> </w:t>
      </w:r>
      <w:r>
        <w:rPr>
          <w:i/>
          <w:iCs/>
        </w:rPr>
        <w:t xml:space="preserve">and</w:t>
      </w:r>
      <w:r>
        <w:t xml:space="preserve"> </w:t>
      </w:r>
      <w:r>
        <w:t xml:space="preserve">more accurate — and retain the attenuating-rate equation because it is what the depth-function literature has used and it is the honest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Two of the four parameters have an identified variogram. The attainable deep value reaches a sill with a nugget-to-sill ratio of 0.63 at a range of 68 km, and the depth attenuation 0.56 at 55 km — moderate spatial dependence in the sense of Cambardella et al.</w:t>
      </w:r>
      <w:r>
        <w:t xml:space="preserve"> </w:t>
      </w:r>
      <w:r>
        <w:t xml:space="preserve">[14]</w:t>
      </w:r>
      <w:r>
        <w:t xml:space="preserve">. The other two, the surface value and the total relaxation, fit ranges of 12 and 9 km, which lie</w:t>
      </w:r>
      <w:r>
        <w:t xml:space="preserve"> </w:t>
      </w:r>
      <w:r>
        <w:rPr>
          <w:i/>
          <w:iCs/>
        </w:rPr>
        <w:t xml:space="preserve">below the closest pair of profiles in the archive</w:t>
      </w:r>
      <w:r>
        <w:t xml:space="preserve">: the nearest lag these 1,105 profiles support is 35 km, so a range shorter than that is interpolated through empty space rather than measured. Their spatial structure, whatever it is, operates at a scale this survey cannot see.</w:t>
      </w:r>
    </w:p>
    <w:p>
      <w:pPr>
        <w:pStyle w:val="BodyText"/>
      </w:pPr>
      <w:r>
        <w:t xml:space="preserve">The consequence for mapping is the same in both cases and it is unfavourable. Even the two identified ranges, 55 and 68 km, are far shorter than the median separation between profiles in this archive, so kriging the parameters would be extrapolating almost everywhere. Regressing each on climate and terrain first does not rescue the situation: those covariates explain between 1.4% and 8.1%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1,105 profiles, 386,729 point pairs, with fitted exponential models. Two parameters reach a sill within the observed separations at ranges of 55 and 68 km; the other two fit ranges shorter than the 35 km nearest lag the archive supports, and are therefore not identified. Point size is the number of pairs in each lag.</w:t>
      </w:r>
    </w:p>
    <w:p>
      <w:pPr>
        <w:pStyle w:val="BodyText"/>
      </w:pPr>
      <w:r>
        <w:rPr>
          <w:b/>
          <w:bCs/>
        </w:rPr>
        <w:t xml:space="preserve">What we do not claim.</w:t>
      </w:r>
      <w:r>
        <w:t xml:space="preserve"> </w:t>
      </w:r>
      <w:r>
        <w:t xml:space="preserve">Three limits belong with this pillar. The model is monotone and cannot represent horizon differentiation; the 20.8% of profiles it excludes are not a rounding error but the pedologically most interesting ones.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And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[15]</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4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4.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4, whose bundle is bound to the current code by the test suite.</w:t>
      </w:r>
    </w:p>
    <w:p>
      <w:pPr>
        <w:pStyle w:val="Heading2"/>
      </w:pPr>
      <w:r>
        <w:t xml:space="preserve">Backdoor adjustment yields robust associations, and exposes confounding</w:t>
      </w:r>
    </w:p>
    <w:p>
      <w:pPr>
        <w:pStyle w:val="FirstParagraph"/>
      </w:pPr>
      <w:r>
        <w:t xml:space="preserve">Table 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p>
      <w:pPr>
        <w:pStyle w:val="Bibliography"/>
      </w:pPr>
      <w:r>
        <w:t xml:space="preserve">9.</w:t>
      </w:r>
      <w:r>
        <w:t xml:space="preserve"> </w:t>
      </w:r>
      <w:r>
        <w:t xml:space="preserve">	</w:t>
      </w:r>
      <w:r>
        <w:t xml:space="preserve">Minasny B, McBratney AB. Digital soil mapping: A brief history and some lessons learned. Geoderma. 2016;264: 301–311. doi:</w:t>
      </w:r>
      <w:hyperlink r:id="rId68">
        <w:r>
          <w:rPr>
            <w:rStyle w:val="Hyperlink"/>
          </w:rPr>
          <w:t xml:space="preserve">10.1016/j.geoderma.2015.07.017</w:t>
        </w:r>
      </w:hyperlink>
    </w:p>
    <w:p>
      <w:pPr>
        <w:pStyle w:val="Bibliography"/>
      </w:pPr>
      <w:r>
        <w:t xml:space="preserve">10.</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0">
        <w:r>
          <w:rPr>
            <w:rStyle w:val="Hyperlink"/>
          </w:rPr>
          <w:t xml:space="preserve">10.2136/sssaj1995.03615995005900050019x</w:t>
        </w:r>
      </w:hyperlink>
    </w:p>
    <w:p>
      <w:pPr>
        <w:pStyle w:val="Bibliography"/>
      </w:pPr>
      <w:r>
        <w:t xml:space="preserve">11.</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2">
        <w:r>
          <w:rPr>
            <w:rStyle w:val="Hyperlink"/>
          </w:rPr>
          <w:t xml:space="preserve">10.1016/j.ecolmodel.2011.02.015</w:t>
        </w:r>
      </w:hyperlink>
    </w:p>
    <w:p>
      <w:pPr>
        <w:pStyle w:val="Bibliography"/>
      </w:pPr>
      <w:r>
        <w:t xml:space="preserve">12.</w:t>
      </w:r>
      <w:r>
        <w:t xml:space="preserve"> </w:t>
      </w:r>
      <w:r>
        <w:t xml:space="preserve">	</w:t>
      </w:r>
      <w:r>
        <w:t xml:space="preserve">Gale MR, Grigal DF. Vertical root distributions of northern tree species in relation to successional status. Canadian Journal of Forest Research. 1987;17: 829–834. doi:</w:t>
      </w:r>
      <w:hyperlink r:id="rId74">
        <w:r>
          <w:rPr>
            <w:rStyle w:val="Hyperlink"/>
          </w:rPr>
          <w:t xml:space="preserve">10.1139/x87-131</w:t>
        </w:r>
      </w:hyperlink>
    </w:p>
    <w:p>
      <w:pPr>
        <w:pStyle w:val="Bibliography"/>
      </w:pPr>
      <w:r>
        <w:t xml:space="preserve">13.</w:t>
      </w:r>
      <w:r>
        <w:t xml:space="preserve"> </w:t>
      </w:r>
      <w:r>
        <w:t xml:space="preserve">	</w:t>
      </w:r>
      <w:r>
        <w:t xml:space="preserve">Jackson RB, Canadell J, Ehleringer JR, Mooney HA, Sala OE, Schulze ED. A global analysis of root distributions for terrestrial biomes. Oecologia. 1996;108: 389–411. doi:</w:t>
      </w:r>
      <w:hyperlink r:id="rId76">
        <w:r>
          <w:rPr>
            <w:rStyle w:val="Hyperlink"/>
          </w:rPr>
          <w:t xml:space="preserve">10.1007/BF00333714</w:t>
        </w:r>
      </w:hyperlink>
    </w:p>
    <w:p>
      <w:pPr>
        <w:pStyle w:val="Bibliography"/>
      </w:pPr>
      <w:r>
        <w:t xml:space="preserve">14.</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78">
        <w:r>
          <w:rPr>
            <w:rStyle w:val="Hyperlink"/>
          </w:rPr>
          <w:t xml:space="preserve">10.2136/sssaj1994.03615995005800050033x</w:t>
        </w:r>
      </w:hyperlink>
    </w:p>
    <w:p>
      <w:pPr>
        <w:pStyle w:val="Bibliography"/>
      </w:pPr>
      <w:r>
        <w:t xml:space="preserve">15.</w:t>
      </w:r>
      <w:r>
        <w:t xml:space="preserve"> </w:t>
      </w:r>
      <w:r>
        <w:t xml:space="preserve">	</w:t>
      </w:r>
      <w:r>
        <w:t xml:space="preserve">Cinelli C, Hazlett C. Making sense of sensitivity: Extending omitted variable bias. Journal of the Royal Statistical Society: Series B. 2020;82: 39–67. doi:</w:t>
      </w:r>
      <w:hyperlink r:id="rId80">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56" Target="https://doi.org/10.1111/ejss.70284" TargetMode="External" /><Relationship Type="http://schemas.openxmlformats.org/officeDocument/2006/relationships/hyperlink" Id="rId80"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56" Target="https://doi.org/10.1111/ejss.70284" TargetMode="External" /><Relationship Type="http://schemas.openxmlformats.org/officeDocument/2006/relationships/hyperlink" Id="rId80"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2026-08-05T04:08:42Z</dcterms:created>
  <dcterms:modified xsi:type="dcterms:W3CDTF">2026-08-05T04:08:42Z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