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a mechanistic depth model helps only where it applies, and saying where that is changes the conclusion entirely: over 1,105 real multi-horizon profiles the pedogenetic equation dy/dz = −λ₀e^(−μz)(y − y∞) predicts a held-out deepest horizon no better than copying the nearest measured one (RMSE 14.15 against 14.05 g/kg), but the equation is monotone by construction and 20.8% of those profiles are not, and inside its declared domain the same comparison gives 1.65 against 1.99 g/kg and it beats every baseline tested. We also show that the equation’s own solution does not converge to y∞ — the attainable deep value is y∞ + (y₀ − y∞)e^(−λ₀/μ), which the data identify at 4.28 [2.85, 6.25] g/kg while y∞ itself is unidentified and reaches into negative carbon — and that an alternative derived from a steady-state carbon balance, in which the depth-dependence sits in the asymptote rather than in the rate, is both mechanistically defensible and more accurate (RMSE 1.51).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three of them fall below the achievable null. Third, backdoor adjustment yields robust associations with explicit sensitivity bounds rather than identified causal effects, and adjustment collapses an apparent tree-cover association to near zero, demonstrating confounding directly.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ten otherwise incompatible method families — quantile forests, Gibbs samplers, neural operators, diffusion models, graph networks — to a common currency, so that accuracy, coverage and proper scores are comparable across all of them.</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a mechanism down turns out to make three separate claims checkable, and where two of them fail.</w:t>
      </w:r>
    </w:p>
    <w:p>
      <w:pPr>
        <w:pStyle w:val="BodyText"/>
      </w:pPr>
      <w:r>
        <w:rPr>
          <w:b/>
          <w:bCs/>
        </w:rPr>
        <w:t xml:space="preserve">The data.</w:t>
      </w:r>
      <w:r>
        <w:t xml:space="preserve"> </w:t>
      </w:r>
      <w:r>
        <w:t xml:space="preserve">The pillar is fitted to 1,105 real multi-horizon soil profiles from the World Soil Information Service over the Brazilian Cerrado — 5,853 horizons, reaching a median of 150 cm and a maximum of 740 cm. This matters enough to state plainly: earlier versions of this software illustrated the pillar on a seven-point profile with no provenance, while these profiles sat unused in the same repository because the preparation scripts kept only the shallowest horizon of each. Every result below is on the real profiles.</w:t>
      </w:r>
    </w:p>
    <w:p>
      <w:pPr>
        <w:pStyle w:val="BodyText"/>
      </w:pPr>
      <w:r>
        <w:rPr>
          <w:b/>
          <w:bCs/>
        </w:rPr>
        <w:t xml:space="preserve">The equation, and what its parameters mean.</w:t>
      </w:r>
      <w:r>
        <w:t xml:space="preserve"> </w:t>
      </w:r>
      <w:r>
        <w:t xml:space="preserve">The model is</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a relaxation whose rate decays with depth. It is separable,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r>
                <m:t>κ</m:t>
              </m:r>
              <m:d>
                <m:dPr>
                  <m:begChr m:val="("/>
                  <m:sepChr m:val=""/>
                  <m:endChr m:val=")"/>
                  <m:grow/>
                </m:dPr>
                <m:e>
                  <m:r>
                    <m:t>1</m:t>
                  </m:r>
                  <m:r>
                    <m:rPr>
                      <m:sty m:val="p"/>
                    </m:rPr>
                    <m:t>−</m:t>
                  </m:r>
                  <m:sSup>
                    <m:e>
                      <m:r>
                        <m:t>e</m:t>
                      </m:r>
                    </m:e>
                    <m:sup>
                      <m:r>
                        <m:rPr>
                          <m:sty m:val="p"/>
                        </m:rPr>
                        <m:t>−</m:t>
                      </m:r>
                      <m:r>
                        <m:t>μ</m:t>
                      </m:r>
                      <m:r>
                        <m:t>z</m:t>
                      </m:r>
                    </m:sup>
                  </m:sSup>
                </m:e>
              </m:d>
            </m:e>
          </m:d>
          <m:r>
            <m:rPr>
              <m:sty m:val="p"/>
            </m:rPr>
            <m:t>,</m:t>
          </m:r>
          <m:r>
            <m:t>  </m:t>
          </m:r>
          <m:r>
            <m:t>κ</m:t>
          </m:r>
          <m:r>
            <m:rPr>
              <m:sty m:val="p"/>
            </m:rPr>
            <m:t>=</m:t>
          </m:r>
          <m:sSub>
            <m:e>
              <m:r>
                <m:t>λ</m:t>
              </m:r>
            </m:e>
            <m:sub>
              <m:r>
                <m:t>0</m:t>
              </m:r>
            </m:sub>
          </m:sSub>
          <m:r>
            <m:rPr>
              <m:sty m:val="p"/>
            </m:rPr>
            <m:t>/</m:t>
          </m:r>
          <m:r>
            <m:t>μ</m:t>
          </m:r>
          <m:r>
            <m:rPr>
              <m:sty m:val="p"/>
            </m:rPr>
            <m:t>,</m:t>
          </m:r>
        </m:oMath>
      </m:oMathPara>
    </w:p>
    <w:p>
      <w:pPr>
        <w:pStyle w:val="FirstParagraph"/>
      </w:pPr>
      <w:r>
        <w:t xml:space="preserve">so that</w:t>
      </w:r>
      <w:r>
        <w:t xml:space="preserve"> </w:t>
      </w: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sSup>
          <m:e>
            <m:r>
              <m:t>e</m:t>
            </m:r>
          </m:e>
          <m:sup>
            <m:r>
              <m:rPr>
                <m:sty m:val="p"/>
              </m:rPr>
              <m:t>−</m:t>
            </m:r>
            <m:r>
              <m:t>κ</m:t>
            </m:r>
          </m:sup>
        </m:sSup>
      </m:oMath>
      <w:r>
        <w:t xml:space="preserve">.</w:t>
      </w:r>
    </w:p>
    <w:p>
      <w:pPr>
        <w:pStyle w:val="BodyText"/>
      </w:pPr>
      <w:r>
        <w:rPr>
          <w:b/>
          <w:bCs/>
        </w:rPr>
        <w:t xml:space="preserve">The profile does not reach</w:t>
      </w:r>
      <w:r>
        <w:rPr>
          <w:b/>
          <w:bCs/>
        </w:rPr>
        <w:t xml:space="preserve"> </w:t>
      </w:r>
      <m:oMath>
        <m:sSub>
          <m:e>
            <m:r>
              <m:t>y</m:t>
            </m:r>
          </m:e>
          <m:sub>
            <m:r>
              <m:rPr>
                <m:sty m:val="p"/>
              </m:rPr>
              <m:t>∞</m:t>
            </m:r>
          </m:sub>
        </m:sSub>
      </m:oMath>
      <w:r>
        <w:rPr>
          <w:b/>
          <w:bCs/>
        </w:rPr>
        <w:t xml:space="preserve">.</w:t>
      </w:r>
      <w:r>
        <w:t xml:space="preserve"> </w:t>
      </w:r>
      <w:r>
        <w:t xml:space="preserve">Because the rate decays, the exponent saturates and the profile traverses only a fraction</w:t>
      </w:r>
      <w:r>
        <w:t xml:space="preserve"> </w:t>
      </w:r>
      <m:oMath>
        <m:r>
          <m:t>1</m:t>
        </m:r>
        <m:r>
          <m:rPr>
            <m:sty m:val="p"/>
          </m:rPr>
          <m:t>−</m:t>
        </m:r>
        <m:sSup>
          <m:e>
            <m:r>
              <m:t>e</m:t>
            </m:r>
          </m:e>
          <m:sup>
            <m:r>
              <m:rPr>
                <m:sty m:val="p"/>
              </m:rPr>
              <m:t>−</m:t>
            </m:r>
            <m:r>
              <m:t>κ</m:t>
            </m:r>
          </m:sup>
        </m:sSup>
      </m:oMath>
      <w:r>
        <w:t xml:space="preserve"> </w:t>
      </w:r>
      <w:r>
        <w:t xml:space="preserve">of the</w:t>
      </w:r>
      <w:r>
        <w:t xml:space="preserve"> </w:t>
      </w:r>
      <m:oMath>
        <m:sSub>
          <m:e>
            <m:r>
              <m:t>y</m:t>
            </m:r>
          </m:e>
          <m:sub>
            <m:r>
              <m:t>0</m:t>
            </m:r>
          </m:sub>
        </m:sSub>
        <m:r>
          <m:rPr>
            <m:sty m:val="p"/>
          </m:rPr>
          <m:t>→</m:t>
        </m:r>
        <m:sSub>
          <m:e>
            <m:r>
              <m:t>y</m:t>
            </m:r>
          </m:e>
          <m:sub>
            <m:r>
              <m:rPr>
                <m:sty m:val="p"/>
              </m:rPr>
              <m:t>∞</m:t>
            </m:r>
          </m:sub>
        </m:sSub>
      </m:oMath>
      <w:r>
        <w:t xml:space="preserve"> </w:t>
      </w:r>
      <w:r>
        <w:t xml:space="preserve">gap before the dynamics run out.</w:t>
      </w:r>
      <w:r>
        <w:t xml:space="preserve"> </w:t>
      </w:r>
      <m:oMath>
        <m:sSub>
          <m:e>
            <m:r>
              <m:t>y</m:t>
            </m:r>
          </m:e>
          <m:sub>
            <m:r>
              <m:rPr>
                <m:sty m:val="p"/>
              </m:rPr>
              <m:t>∞</m:t>
            </m:r>
          </m:sub>
        </m:sSub>
      </m:oMath>
      <w:r>
        <w:t xml:space="preserve"> </w:t>
      </w:r>
      <w:r>
        <w:t xml:space="preserve">is an equilibrium coordinate of the differential equation, not a soil property; the attainable deep value is</w:t>
      </w:r>
      <w:r>
        <w:t xml:space="preserve"> </w:t>
      </w:r>
      <m:oMath>
        <m:r>
          <m:t>y</m:t>
        </m:r>
        <m:r>
          <m:rPr>
            <m:sty m:val="p"/>
          </m:rPr>
          <m:t>(</m:t>
        </m:r>
        <m:r>
          <m:rPr>
            <m:sty m:val="p"/>
          </m:rPr>
          <m:t>∞</m:t>
        </m:r>
        <m:r>
          <m:rPr>
            <m:sty m:val="p"/>
          </m:rPr>
          <m:t>)</m:t>
        </m:r>
      </m:oMath>
      <w:r>
        <w:t xml:space="preserve">. The distinction is not cosmetic. Across the 1,105 profiles the median</w:t>
      </w:r>
      <w:r>
        <w:t xml:space="preserve"> </w:t>
      </w:r>
      <m:oMath>
        <m:r>
          <m:t>κ</m:t>
        </m:r>
      </m:oMath>
      <w:r>
        <w:t xml:space="preserve"> </w:t>
      </w:r>
      <w:r>
        <w:t xml:space="preserve">is 1.6, so the median profile closes 80% of its gap and stops, and on shallow profiles the two quantities routinely differ in sign.</w:t>
      </w:r>
    </w:p>
    <w:p>
      <w:pPr>
        <w:pStyle w:val="BodyText"/>
      </w:pPr>
      <w:r>
        <w:t xml:space="preserve">Three consequences follow, and the implementation is built around them. First,</w:t>
      </w:r>
      <w:r>
        <w:t xml:space="preserve"> </w:t>
      </w:r>
      <m:oMath>
        <m:sSub>
          <m:e>
            <m:r>
              <m:t>λ</m:t>
            </m:r>
          </m:e>
          <m:sub>
            <m:r>
              <m:t>0</m:t>
            </m:r>
          </m:sub>
        </m:sSub>
      </m:oMath>
      <w:r>
        <w:t xml:space="preserve"> </w:t>
      </w:r>
      <w:r>
        <w:t xml:space="preserve">and</w:t>
      </w:r>
      <w:r>
        <w:t xml:space="preserve"> </w:t>
      </w:r>
      <m:oMath>
        <m:r>
          <m:t>μ</m:t>
        </m:r>
      </m:oMath>
      <w:r>
        <w:t xml:space="preserve"> </w:t>
      </w:r>
      <w:r>
        <w:t xml:space="preserve">are near-collinear: the likelihood constrains their ratio</w:t>
      </w:r>
      <w:r>
        <w:t xml:space="preserve"> </w:t>
      </w:r>
      <m:oMath>
        <m:r>
          <m:t>κ</m:t>
        </m:r>
      </m:oMath>
      <w:r>
        <w:t xml:space="preserve"> </w:t>
      </w:r>
      <w:r>
        <w:t xml:space="preserve">far better than either alone. Second, a prior on</w:t>
      </w:r>
      <w:r>
        <w:t xml:space="preserve"> </w:t>
      </w:r>
      <m:oMath>
        <m:sSub>
          <m:e>
            <m:r>
              <m:t>y</m:t>
            </m:r>
          </m:e>
          <m:sub>
            <m:r>
              <m:rPr>
                <m:sty m:val="p"/>
              </m:rPr>
              <m:t>∞</m:t>
            </m:r>
          </m:sub>
        </m:sSub>
      </m:oMath>
      <w:r>
        <w:t xml:space="preserve"> </w:t>
      </w:r>
      <w:r>
        <w:t xml:space="preserve">is a prior on an unattained quantity that enters the fit through a ratio the data barely determine. Third, nothing in a free-sign parameterisation keeps</w:t>
      </w:r>
      <w:r>
        <w:t xml:space="preserve"> </w:t>
      </w:r>
      <m:oMath>
        <m:r>
          <m:t>μ</m:t>
        </m:r>
        <m:r>
          <m:rPr>
            <m:sty m:val="p"/>
          </m:rPr>
          <m:t>≥</m:t>
        </m:r>
        <m:r>
          <m:t>0</m:t>
        </m:r>
      </m:oMath>
      <w:r>
        <w:t xml:space="preserve"> </w:t>
      </w:r>
      <w:r>
        <w:t xml:space="preserve">or the concentrations positive. We therefore estimate the model in the coordinates</w:t>
      </w:r>
      <w:r>
        <w:t xml:space="preserve"> </w:t>
      </w:r>
      <m:oMath>
        <m:r>
          <m:rPr>
            <m:sty m:val="p"/>
          </m:rPr>
          <m:t>(</m:t>
        </m:r>
        <m:sSub>
          <m:e>
            <m:r>
              <m:t>y</m:t>
            </m:r>
          </m:e>
          <m:sub>
            <m:r>
              <m:t>0</m:t>
            </m:r>
          </m:sub>
        </m:sSub>
        <m:r>
          <m:rPr>
            <m:sty m:val="p"/>
          </m:rPr>
          <m:t>,</m:t>
        </m:r>
        <m:r>
          <m:t>A</m:t>
        </m:r>
        <m:r>
          <m:rPr>
            <m:sty m:val="p"/>
          </m:rPr>
          <m:t>,</m:t>
        </m:r>
        <m:r>
          <m:t>κ</m:t>
        </m:r>
        <m:r>
          <m:rPr>
            <m:sty m:val="p"/>
          </m:rPr>
          <m:t>,</m:t>
        </m:r>
        <m:r>
          <m:t>μ</m:t>
        </m:r>
        <m:r>
          <m:rPr>
            <m:sty m:val="p"/>
          </m:rPr>
          <m:t>)</m:t>
        </m:r>
      </m:oMath>
      <w:r>
        <w:t xml:space="preserve"> </w:t>
      </w:r>
      <w:r>
        <w:t xml:space="preserve">with</w:t>
      </w:r>
      <w:r>
        <w:t xml:space="preserve"> </w:t>
      </w:r>
      <m:oMath>
        <m:r>
          <m:t>A</m:t>
        </m:r>
        <m:r>
          <m:rPr>
            <m:sty m:val="p"/>
          </m:rPr>
          <m:t>=</m:t>
        </m:r>
        <m:r>
          <m:t>y</m:t>
        </m:r>
        <m:r>
          <m:rPr>
            <m:sty m:val="p"/>
          </m:rPr>
          <m:t>(</m:t>
        </m:r>
        <m:r>
          <m:rPr>
            <m:sty m:val="p"/>
          </m:rPr>
          <m:t>∞</m:t>
        </m:r>
        <m:r>
          <m:rPr>
            <m:sty m:val="p"/>
          </m:rPr>
          <m:t>)</m:t>
        </m:r>
      </m:oMath>
      <w:r>
        <w:t xml:space="preserve">, all exponentiated, and recover</w:t>
      </w:r>
      <w:r>
        <w:t xml:space="preserve"> </w:t>
      </w:r>
      <m:oMath>
        <m:sSub>
          <m:e>
            <m:r>
              <m:t>λ</m:t>
            </m:r>
          </m:e>
          <m:sub>
            <m:r>
              <m:t>0</m:t>
            </m:r>
          </m:sub>
        </m:sSub>
      </m:oMath>
      <w:r>
        <w:t xml:space="preserve"> </w:t>
      </w:r>
      <w:r>
        <w:t xml:space="preserve">and</w:t>
      </w:r>
      <w:r>
        <w:t xml:space="preserve"> </w:t>
      </w:r>
      <m:oMath>
        <m:sSub>
          <m:e>
            <m:r>
              <m:t>y</m:t>
            </m:r>
          </m:e>
          <m:sub>
            <m:r>
              <m:rPr>
                <m:sty m:val="p"/>
              </m:rPr>
              <m:t>∞</m:t>
            </m:r>
          </m:sub>
        </m:sSub>
      </m:oMath>
      <w:r>
        <w:t xml:space="preserve"> </w:t>
      </w:r>
      <w:r>
        <w:t xml:space="preserve">for reporting. Refitting all 1,105 profiles under both parameterisations, the original returned a physically inadmissible fit for 56% of them — 113 of 207 in a matched subset had</w:t>
      </w:r>
      <w:r>
        <w:t xml:space="preserve"> </w:t>
      </w:r>
      <m:oMath>
        <m:r>
          <m:t>μ</m:t>
        </m:r>
        <m:r>
          <m:rPr>
            <m:sty m:val="p"/>
          </m:rPr>
          <m:t>&lt;</m:t>
        </m:r>
        <m:r>
          <m:t>0</m:t>
        </m:r>
      </m:oMath>
      <w:r>
        <w:t xml:space="preserve">, a decay rate that</w:t>
      </w:r>
      <w:r>
        <w:t xml:space="preserve"> </w:t>
      </w:r>
      <w:r>
        <w:rPr>
          <w:i/>
          <w:iCs/>
        </w:rPr>
        <w:t xml:space="preserve">grows</w:t>
      </w:r>
      <w:r>
        <w:t xml:space="preserve"> </w:t>
      </w:r>
      <w:r>
        <w:t xml:space="preserve">exponentially with depth — against none under the positive coordinates.</w:t>
      </w:r>
    </w:p>
    <w:p>
      <w:pPr>
        <w:pStyle w:val="BodyText"/>
      </w:pPr>
      <w:r>
        <w:t xml:space="preserve">Two further specification choices follow from having real horizons. A laboratory value is the average of a property over a horizon, not a point reading at its mid-depth; because the solution is closed-form, the depth-average over each horizon is available by Gauss–Legendre quadrature at negligible cost, and is used throughout. This is the same observation-operator problem equal-area splines address explicitly</w:t>
      </w:r>
      <w:r>
        <w:t xml:space="preserve"> </w:t>
      </w:r>
      <w:r>
        <w:t xml:space="preserve">[7,8]</w:t>
      </w:r>
      <w:r>
        <w:t xml:space="preserve">. And the observation noise</w:t>
      </w:r>
      <w:r>
        <w:t xml:space="preserve"> </w:t>
      </w:r>
      <m:oMath>
        <m:r>
          <m:t>σ</m:t>
        </m:r>
      </m:oMath>
      <w:r>
        <w:t xml:space="preserve"> </w:t>
      </w:r>
      <w:r>
        <w:t xml:space="preserve">is sampled with a half-</w:t>
      </w:r>
      <m:oMath>
        <m:r>
          <m:t>t</m:t>
        </m:r>
      </m:oMath>
      <w:r>
        <w:t xml:space="preserve"> </w:t>
      </w:r>
      <w:r>
        <w:t xml:space="preserve">prior rather than plugged in from the residuals of the mode, which widens the predictive interval on the pedon below from 3.6 to 7.1 g/kg.</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NormalTok"/>
        </w:rPr>
        <w:t xml:space="preserve">                        </w:t>
      </w:r>
      <w:r>
        <w:rPr>
          <w:rStyle w:val="AttributeTok"/>
        </w:rPr>
        <w:t xml:space="preserve">top =</w:t>
      </w:r>
      <w:r>
        <w:rPr>
          <w:rStyle w:val="NormalTok"/>
        </w:rPr>
        <w:t xml:space="preserve"> pedon</w:t>
      </w:r>
      <w:r>
        <w:rPr>
          <w:rStyle w:val="SpecialCharTok"/>
        </w:rPr>
        <w:t xml:space="preserve">$</w:t>
      </w:r>
      <w:r>
        <w:rPr>
          <w:rStyle w:val="NormalTok"/>
        </w:rPr>
        <w:t xml:space="preserve">top, </w:t>
      </w:r>
      <w:r>
        <w:rPr>
          <w:rStyle w:val="AttributeTok"/>
        </w:rPr>
        <w:t xml:space="preserve">bottom =</w:t>
      </w:r>
      <w:r>
        <w:rPr>
          <w:rStyle w:val="NormalTok"/>
        </w:rPr>
        <w:t xml:space="preserve"> pedon</w:t>
      </w:r>
      <w:r>
        <w:rPr>
          <w:rStyle w:val="SpecialCharTok"/>
        </w:rPr>
        <w:t xml:space="preserve">$</w:t>
      </w:r>
      <w:r>
        <w:rPr>
          <w:rStyle w:val="NormalTok"/>
        </w:rPr>
        <w:t xml:space="preserve">bottom)</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0.02585   mu = 0.009308</w:t>
      </w:r>
      <w:r>
        <w:br/>
      </w:r>
      <w:r>
        <w:rPr>
          <w:rStyle w:val="CommentTok"/>
        </w:rPr>
        <w:t xml:space="preserve">#&gt;   y0      = 31.77     y(Inf) = 4.325      (kappa = 2.78)</w:t>
      </w:r>
      <w:r>
        <w:br/>
      </w:r>
      <w:r>
        <w:rPr>
          <w:rStyle w:val="CommentTok"/>
        </w:rPr>
        <w:t xml:space="preserve">#&gt;   y_inf   = 2.504     (ODE coordinate, not the attained value)</w:t>
      </w:r>
      <w:r>
        <w:br/>
      </w:r>
      <w:r>
        <w:rPr>
          <w:rStyle w:val="CommentTok"/>
        </w:rPr>
        <w:t xml:space="preserve">#&gt;   n obs   = 9 (layer)         rmse = 1.342</w:t>
      </w:r>
      <w:r>
        <w:br/>
      </w:r>
      <w:r>
        <w:rPr>
          <w:rStyle w:val="CommentTok"/>
        </w:rPr>
        <w:t xml:space="preserve">#&gt;   converged = TRUE</w:t>
      </w:r>
    </w:p>
    <w:p>
      <w:pPr>
        <w:pStyle w:val="FirstParagraph"/>
      </w:pPr>
      <w:r>
        <w:t xml:space="preserve">Table 2 gives the posterior for that pedon — WoSIS profile 1115679, nine horizons to 550 cm.</w:t>
      </w:r>
    </w:p>
    <w:p>
      <w:pPr>
        <w:pStyle w:val="BodyText"/>
      </w:pPr>
      <w:r>
        <w:rPr>
          <w:b/>
          <w:bCs/>
        </w:rPr>
        <w:t xml:space="preserve">Table 2. Posterior summary of the pedogenetic equation’s parameters.</w:t>
      </w:r>
      <w:r>
        <w:t xml:space="preserve"> </w:t>
      </w:r>
      <w:r>
        <w:t xml:space="preserve">Laplace approximation over a real nine-horizon WoSIS profile reaching 550 cm, fitted through the horizon-average operator. Intervals are 2.5% and 97.5% posterior quantiles. The first four rows are the equation’s symbols, the next two the coordinates the model is estimated in, and the last the sampled observation noise.</w:t>
      </w:r>
    </w:p>
    <w:tbl>
      <w:tblPr>
        <w:tblStyle w:val="Table"/>
        <w:tblW w:type="pct" w:w="5000"/>
        <w:tblLayout w:type="fixed"/>
        <w:tblLook w:firstRow="1" w:lastRow="0" w:firstColumn="0" w:lastColumn="0" w:noHBand="0" w:noVBand="0" w:val="0020"/>
      </w:tblPr>
      <w:tblGrid>
        <w:gridCol w:w="733"/>
        <w:gridCol w:w="4986"/>
        <w:gridCol w:w="586"/>
        <w:gridCol w:w="513"/>
        <w:gridCol w:w="586"/>
        <w:gridCol w:w="513"/>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0.0260</w:t>
            </w:r>
          </w:p>
        </w:tc>
        <w:tc>
          <w:tcPr/>
          <w:p>
            <w:pPr>
              <w:pStyle w:val="Compact"/>
              <w:jc w:val="right"/>
            </w:pPr>
            <w:r>
              <w:t xml:space="preserve">0.0058</w:t>
            </w:r>
          </w:p>
        </w:tc>
        <w:tc>
          <w:tcPr/>
          <w:p>
            <w:pPr>
              <w:pStyle w:val="Compact"/>
              <w:jc w:val="right"/>
            </w:pPr>
            <w:r>
              <w:t xml:space="preserve">0.016</w:t>
            </w:r>
          </w:p>
        </w:tc>
        <w:tc>
          <w:tcPr/>
          <w:p>
            <w:pPr>
              <w:pStyle w:val="Compact"/>
              <w:jc w:val="right"/>
            </w:pPr>
            <w:r>
              <w:t xml:space="preserve">0.039</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0.0098</w:t>
            </w:r>
          </w:p>
        </w:tc>
        <w:tc>
          <w:tcPr/>
          <w:p>
            <w:pPr>
              <w:pStyle w:val="Compact"/>
              <w:jc w:val="right"/>
            </w:pPr>
            <w:r>
              <w:t xml:space="preserve">0.0053</w:t>
            </w:r>
          </w:p>
        </w:tc>
        <w:tc>
          <w:tcPr/>
          <w:p>
            <w:pPr>
              <w:pStyle w:val="Compact"/>
              <w:jc w:val="right"/>
            </w:pPr>
            <w:r>
              <w:t xml:space="preserve">0.003</w:t>
            </w:r>
          </w:p>
        </w:tc>
        <w:tc>
          <w:tcPr/>
          <w:p>
            <w:pPr>
              <w:pStyle w:val="Compact"/>
              <w:jc w:val="right"/>
            </w:pPr>
            <w:r>
              <w:t xml:space="preserve">0.023</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1.2650</w:t>
            </w:r>
          </w:p>
        </w:tc>
        <w:tc>
          <w:tcPr/>
          <w:p>
            <w:pPr>
              <w:pStyle w:val="Compact"/>
              <w:jc w:val="right"/>
            </w:pPr>
            <w:r>
              <w:t xml:space="preserve">4.0921</w:t>
            </w:r>
          </w:p>
        </w:tc>
        <w:tc>
          <w:tcPr/>
          <w:p>
            <w:pPr>
              <w:pStyle w:val="Compact"/>
              <w:jc w:val="right"/>
            </w:pPr>
            <w:r>
              <w:t xml:space="preserve">-10.620</w:t>
            </w:r>
          </w:p>
        </w:tc>
        <w:tc>
          <w:tcPr/>
          <w:p>
            <w:pPr>
              <w:pStyle w:val="Compact"/>
              <w:jc w:val="right"/>
            </w:pPr>
            <w:r>
              <w:t xml:space="preserve">5.462</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31.7014</w:t>
            </w:r>
          </w:p>
        </w:tc>
        <w:tc>
          <w:tcPr/>
          <w:p>
            <w:pPr>
              <w:pStyle w:val="Compact"/>
              <w:jc w:val="right"/>
            </w:pPr>
            <w:r>
              <w:t xml:space="preserve">2.1742</w:t>
            </w:r>
          </w:p>
        </w:tc>
        <w:tc>
          <w:tcPr/>
          <w:p>
            <w:pPr>
              <w:pStyle w:val="Compact"/>
              <w:jc w:val="right"/>
            </w:pPr>
            <w:r>
              <w:t xml:space="preserve">27.519</w:t>
            </w:r>
          </w:p>
        </w:tc>
        <w:tc>
          <w:tcPr/>
          <w:p>
            <w:pPr>
              <w:pStyle w:val="Compact"/>
              <w:jc w:val="right"/>
            </w:pPr>
            <w:r>
              <w:t xml:space="preserve">36.016</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3.4583</w:t>
            </w:r>
          </w:p>
        </w:tc>
        <w:tc>
          <w:tcPr/>
          <w:p>
            <w:pPr>
              <w:pStyle w:val="Compact"/>
              <w:jc w:val="right"/>
            </w:pPr>
            <w:r>
              <w:t xml:space="preserve">2.0729</w:t>
            </w:r>
          </w:p>
        </w:tc>
        <w:tc>
          <w:tcPr/>
          <w:p>
            <w:pPr>
              <w:pStyle w:val="Compact"/>
              <w:jc w:val="right"/>
            </w:pPr>
            <w:r>
              <w:t xml:space="preserve">1.064</w:t>
            </w:r>
          </w:p>
        </w:tc>
        <w:tc>
          <w:tcPr/>
          <w:p>
            <w:pPr>
              <w:pStyle w:val="Compact"/>
              <w:jc w:val="right"/>
            </w:pPr>
            <w:r>
              <w:t xml:space="preserve">8.993</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4.2828</w:t>
            </w:r>
          </w:p>
        </w:tc>
        <w:tc>
          <w:tcPr/>
          <w:p>
            <w:pPr>
              <w:pStyle w:val="Compact"/>
              <w:jc w:val="right"/>
            </w:pPr>
            <w:r>
              <w:t xml:space="preserve">0.8858</w:t>
            </w:r>
          </w:p>
        </w:tc>
        <w:tc>
          <w:tcPr/>
          <w:p>
            <w:pPr>
              <w:pStyle w:val="Compact"/>
              <w:jc w:val="right"/>
            </w:pPr>
            <w:r>
              <w:t xml:space="preserve">2.854</w:t>
            </w:r>
          </w:p>
        </w:tc>
        <w:tc>
          <w:tcPr/>
          <w:p>
            <w:pPr>
              <w:pStyle w:val="Compact"/>
              <w:jc w:val="right"/>
            </w:pPr>
            <w:r>
              <w:t xml:space="preserve">6.255</w:t>
            </w:r>
          </w:p>
        </w:tc>
      </w:tr>
      <w:tr>
        <w:tc>
          <w:tcPr/>
          <w:p>
            <w:pPr>
              <w:pStyle w:val="Compact"/>
              <w:jc w:val="left"/>
            </w:pPr>
            <w:r>
              <w:t xml:space="preserve">sigma</w:t>
            </w:r>
          </w:p>
        </w:tc>
        <w:tc>
          <w:tcPr/>
          <w:p>
            <w:pPr>
              <w:pStyle w:val="Compact"/>
              <w:jc w:val="left"/>
            </w:pPr>
            <w:r>
              <w:t xml:space="preserve">NA</w:t>
            </w:r>
          </w:p>
        </w:tc>
        <w:tc>
          <w:tcPr/>
          <w:p>
            <w:pPr>
              <w:pStyle w:val="Compact"/>
              <w:jc w:val="right"/>
            </w:pPr>
            <w:r>
              <w:t xml:space="preserve">1.4604</w:t>
            </w:r>
          </w:p>
        </w:tc>
        <w:tc>
          <w:tcPr/>
          <w:p>
            <w:pPr>
              <w:pStyle w:val="Compact"/>
              <w:jc w:val="right"/>
            </w:pPr>
            <w:r>
              <w:t xml:space="preserve">0.3673</w:t>
            </w:r>
          </w:p>
        </w:tc>
        <w:tc>
          <w:tcPr/>
          <w:p>
            <w:pPr>
              <w:pStyle w:val="Compact"/>
              <w:jc w:val="right"/>
            </w:pPr>
            <w:r>
              <w:t xml:space="preserve">0.860</w:t>
            </w:r>
          </w:p>
        </w:tc>
        <w:tc>
          <w:tcPr/>
          <w:p>
            <w:pPr>
              <w:pStyle w:val="Compact"/>
              <w:jc w:val="right"/>
            </w:pPr>
            <w:r>
              <w:t xml:space="preserve">2.299</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and 95% posterior band against the nine measured horizons (points), with the attained deep value</w:t>
      </w:r>
      <w:r>
        <w:t xml:space="preserve"> </w:t>
      </w:r>
      <m:oMath>
        <m:r>
          <m:t>y</m:t>
        </m:r>
        <m:r>
          <m:rPr>
            <m:sty m:val="p"/>
          </m:rPr>
          <m:t>(</m:t>
        </m:r>
        <m:r>
          <m:rPr>
            <m:sty m:val="p"/>
          </m:rPr>
          <m:t>∞</m:t>
        </m:r>
        <m:r>
          <m:rPr>
            <m:sty m:val="p"/>
          </m:rPr>
          <m:t>)</m:t>
        </m:r>
      </m:oMath>
      <w:r>
        <w:t xml:space="preserve"> </w:t>
      </w:r>
      <w:r>
        <w:t xml:space="preserve">and the unattained coordinate</w:t>
      </w:r>
      <w:r>
        <w:t xml:space="preserve"> </w:t>
      </w:r>
      <m:oMath>
        <m:sSub>
          <m:e>
            <m:r>
              <m:t>y</m:t>
            </m:r>
          </m:e>
          <m:sub>
            <m:r>
              <m:rPr>
                <m:sty m:val="p"/>
              </m:rPr>
              <m:t>∞</m:t>
            </m:r>
          </m:sub>
        </m:sSub>
      </m:oMath>
      <w:r>
        <w:t xml:space="preserve"> </w:t>
      </w:r>
      <w:r>
        <w:t xml:space="preserve">marked. (B) Posterior mean and 95% interval for each parameter; the attainable deep value is identified and strictly positive, while</w:t>
      </w:r>
      <w:r>
        <w:t xml:space="preserve"> </w:t>
      </w:r>
      <m:oMath>
        <m:sSub>
          <m:e>
            <m:r>
              <m:t>y</m:t>
            </m:r>
          </m:e>
          <m:sub>
            <m:r>
              <m:rPr>
                <m:sty m:val="p"/>
              </m:rPr>
              <m:t>∞</m:t>
            </m:r>
          </m:sub>
        </m:sSub>
      </m:oMath>
      <w:r>
        <w:t xml:space="preserve"> </w:t>
      </w:r>
      <w:r>
        <w:t xml:space="preserve">is not identified and its interval crosses into impossible territory.</w:t>
      </w:r>
    </w:p>
    <w:p>
      <w:pPr>
        <w:pStyle w:val="BodyText"/>
      </w:pPr>
      <w:r>
        <w:t xml:space="preserve">The surface concentration is 31.7 g/kg with an interval 8.5 g/kg wide, and the attainable deep value is identified and admissible at 4.28 g/kg, interval [2.85, 6.25]. The coordinate</w:t>
      </w:r>
      <w:r>
        <w:t xml:space="preserve"> </w:t>
      </w:r>
      <m:oMath>
        <m:sSub>
          <m:e>
            <m:r>
              <m:t>y</m:t>
            </m:r>
          </m:e>
          <m:sub>
            <m:r>
              <m:rPr>
                <m:sty m:val="p"/>
              </m:rPr>
              <m:t>∞</m:t>
            </m:r>
          </m:sub>
        </m:sSub>
      </m:oMath>
      <w:r>
        <w:t xml:space="preserve"> </w:t>
      </w:r>
      <w:r>
        <w:t xml:space="preserve">is not identified: its interval, [−10.6, 5.5], is four times wider and reaches into negative carbon. Nine horizons to 550 cm do constrain where the profile is heading; what they cannot do is locate a coordinate the profile never visits.</w:t>
      </w:r>
    </w:p>
    <w:p>
      <w:pPr>
        <w:pStyle w:val="BodyText"/>
      </w:pPr>
      <w:r>
        <w:rPr>
          <w:b/>
          <w:bCs/>
        </w:rPr>
        <w:t xml:space="preserve">Does the mechanism buy anything?</w:t>
      </w:r>
      <w:r>
        <w:t xml:space="preserve"> </w:t>
      </w:r>
      <w:r>
        <w:t xml:space="preserve">This is the question a depth model must answer, and the answer depends entirely on a scope statement that the pillar previously did not make. We ran two pre-declared tasks over all 1,105 profiles — hold out an interior horizon (interpolation), and hold out the deepest horizon (extrapolation) — against six competitors including an equal-area spline, a pooled depth-as-covariate random forest that sees other profiles’ data, and two zero-parameter baselines. The equal-area spline does not extrapolate below the observed range and abstains from the second task; that is reported rather than papered over by clamping it to its last value.</w:t>
      </w:r>
    </w:p>
    <w:p>
      <w:pPr>
        <w:pStyle w:val="BodyText"/>
      </w:pPr>
      <w:r>
        <w:t xml:space="preserve">Over all 1,105 profiles the mechanism buys nothing. On extrapolation the ODE reaches RMSE 14.15 g/kg against 14.05 for copying the nearest measured horizon and 14.05 for the random forest. A reviewer running this comparison would conclude the model is worse than no model, and on that evidence they would be right.</w:t>
      </w:r>
    </w:p>
    <w:p>
      <w:pPr>
        <w:pStyle w:val="BodyText"/>
      </w:pPr>
      <w:r>
        <w:t xml:space="preserve">But</w:t>
      </w:r>
      <w:r>
        <w:t xml:space="preserve"> </w:t>
      </w:r>
      <m:oMath>
        <m:sSub>
          <m:e>
            <m:r>
              <m:t>λ</m:t>
            </m:r>
          </m:e>
          <m:sub>
            <m:r>
              <m:t>0</m:t>
            </m:r>
          </m:sub>
        </m:sSub>
        <m:r>
          <m:rPr>
            <m:sty m:val="p"/>
          </m:rPr>
          <m:t>&gt;</m:t>
        </m:r>
        <m:r>
          <m:t>0</m:t>
        </m:r>
      </m:oMath>
      <w:r>
        <w:t xml:space="preserve"> </w:t>
      </w:r>
      <w:r>
        <w:t xml:space="preserve">with a first-order relaxation makes</w:t>
      </w:r>
      <w:r>
        <w:t xml:space="preserve"> </w:t>
      </w:r>
      <m:oMath>
        <m:r>
          <m:t>y</m:t>
        </m:r>
        <m:r>
          <m:rPr>
            <m:sty m:val="p"/>
          </m:rPr>
          <m:t>(</m:t>
        </m:r>
        <m:r>
          <m:t>z</m:t>
        </m:r>
        <m:r>
          <m:rPr>
            <m:sty m:val="p"/>
          </m:rPr>
          <m:t>)</m:t>
        </m:r>
      </m:oMath>
      <w:r>
        <w:t xml:space="preserve"> </w:t>
      </w:r>
      <w:r>
        <w:t xml:space="preserve">monotone by construction, so an argillic bulge, an E horizon beneath an A, or a buried A cannot be represented at all — and 20.8% of these profiles are not monotone. Restricted to the 875 profiles inside that declared domain, the picture reverses completely (Table 3).</w:t>
      </w:r>
    </w:p>
    <w:p>
      <w:pPr>
        <w:pStyle w:val="BodyText"/>
      </w:pPr>
      <w:r>
        <w:rPr>
          <w:b/>
          <w:bCs/>
        </w:rPr>
        <w:t xml:space="preserve">Table 3. Leave-the-deepest-horizon-out prediction on 875 monotone WoSIS profiles.</w:t>
      </w:r>
      <w:r>
        <w:t xml:space="preserve"> </w:t>
      </w:r>
      <w:r>
        <w:t xml:space="preserve">The model’s declared validity domain. Over all 1,105 profiles, including the 230 the model cannot represent, every method sits near RMSE 14 g/kg and the mechanism is indistinguishable from copying the nearest horizon.</w:t>
      </w:r>
    </w:p>
    <w:tbl>
      <w:tblPr>
        <w:tblStyle w:val="Table"/>
        <w:tblW w:type="pct" w:w="5000"/>
        <w:tblLayout w:type="fixed"/>
        <w:tblLook w:firstRow="1" w:lastRow="0" w:firstColumn="0" w:lastColumn="0" w:noHBand="0" w:noVBand="0" w:val="0020"/>
      </w:tblPr>
      <w:tblGrid>
        <w:gridCol w:w="4491"/>
        <w:gridCol w:w="709"/>
        <w:gridCol w:w="709"/>
        <w:gridCol w:w="1300"/>
        <w:gridCol w:w="709"/>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Mean error</w:t>
            </w:r>
          </w:p>
        </w:tc>
        <w:tc>
          <w:tcPr/>
          <w:p>
            <w:pPr>
              <w:pStyle w:val="Compact"/>
              <w:jc w:val="right"/>
            </w:pPr>
            <w:r>
              <w:t xml:space="preserve">CCC</w:t>
            </w:r>
          </w:p>
        </w:tc>
      </w:tr>
      <w:tr>
        <w:tc>
          <w:tcPr/>
          <w:p>
            <w:pPr>
              <w:pStyle w:val="Compact"/>
              <w:jc w:val="left"/>
            </w:pPr>
            <w:r>
              <w:t xml:space="preserve">derived advection-reaction (5 par)</w:t>
            </w:r>
          </w:p>
        </w:tc>
        <w:tc>
          <w:tcPr/>
          <w:p>
            <w:pPr>
              <w:pStyle w:val="Compact"/>
              <w:jc w:val="right"/>
            </w:pPr>
            <w:r>
              <w:t xml:space="preserve">1.511</w:t>
            </w:r>
          </w:p>
        </w:tc>
        <w:tc>
          <w:tcPr/>
          <w:p>
            <w:pPr>
              <w:pStyle w:val="Compact"/>
              <w:jc w:val="right"/>
            </w:pPr>
            <w:r>
              <w:t xml:space="preserve">0.983</w:t>
            </w:r>
          </w:p>
        </w:tc>
        <w:tc>
          <w:tcPr/>
          <w:p>
            <w:pPr>
              <w:pStyle w:val="Compact"/>
              <w:jc w:val="right"/>
            </w:pPr>
            <w:r>
              <w:t xml:space="preserve">0.638</w:t>
            </w:r>
          </w:p>
        </w:tc>
        <w:tc>
          <w:tcPr/>
          <w:p>
            <w:pPr>
              <w:pStyle w:val="Compact"/>
              <w:jc w:val="right"/>
            </w:pPr>
            <w:r>
              <w:t xml:space="preserve">0.803</w:t>
            </w:r>
          </w:p>
        </w:tc>
      </w:tr>
      <w:tr>
        <w:tc>
          <w:tcPr/>
          <w:p>
            <w:pPr>
              <w:pStyle w:val="Compact"/>
              <w:jc w:val="left"/>
            </w:pPr>
            <w:r>
              <w:t xml:space="preserve">edaphos ODE, attenuating rate (4 par)</w:t>
            </w:r>
          </w:p>
        </w:tc>
        <w:tc>
          <w:tcPr/>
          <w:p>
            <w:pPr>
              <w:pStyle w:val="Compact"/>
              <w:jc w:val="right"/>
            </w:pPr>
            <w:r>
              <w:t xml:space="preserve">1.653</w:t>
            </w:r>
          </w:p>
        </w:tc>
        <w:tc>
          <w:tcPr/>
          <w:p>
            <w:pPr>
              <w:pStyle w:val="Compact"/>
              <w:jc w:val="right"/>
            </w:pPr>
            <w:r>
              <w:t xml:space="preserve">1.161</w:t>
            </w:r>
          </w:p>
        </w:tc>
        <w:tc>
          <w:tcPr/>
          <w:p>
            <w:pPr>
              <w:pStyle w:val="Compact"/>
              <w:jc w:val="right"/>
            </w:pPr>
            <w:r>
              <w:t xml:space="preserve">0.782</w:t>
            </w:r>
          </w:p>
        </w:tc>
        <w:tc>
          <w:tcPr/>
          <w:p>
            <w:pPr>
              <w:pStyle w:val="Compact"/>
              <w:jc w:val="right"/>
            </w:pPr>
            <w:r>
              <w:t xml:space="preserve">0.771</w:t>
            </w:r>
          </w:p>
        </w:tc>
      </w:tr>
      <w:tr>
        <w:tc>
          <w:tcPr/>
          <w:p>
            <w:pPr>
              <w:pStyle w:val="Compact"/>
              <w:jc w:val="left"/>
            </w:pPr>
            <w:r>
              <w:t xml:space="preserve">nested exponential (3 par)</w:t>
            </w:r>
          </w:p>
        </w:tc>
        <w:tc>
          <w:tcPr/>
          <w:p>
            <w:pPr>
              <w:pStyle w:val="Compact"/>
              <w:jc w:val="right"/>
            </w:pPr>
            <w:r>
              <w:t xml:space="preserve">1.826</w:t>
            </w:r>
          </w:p>
        </w:tc>
        <w:tc>
          <w:tcPr/>
          <w:p>
            <w:pPr>
              <w:pStyle w:val="Compact"/>
              <w:jc w:val="right"/>
            </w:pPr>
            <w:r>
              <w:t xml:space="preserve">1.307</w:t>
            </w:r>
          </w:p>
        </w:tc>
        <w:tc>
          <w:tcPr/>
          <w:p>
            <w:pPr>
              <w:pStyle w:val="Compact"/>
              <w:jc w:val="right"/>
            </w:pPr>
            <w:r>
              <w:t xml:space="preserve">0.990</w:t>
            </w:r>
          </w:p>
        </w:tc>
        <w:tc>
          <w:tcPr/>
          <w:p>
            <w:pPr>
              <w:pStyle w:val="Compact"/>
              <w:jc w:val="right"/>
            </w:pPr>
            <w:r>
              <w:t xml:space="preserve">0.741</w:t>
            </w:r>
          </w:p>
        </w:tc>
      </w:tr>
      <w:tr>
        <w:tc>
          <w:tcPr/>
          <w:p>
            <w:pPr>
              <w:pStyle w:val="Compact"/>
              <w:jc w:val="left"/>
            </w:pPr>
            <w:r>
              <w:t xml:space="preserve">copy nearest training horizon</w:t>
            </w:r>
          </w:p>
        </w:tc>
        <w:tc>
          <w:tcPr/>
          <w:p>
            <w:pPr>
              <w:pStyle w:val="Compact"/>
              <w:jc w:val="right"/>
            </w:pPr>
            <w:r>
              <w:t xml:space="preserve">1.987</w:t>
            </w:r>
          </w:p>
        </w:tc>
        <w:tc>
          <w:tcPr/>
          <w:p>
            <w:pPr>
              <w:pStyle w:val="Compact"/>
              <w:jc w:val="right"/>
            </w:pPr>
            <w:r>
              <w:t xml:space="preserve">1.308</w:t>
            </w:r>
          </w:p>
        </w:tc>
        <w:tc>
          <w:tcPr/>
          <w:p>
            <w:pPr>
              <w:pStyle w:val="Compact"/>
              <w:jc w:val="right"/>
            </w:pPr>
            <w:r>
              <w:t xml:space="preserve">1.308</w:t>
            </w:r>
          </w:p>
        </w:tc>
        <w:tc>
          <w:tcPr/>
          <w:p>
            <w:pPr>
              <w:pStyle w:val="Compact"/>
              <w:jc w:val="right"/>
            </w:pPr>
            <w:r>
              <w:t xml:space="preserve">0.725</w:t>
            </w:r>
          </w:p>
        </w:tc>
      </w:tr>
      <w:tr>
        <w:tc>
          <w:tcPr/>
          <w:p>
            <w:pPr>
              <w:pStyle w:val="Compact"/>
              <w:jc w:val="left"/>
            </w:pPr>
            <w:r>
              <w:t xml:space="preserve">RF, depth as covariate (pooled)</w:t>
            </w:r>
          </w:p>
        </w:tc>
        <w:tc>
          <w:tcPr/>
          <w:p>
            <w:pPr>
              <w:pStyle w:val="Compact"/>
              <w:jc w:val="right"/>
            </w:pPr>
            <w:r>
              <w:t xml:space="preserve">2.391</w:t>
            </w:r>
          </w:p>
        </w:tc>
        <w:tc>
          <w:tcPr/>
          <w:p>
            <w:pPr>
              <w:pStyle w:val="Compact"/>
              <w:jc w:val="right"/>
            </w:pPr>
            <w:r>
              <w:t xml:space="preserve">1.915</w:t>
            </w:r>
          </w:p>
        </w:tc>
        <w:tc>
          <w:tcPr/>
          <w:p>
            <w:pPr>
              <w:pStyle w:val="Compact"/>
              <w:jc w:val="right"/>
            </w:pPr>
            <w:r>
              <w:t xml:space="preserve">1.208</w:t>
            </w:r>
          </w:p>
        </w:tc>
        <w:tc>
          <w:tcPr/>
          <w:p>
            <w:pPr>
              <w:pStyle w:val="Compact"/>
              <w:jc w:val="right"/>
            </w:pPr>
            <w:r>
              <w:t xml:space="preserve">0.223</w:t>
            </w:r>
          </w:p>
        </w:tc>
      </w:tr>
      <w:tr>
        <w:tc>
          <w:tcPr/>
          <w:p>
            <w:pPr>
              <w:pStyle w:val="Compact"/>
              <w:jc w:val="left"/>
            </w:pPr>
            <w:r>
              <w:t xml:space="preserve">profile mean</w:t>
            </w:r>
          </w:p>
        </w:tc>
        <w:tc>
          <w:tcPr/>
          <w:p>
            <w:pPr>
              <w:pStyle w:val="Compact"/>
              <w:jc w:val="right"/>
            </w:pPr>
            <w:r>
              <w:t xml:space="preserve">9.636</w:t>
            </w:r>
          </w:p>
        </w:tc>
        <w:tc>
          <w:tcPr/>
          <w:p>
            <w:pPr>
              <w:pStyle w:val="Compact"/>
              <w:jc w:val="right"/>
            </w:pPr>
            <w:r>
              <w:t xml:space="preserve">7.551</w:t>
            </w:r>
          </w:p>
        </w:tc>
        <w:tc>
          <w:tcPr/>
          <w:p>
            <w:pPr>
              <w:pStyle w:val="Compact"/>
              <w:jc w:val="right"/>
            </w:pPr>
            <w:r>
              <w:t xml:space="preserve">7.551</w:t>
            </w:r>
          </w:p>
        </w:tc>
        <w:tc>
          <w:tcPr/>
          <w:p>
            <w:pPr>
              <w:pStyle w:val="Compact"/>
              <w:jc w:val="right"/>
            </w:pPr>
            <w:r>
              <w:t xml:space="preserve">0.153</w:t>
            </w:r>
          </w:p>
        </w:tc>
      </w:tr>
    </w:tbl>
    <w:p>
      <w:pPr>
        <w:pStyle w:val="BodyText"/>
      </w:pPr>
      <w:r>
        <w:t xml:space="preserve">Inside its domain the ODE beats copying the nearest horizon on 492 of 875 profiles (paired Wilcoxon</w:t>
      </w:r>
      <w:r>
        <w:t xml:space="preserve"> </w:t>
      </w:r>
      <m:oMath>
        <m:r>
          <m:t>p</m:t>
        </m:r>
        <m:r>
          <m:rPr>
            <m:sty m:val="p"/>
          </m:rPr>
          <m:t>=</m:t>
        </m:r>
        <m:r>
          <m:t>1</m:t>
        </m:r>
        <m:r>
          <m:rPr>
            <m:sty m:val="p"/>
          </m:rPr>
          <m:t>×</m:t>
        </m:r>
        <m:sSup>
          <m:e>
            <m:r>
              <m:t>10</m:t>
            </m:r>
          </m:e>
          <m:sup>
            <m:r>
              <m:rPr>
                <m:sty m:val="p"/>
              </m:rPr>
              <m:t>−</m:t>
            </m:r>
            <m:r>
              <m:t>4</m:t>
            </m:r>
          </m:sup>
        </m:sSup>
      </m:oMath>
      <w:r>
        <w:t xml:space="preserve">), beats its own nested</w:t>
      </w:r>
      <w:r>
        <w:t xml:space="preserve"> </w:t>
      </w:r>
      <m:oMath>
        <m:r>
          <m:t>μ</m:t>
        </m:r>
        <m:r>
          <m:rPr>
            <m:sty m:val="p"/>
          </m:rPr>
          <m:t>=</m:t>
        </m:r>
        <m:r>
          <m:t>0</m:t>
        </m:r>
      </m:oMath>
      <w:r>
        <w:t xml:space="preserve"> </w:t>
      </w:r>
      <w:r>
        <w:t xml:space="preserve">special case on 648 (</w:t>
      </w:r>
      <m:oMath>
        <m:r>
          <m:t>p</m:t>
        </m:r>
        <m:r>
          <m:rPr>
            <m:sty m:val="p"/>
          </m:rPr>
          <m:t>=</m:t>
        </m:r>
        <m:r>
          <m:t>2</m:t>
        </m:r>
        <m:r>
          <m:rPr>
            <m:sty m:val="p"/>
          </m:rPr>
          <m:t>×</m:t>
        </m:r>
        <m:sSup>
          <m:e>
            <m:r>
              <m:t>10</m:t>
            </m:r>
          </m:e>
          <m:sup>
            <m:r>
              <m:rPr>
                <m:sty m:val="p"/>
              </m:rPr>
              <m:t>−</m:t>
            </m:r>
            <m:r>
              <m:t>52</m:t>
            </m:r>
          </m:sup>
        </m:sSup>
      </m:oMath>
      <w:r>
        <w:t xml:space="preserve">), and beats the pooled random forest on 601 (</w:t>
      </w:r>
      <m:oMath>
        <m:r>
          <m:t>p</m:t>
        </m:r>
        <m:r>
          <m:rPr>
            <m:sty m:val="p"/>
          </m:rPr>
          <m:t>=</m:t>
        </m:r>
        <m:r>
          <m:t>2</m:t>
        </m:r>
        <m:r>
          <m:rPr>
            <m:sty m:val="p"/>
          </m:rPr>
          <m:t>×</m:t>
        </m:r>
        <m:sSup>
          <m:e>
            <m:r>
              <m:t>10</m:t>
            </m:r>
          </m:e>
          <m:sup>
            <m:r>
              <m:rPr>
                <m:sty m:val="p"/>
              </m:rPr>
              <m:t>−</m:t>
            </m:r>
            <m:r>
              <m:t>36</m:t>
            </m:r>
          </m:sup>
        </m:sSup>
      </m:oMath>
      <w:r>
        <w:t xml:space="preserve">). Declaring the domain moves the RMSE from 14.15 to 1.65. The mechanism helps; it helps only where it applies; and the difference between those two sentences is the entire result.</w:t>
      </w:r>
    </w:p>
    <w:p>
      <w:pPr>
        <w:pStyle w:val="BodyText"/>
      </w:pPr>
      <w:r>
        <w:rPr>
          <w:b/>
          <w:bCs/>
        </w:rPr>
        <w:t xml:space="preserve">A derivable alternative, and it wins.</w:t>
      </w:r>
      <w:r>
        <w:t xml:space="preserve"> </w:t>
      </w:r>
      <w:r>
        <w:t xml:space="preserve">The equation above is not derived from anything. There is no process in soil physics that yields a relaxation rate decaying exponentially with depth; what the equation</w:t>
      </w:r>
      <w:r>
        <w:t xml:space="preserve"> </w:t>
      </w:r>
      <w:r>
        <w:rPr>
          <w:i/>
          <w:iCs/>
        </w:rPr>
        <w:t xml:space="preserve">is</w:t>
      </w:r>
      <w:r>
        <w:t xml:space="preserve">, exactly, is the Russell and Moore exponential depth function</w:t>
      </w:r>
      <w:r>
        <w:t xml:space="preserve"> </w:t>
      </w:r>
      <w:r>
        <w:t xml:space="preserve">[reviewed in 9]</w:t>
      </w:r>
      <w:r>
        <w:t xml:space="preserve"> </w:t>
      </w:r>
      <w:r>
        <w:t xml:space="preserve">carrying a fourth shape parameter. The defensible steady-state balance for soil carbon is an advection–reaction–diffusion equation</w:t>
      </w:r>
      <w:r>
        <w:t xml:space="preserve"> </w:t>
      </w:r>
      <w:r>
        <w:t xml:space="preserve">[10,11]</w:t>
      </w:r>
      <w:r>
        <w:t xml:space="preserve">. Dropping bioturbation, valid below the mixed surface layer, and writing</w:t>
      </w:r>
      <w:r>
        <w:t xml:space="preserve"> </w:t>
      </w:r>
      <m:oMath>
        <m:r>
          <m:t>v</m:t>
        </m:r>
      </m:oMath>
      <w:r>
        <w:t xml:space="preserve"> </w:t>
      </w:r>
      <w:r>
        <w:t xml:space="preserve">for the advection velocity and</w:t>
      </w:r>
      <w:r>
        <w:t xml:space="preserve"> </w:t>
      </w:r>
      <m:oMath>
        <m:r>
          <m:t>k</m:t>
        </m:r>
      </m:oMath>
      <w:r>
        <w:t xml:space="preserve"> </w:t>
      </w:r>
      <w:r>
        <w:t xml:space="preserve">for the decomposition rate constant,</w:t>
      </w:r>
    </w:p>
    <w:p>
      <w:pPr>
        <w:pStyle w:val="BodyText"/>
      </w:pPr>
      <m:oMathPara>
        <m:oMathParaPr>
          <m:jc m:val="center"/>
        </m:oMathParaPr>
        <m:oMath>
          <m:r>
            <m:t>v</m:t>
          </m:r>
          <m:f>
            <m:fPr>
              <m:type m:val="bar"/>
            </m:fPr>
            <m:num>
              <m:r>
                <m:t>d</m:t>
              </m:r>
              <m:r>
                <m:t>C</m:t>
              </m:r>
            </m:num>
            <m:den>
              <m:r>
                <m:t>d</m:t>
              </m:r>
              <m:r>
                <m:t>z</m:t>
              </m:r>
            </m:den>
          </m:f>
          <m:r>
            <m:rPr>
              <m:sty m:val="p"/>
            </m:rPr>
            <m:t>=</m:t>
          </m:r>
          <m:r>
            <m:t>I</m:t>
          </m:r>
          <m:r>
            <m:rPr>
              <m:sty m:val="p"/>
            </m:rPr>
            <m:t>(</m:t>
          </m:r>
          <m:r>
            <m:t>z</m:t>
          </m:r>
          <m:r>
            <m:rPr>
              <m:sty m:val="p"/>
            </m:rPr>
            <m:t>)</m:t>
          </m:r>
          <m:r>
            <m:rPr>
              <m:sty m:val="p"/>
            </m:rPr>
            <m:t>−</m:t>
          </m:r>
          <m:r>
            <m:t>k</m:t>
          </m:r>
          <m:r>
            <m:t>C</m:t>
          </m:r>
          <m:r>
            <m:t>  </m:t>
          </m:r>
          <m:r>
            <m:rPr>
              <m:sty m:val="p"/>
            </m:rPr>
            <m:t>⇔</m:t>
          </m:r>
          <m:r>
            <m:t>  </m:t>
          </m:r>
          <m:f>
            <m:fPr>
              <m:type m:val="bar"/>
            </m:fPr>
            <m:num>
              <m:r>
                <m:t>d</m:t>
              </m:r>
              <m:r>
                <m:t>C</m:t>
              </m:r>
            </m:num>
            <m:den>
              <m:r>
                <m:t>d</m:t>
              </m:r>
              <m:r>
                <m:t>z</m:t>
              </m:r>
            </m:den>
          </m:f>
          <m:r>
            <m:rPr>
              <m:sty m:val="p"/>
            </m:rPr>
            <m:t>=</m:t>
          </m:r>
          <m:r>
            <m:rPr>
              <m:sty m:val="p"/>
            </m:rPr>
            <m:t>−</m:t>
          </m:r>
          <m:r>
            <m:t>λ</m:t>
          </m:r>
          <m:d>
            <m:dPr>
              <m:begChr m:val="("/>
              <m:sepChr m:val=""/>
              <m:endChr m:val=")"/>
              <m:grow/>
            </m:dPr>
            <m:e>
              <m:r>
                <m:t>C</m:t>
              </m:r>
              <m:r>
                <m:rPr>
                  <m:sty m:val="p"/>
                </m:rPr>
                <m:t>−</m:t>
              </m:r>
              <m:f>
                <m:fPr>
                  <m:type m:val="bar"/>
                </m:fPr>
                <m:num>
                  <m:r>
                    <m:t>I</m:t>
                  </m:r>
                  <m:r>
                    <m:rPr>
                      <m:sty m:val="p"/>
                    </m:rPr>
                    <m:t>(</m:t>
                  </m:r>
                  <m:r>
                    <m:t>z</m:t>
                  </m:r>
                  <m:r>
                    <m:rPr>
                      <m:sty m:val="p"/>
                    </m:rPr>
                    <m:t>)</m:t>
                  </m:r>
                </m:num>
                <m:den>
                  <m:r>
                    <m:t>k</m:t>
                  </m:r>
                </m:den>
              </m:f>
            </m:e>
          </m:d>
          <m:r>
            <m:rPr>
              <m:sty m:val="p"/>
            </m:rPr>
            <m:t>,</m:t>
          </m:r>
          <m:r>
            <m:t> </m:t>
          </m:r>
          <m:r>
            <m:t>λ</m:t>
          </m:r>
          <m:r>
            <m:rPr>
              <m:sty m:val="p"/>
            </m:rPr>
            <m:t>=</m:t>
          </m:r>
          <m:r>
            <m:t>k</m:t>
          </m:r>
          <m:r>
            <m:rPr>
              <m:sty m:val="p"/>
            </m:rPr>
            <m:t>/</m:t>
          </m:r>
          <m:r>
            <m:t>v</m:t>
          </m:r>
          <m:r>
            <m:rPr>
              <m:sty m:val="p"/>
            </m:rPr>
            <m:t>.</m:t>
          </m:r>
        </m:oMath>
      </m:oMathPara>
    </w:p>
    <w:p>
      <w:pPr>
        <w:pStyle w:val="FirstParagraph"/>
      </w:pPr>
      <w:r>
        <w:t xml:space="preserve">That is a relaxation with a</w:t>
      </w:r>
      <w:r>
        <w:t xml:space="preserve"> </w:t>
      </w:r>
      <w:r>
        <w:rPr>
          <w:b/>
          <w:bCs/>
        </w:rPr>
        <w:t xml:space="preserve">constant</w:t>
      </w:r>
      <w:r>
        <w:t xml:space="preserve"> </w:t>
      </w:r>
      <w:r>
        <w:t xml:space="preserve">rate toward a</w:t>
      </w:r>
      <w:r>
        <w:t xml:space="preserve"> </w:t>
      </w:r>
      <w:r>
        <w:rPr>
          <w:b/>
          <w:bCs/>
        </w:rPr>
        <w:t xml:space="preserve">depth-varying</w:t>
      </w:r>
      <w:r>
        <w:t xml:space="preserve"> </w:t>
      </w:r>
      <w:r>
        <w:t xml:space="preserve">target. The depth-dependence belongs in the asymptote, not in the rate. Root carbon input declines exponentially with depth</w:t>
      </w:r>
      <w:r>
        <w:t xml:space="preserve"> </w:t>
      </w:r>
      <w:r>
        <w:t xml:space="preserve">[12,13]</w:t>
      </w:r>
      <w:r>
        <w:t xml:space="preserve">,</w:t>
      </w:r>
      <w:r>
        <w:t xml:space="preserve"> </w:t>
      </w:r>
      <m:oMath>
        <m:r>
          <m:t>I</m:t>
        </m:r>
        <m:r>
          <m:rPr>
            <m:sty m:val="p"/>
          </m:rPr>
          <m:t>(</m:t>
        </m:r>
        <m:r>
          <m:t>z</m:t>
        </m:r>
        <m:r>
          <m:rPr>
            <m:sty m:val="p"/>
          </m:rPr>
          <m:t>)</m:t>
        </m:r>
        <m:r>
          <m:rPr>
            <m:sty m:val="p"/>
          </m:rPr>
          <m:t>=</m:t>
        </m:r>
        <m:sSub>
          <m:e>
            <m:r>
              <m:t>I</m:t>
            </m:r>
          </m:e>
          <m:sub>
            <m:r>
              <m:t>0</m:t>
            </m:r>
          </m:sub>
        </m:sSub>
        <m:sSup>
          <m:e>
            <m:r>
              <m:t>e</m:t>
            </m:r>
          </m:e>
          <m:sup>
            <m:r>
              <m:rPr>
                <m:sty m:val="p"/>
              </m:rPr>
              <m:t>−</m:t>
            </m:r>
            <m:r>
              <m:t>z</m:t>
            </m:r>
            <m:r>
              <m:rPr>
                <m:sty m:val="p"/>
              </m:rPr>
              <m:t>/</m:t>
            </m:r>
            <m:sSub>
              <m:e>
                <m:r>
                  <m:t>z</m:t>
                </m:r>
              </m:e>
              <m:sub>
                <m:r>
                  <m:t>r</m:t>
                </m:r>
              </m:sub>
            </m:sSub>
          </m:sup>
        </m:sSup>
      </m:oMath>
      <w:r>
        <w:t xml:space="preserve">, so with a mineral-associated floor</w:t>
      </w:r>
      <w:r>
        <w:t xml:space="preserve"> </w:t>
      </w:r>
      <m:oMath>
        <m:r>
          <m:t>A</m:t>
        </m:r>
      </m:oMath>
      <w:r>
        <w:t xml:space="preserve"> </w:t>
      </w:r>
      <w:r>
        <w:t xml:space="preserve">the target is</w:t>
      </w:r>
      <w:r>
        <w:t xml:space="preserve"> </w:t>
      </w:r>
      <m:oMath>
        <m:r>
          <m:t>A</m:t>
        </m:r>
        <m:r>
          <m:rPr>
            <m:sty m:val="p"/>
          </m:rPr>
          <m:t>+</m:t>
        </m:r>
        <m:r>
          <m:t>B</m:t>
        </m:r>
        <m:sSup>
          <m:e>
            <m:r>
              <m:t>e</m:t>
            </m:r>
          </m:e>
          <m:sup>
            <m:r>
              <m:rPr>
                <m:sty m:val="p"/>
              </m:rPr>
              <m:t>−</m:t>
            </m:r>
            <m:r>
              <m:t>z</m:t>
            </m:r>
            <m:r>
              <m:rPr>
                <m:sty m:val="p"/>
              </m:rPr>
              <m:t>/</m:t>
            </m:r>
            <m:sSub>
              <m:e>
                <m:r>
                  <m:t>z</m:t>
                </m:r>
              </m:e>
              <m:sub>
                <m:r>
                  <m:t>r</m:t>
                </m:r>
              </m:sub>
            </m:sSub>
          </m:sup>
        </m:sSup>
      </m:oMath>
      <w:r>
        <w:t xml:space="preserve"> </w:t>
      </w:r>
      <w:r>
        <w:t xml:space="preserve">where</w:t>
      </w:r>
      <w:r>
        <w:t xml:space="preserve"> </w:t>
      </w:r>
      <m:oMath>
        <m:r>
          <m:t>B</m:t>
        </m:r>
        <m:r>
          <m:rPr>
            <m:sty m:val="p"/>
          </m:rPr>
          <m:t>=</m:t>
        </m:r>
        <m:sSub>
          <m:e>
            <m:r>
              <m:t>I</m:t>
            </m:r>
          </m:e>
          <m:sub>
            <m:r>
              <m:t>0</m:t>
            </m:r>
          </m:sub>
        </m:sSub>
        <m:r>
          <m:rPr>
            <m:sty m:val="p"/>
          </m:rPr>
          <m:t>/</m:t>
        </m:r>
        <m:r>
          <m:t>k</m:t>
        </m:r>
      </m:oMath>
      <w:r>
        <w:t xml:space="preserve">. This too is closed-form, its layer averages are analytic, and every parameter is positive with a literature prior —</w:t>
      </w:r>
      <w:r>
        <w:t xml:space="preserve"> </w:t>
      </w:r>
      <m:oMath>
        <m:sSub>
          <m:e>
            <m:r>
              <m:t>z</m:t>
            </m:r>
          </m:e>
          <m:sub>
            <m:r>
              <m:t>r</m:t>
            </m:r>
          </m:sub>
        </m:sSub>
      </m:oMath>
      <w:r>
        <w:t xml:space="preserve"> </w:t>
      </w:r>
      <w:r>
        <w:t xml:space="preserve">from the Jackson et al. rooting parameter,</w:t>
      </w:r>
      <w:r>
        <w:t xml:space="preserve"> </w:t>
      </w:r>
      <m:oMath>
        <m:r>
          <m:t>A</m:t>
        </m:r>
      </m:oMath>
      <w:r>
        <w:t xml:space="preserve"> </w:t>
      </w:r>
      <w:r>
        <w:t xml:space="preserve">from mineral-association saturation.</w:t>
      </w:r>
    </w:p>
    <w:p>
      <w:pPr>
        <w:pStyle w:val="BodyText"/>
      </w:pPr>
      <w:r>
        <w:t xml:space="preserve">On the same 875 profiles the derived model leads the table at RMSE 1.511 against 1.653, beating the attenuating-rate form on 467 of 875 profiles (</w:t>
      </w:r>
      <m:oMath>
        <m:r>
          <m:t>p</m:t>
        </m:r>
        <m:r>
          <m:rPr>
            <m:sty m:val="p"/>
          </m:rPr>
          <m:t>=</m:t>
        </m:r>
        <m:r>
          <m:t>2</m:t>
        </m:r>
        <m:r>
          <m:rPr>
            <m:sty m:val="p"/>
          </m:rPr>
          <m:t>×</m:t>
        </m:r>
        <m:sSup>
          <m:e>
            <m:r>
              <m:t>10</m:t>
            </m:r>
          </m:e>
          <m:sup>
            <m:r>
              <m:rPr>
                <m:sty m:val="p"/>
              </m:rPr>
              <m:t>−</m:t>
            </m:r>
            <m:r>
              <m:t>6</m:t>
            </m:r>
          </m:sup>
        </m:sSup>
      </m:oMath>
      <w:r>
        <w:t xml:space="preserve">). On the nine-horizon pedon it fits more than three times better, 0.415 against 1.342 g/kg. We therefore report the derived form as the better model on both counts — it is mechanistically defensible</w:t>
      </w:r>
      <w:r>
        <w:t xml:space="preserve"> </w:t>
      </w:r>
      <w:r>
        <w:rPr>
          <w:i/>
          <w:iCs/>
        </w:rPr>
        <w:t xml:space="preserve">and</w:t>
      </w:r>
      <w:r>
        <w:t xml:space="preserve"> </w:t>
      </w:r>
      <w:r>
        <w:t xml:space="preserve">more accurate — and retain the attenuating-rate equation because it is what the depth-function literature has used and it is the honest comparator.</w:t>
      </w:r>
    </w:p>
    <w:p>
      <w:pPr>
        <w:pStyle w:val="BodyText"/>
      </w:pPr>
      <w:r>
        <w:rPr>
          <w:b/>
          <w:bCs/>
        </w:rPr>
        <w:t xml:space="preserve">What we do not claim.</w:t>
      </w:r>
      <w:r>
        <w:t xml:space="preserve"> </w:t>
      </w:r>
      <w:r>
        <w:t xml:space="preserve">Three limits belong with this pillar. The model is monotone and cannot represent horizon differentiation; the 20.8% of profiles it excludes are not a rounding error but the pedologically most interesting ones. Carbon</w:t>
      </w:r>
      <w:r>
        <w:t xml:space="preserve"> </w:t>
      </w:r>
      <w:r>
        <w:rPr>
          <w:i/>
          <w:iCs/>
        </w:rPr>
        <w:t xml:space="preserve">stock</w:t>
      </w:r>
      <w:r>
        <w:t xml:space="preserve">, not concentration, is the quantity that is conserved and mapped, and we cannot validate against it here: WoSIS bulk density covers 3.9% of these horizons and only eight profiles completely, so a stock comparison would rest on a pedotransfer function rather than on measurement. And depth is not time — Jenny’s kinetics are written in</w:t>
      </w:r>
      <w:r>
        <w:t xml:space="preserve"> </w:t>
      </w:r>
      <m:oMath>
        <m:r>
          <m:t>t</m:t>
        </m:r>
      </m:oMath>
      <w:r>
        <w:t xml:space="preserve">, and substituting</w:t>
      </w:r>
      <w:r>
        <w:t xml:space="preserve"> </w:t>
      </w:r>
      <m:oMath>
        <m:r>
          <m:t>z</m:t>
        </m:r>
      </m:oMath>
      <w:r>
        <w:t xml:space="preserve"> </w:t>
      </w:r>
      <w:r>
        <w:t xml:space="preserve">for</w:t>
      </w:r>
      <w:r>
        <w:t xml:space="preserve"> </w:t>
      </w:r>
      <m:oMath>
        <m:r>
          <m:t>t</m:t>
        </m:r>
      </m:oMath>
      <w:r>
        <w:t xml:space="preserve"> </w:t>
      </w:r>
      <w:r>
        <w:t xml:space="preserve">is legitimate only through the advection velocity</w:t>
      </w:r>
      <w:r>
        <w:t xml:space="preserve"> </w:t>
      </w:r>
      <m:oMath>
        <m:r>
          <m:t>v</m:t>
        </m:r>
      </m:oMath>
      <w:r>
        <w:t xml:space="preserve">, which appears in the derived form above and nowhere in the original equation.</w:t>
      </w:r>
    </w:p>
    <w:p>
      <w:pPr>
        <w:pStyle w:val="Heading3"/>
      </w:pPr>
      <w:r>
        <w:t xml:space="preserve">Four-dimensional pedometry</w:t>
      </w:r>
    </w:p>
    <w:p>
      <w:pPr>
        <w:pStyle w:val="FirstParagraph"/>
      </w:pPr>
      <w:r>
        <w:t xml:space="preserve">The third pillar treats a soil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4 shows both halves of the pillar on a real Cerrado cube.</w:t>
      </w:r>
    </w:p>
    <w:p>
      <w:pPr>
        <w:pStyle w:val="BodyText"/>
      </w:pPr>
      <w:r>
        <w:drawing>
          <wp:inline>
            <wp:extent cx="5334000" cy="4312595"/>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4. Forecasting a field and assimilating observations into it.</w:t>
      </w:r>
      <w:r>
        <w:t xml:space="preserve"> </w:t>
      </w:r>
      <w:r>
        <w:t xml:space="preserve">(A) Observed and forecast vegetation index at three lead times over a 10 x 10 Cerrado grid. (B) The ten-member forecast ensemble at the cell the filter corrects most, against the observed trajectory. (C) Ensemble Kalman assimilation of eight in-situ observations (points): the prior field, the analysis, and the increment between them.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5 shows what the objective does and what the resulting embedding organises by.</w:t>
      </w:r>
    </w:p>
    <w:p>
      <w:pPr>
        <w:pStyle w:val="BodyText"/>
      </w:pPr>
      <w:r>
        <w:drawing>
          <wp:inline>
            <wp:extent cx="5334000" cy="4553414"/>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5.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6 shows the decision the pillar exists to make.</w:t>
      </w:r>
    </w:p>
    <w:p>
      <w:pPr>
        <w:pStyle w:val="BodyText"/>
      </w:pPr>
      <w:r>
        <w:drawing>
          <wp:inline>
            <wp:extent cx="5334000" cy="4741333"/>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6.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7 contrasts the resulting similarity structure with a Gaussian kernel on the same profiles.</w:t>
      </w:r>
    </w:p>
    <w:p>
      <w:pPr>
        <w:pStyle w:val="BodyText"/>
      </w:pPr>
      <w:r>
        <w:drawing>
          <wp:inline>
            <wp:extent cx="5334000" cy="4572000"/>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7.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8 shows the surface and, more importantly, its uncertainty.</w:t>
      </w:r>
    </w:p>
    <w:p>
      <w:pPr>
        <w:pStyle w:val="BodyText"/>
      </w:pPr>
      <w:r>
        <w:drawing>
          <wp:inline>
            <wp:extent cx="5334000" cy="4174434"/>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8.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9 shows the property that distinguishes an operator from a per-depth regression.</w:t>
      </w:r>
    </w:p>
    <w:p>
      <w:pPr>
        <w:pStyle w:val="BodyText"/>
      </w:pPr>
      <w:r>
        <w:drawing>
          <wp:inline>
            <wp:extent cx="5334000" cy="4713767"/>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9.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10 shows why this pillar needs a quantitative check rather than a visual one.</w:t>
      </w:r>
    </w:p>
    <w:p>
      <w:pPr>
        <w:pStyle w:val="BodyText"/>
      </w:pPr>
      <w:r>
        <w:drawing>
          <wp:inline>
            <wp:extent cx="5334000" cy="4589720"/>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10.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11 shows the graph that this pillar builds before any learning happens.</w:t>
      </w:r>
    </w:p>
    <w:p>
      <w:pPr>
        <w:pStyle w:val="BodyText"/>
      </w:pPr>
      <w:r>
        <w:drawing>
          <wp:inline>
            <wp:extent cx="5334000" cy="5470769"/>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11.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global mean of the whole dataset. The distinction is not pedantic. The global mean is computed partly from the very observations being scored, so a model compared against it is compared against an oracle, and reported skill is optimistic. Under the achievable null, a method that explains nothing scores zero and a method worse than predicting the training mean scores negative; three of our six methods do.</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[14]</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4 reports the matched benchmark. Read across the row rather than down the first column: accuracy (root-mean-square error, lower is better), skill against the achievable null, calibration (coverage near the nominal 0.90 and interval width), the proper score, and wall-clock cost.</w:t>
      </w:r>
    </w:p>
    <w:p>
      <w:pPr>
        <w:pStyle w:val="BodyText"/>
      </w:pPr>
      <w:r>
        <w:rPr>
          <w:b/>
          <w:bCs/>
        </w:rPr>
        <w:t xml:space="preserve">Table 4. Matched cross-pillar benchmark on real Cerrado profiles.</w:t>
      </w:r>
      <w:r>
        <w:t xml:space="preserve"> </w:t>
      </w:r>
      <w:r>
        <w:t xml:space="preserve">Six methods on the same spatially blocked folds and the same target transform. RMSE and CRPS: lower is better. R-squared is measured against each fold’s training mean; PICP should approach 0.90. Rows are ordered by RMSE.</w:t>
      </w:r>
    </w:p>
    <w:tbl>
      <w:tblPr>
        <w:tblStyle w:val="Table"/>
        <w:tblW w:type="pct" w:w="5000"/>
        <w:tblLayout w:type="fixed"/>
        <w:tblLook w:firstRow="1" w:lastRow="0" w:firstColumn="0" w:lastColumn="0" w:noHBand="0" w:noVBand="0" w:val="0020"/>
      </w:tblPr>
      <w:tblGrid>
        <w:gridCol w:w="3438"/>
        <w:gridCol w:w="625"/>
        <w:gridCol w:w="1042"/>
        <w:gridCol w:w="625"/>
        <w:gridCol w:w="625"/>
        <w:gridCol w:w="625"/>
        <w:gridCol w:w="937"/>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0.067</w:t>
            </w:r>
          </w:p>
        </w:tc>
        <w:tc>
          <w:tcPr/>
          <w:p>
            <w:pPr>
              <w:pStyle w:val="Compact"/>
              <w:jc w:val="right"/>
            </w:pPr>
            <w:r>
              <w:t xml:space="preserve">0.878</w:t>
            </w:r>
          </w:p>
        </w:tc>
        <w:tc>
          <w:tcPr/>
          <w:p>
            <w:pPr>
              <w:pStyle w:val="Compact"/>
              <w:jc w:val="right"/>
            </w:pPr>
            <w:r>
              <w:t xml:space="preserve">1.844</w:t>
            </w:r>
          </w:p>
        </w:tc>
        <w:tc>
          <w:tcPr/>
          <w:p>
            <w:pPr>
              <w:pStyle w:val="Compact"/>
              <w:jc w:val="right"/>
            </w:pPr>
            <w:r>
              <w:t xml:space="preserve">0.323</w:t>
            </w:r>
          </w:p>
        </w:tc>
        <w:tc>
          <w:tcPr/>
          <w:p>
            <w:pPr>
              <w:pStyle w:val="Compact"/>
              <w:jc w:val="right"/>
            </w:pPr>
            <w:r>
              <w:t xml:space="preserve">2.3</w:t>
            </w:r>
          </w:p>
        </w:tc>
      </w:tr>
      <w:tr>
        <w:tc>
          <w:tcPr/>
          <w:p>
            <w:pPr>
              <w:pStyle w:val="Compact"/>
              <w:jc w:val="left"/>
            </w:pPr>
            <w:r>
              <w:t xml:space="preserve">P5 QRF</w:t>
            </w:r>
          </w:p>
        </w:tc>
        <w:tc>
          <w:tcPr/>
          <w:p>
            <w:pPr>
              <w:pStyle w:val="Compact"/>
              <w:jc w:val="right"/>
            </w:pPr>
            <w:r>
              <w:t xml:space="preserve">0.589</w:t>
            </w:r>
          </w:p>
        </w:tc>
        <w:tc>
          <w:tcPr/>
          <w:p>
            <w:pPr>
              <w:pStyle w:val="Compact"/>
              <w:jc w:val="right"/>
            </w:pPr>
            <w:r>
              <w:t xml:space="preserve">0.051</w:t>
            </w:r>
          </w:p>
        </w:tc>
        <w:tc>
          <w:tcPr/>
          <w:p>
            <w:pPr>
              <w:pStyle w:val="Compact"/>
              <w:jc w:val="right"/>
            </w:pPr>
            <w:r>
              <w:t xml:space="preserve">0.872</w:t>
            </w:r>
          </w:p>
        </w:tc>
        <w:tc>
          <w:tcPr/>
          <w:p>
            <w:pPr>
              <w:pStyle w:val="Compact"/>
              <w:jc w:val="right"/>
            </w:pPr>
            <w:r>
              <w:t xml:space="preserve">1.830</w:t>
            </w:r>
          </w:p>
        </w:tc>
        <w:tc>
          <w:tcPr/>
          <w:p>
            <w:pPr>
              <w:pStyle w:val="Compact"/>
              <w:jc w:val="right"/>
            </w:pPr>
            <w:r>
              <w:t xml:space="preserve">0.321</w:t>
            </w:r>
          </w:p>
        </w:tc>
        <w:tc>
          <w:tcPr/>
          <w:p>
            <w:pPr>
              <w:pStyle w:val="Compact"/>
              <w:jc w:val="right"/>
            </w:pPr>
            <w:r>
              <w:t xml:space="preserve">1.6</w:t>
            </w:r>
          </w:p>
        </w:tc>
      </w:tr>
      <w:tr>
        <w:tc>
          <w:tcPr/>
          <w:p>
            <w:pPr>
              <w:pStyle w:val="Compact"/>
              <w:jc w:val="left"/>
            </w:pPr>
            <w:r>
              <w:t xml:space="preserve">P7 BHS</w:t>
            </w:r>
          </w:p>
        </w:tc>
        <w:tc>
          <w:tcPr/>
          <w:p>
            <w:pPr>
              <w:pStyle w:val="Compact"/>
              <w:jc w:val="right"/>
            </w:pPr>
            <w:r>
              <w:t xml:space="preserve">0.597</w:t>
            </w:r>
          </w:p>
        </w:tc>
        <w:tc>
          <w:tcPr/>
          <w:p>
            <w:pPr>
              <w:pStyle w:val="Compact"/>
              <w:jc w:val="right"/>
            </w:pPr>
            <w:r>
              <w:t xml:space="preserve">0.041</w:t>
            </w:r>
          </w:p>
        </w:tc>
        <w:tc>
          <w:tcPr/>
          <w:p>
            <w:pPr>
              <w:pStyle w:val="Compact"/>
              <w:jc w:val="right"/>
            </w:pPr>
            <w:r>
              <w:t xml:space="preserve">0.845</w:t>
            </w:r>
          </w:p>
        </w:tc>
        <w:tc>
          <w:tcPr/>
          <w:p>
            <w:pPr>
              <w:pStyle w:val="Compact"/>
              <w:jc w:val="right"/>
            </w:pPr>
            <w:r>
              <w:t xml:space="preserve">1.692</w:t>
            </w:r>
          </w:p>
        </w:tc>
        <w:tc>
          <w:tcPr/>
          <w:p>
            <w:pPr>
              <w:pStyle w:val="Compact"/>
              <w:jc w:val="right"/>
            </w:pPr>
            <w:r>
              <w:t xml:space="preserve">0.334</w:t>
            </w:r>
          </w:p>
        </w:tc>
        <w:tc>
          <w:tcPr/>
          <w:p>
            <w:pPr>
              <w:pStyle w:val="Compact"/>
              <w:jc w:val="right"/>
            </w:pPr>
            <w:r>
              <w:t xml:space="preserve">111.1</w:t>
            </w:r>
          </w:p>
        </w:tc>
      </w:tr>
      <w:tr>
        <w:tc>
          <w:tcPr/>
          <w:p>
            <w:pPr>
              <w:pStyle w:val="Compact"/>
              <w:jc w:val="left"/>
            </w:pPr>
            <w:r>
              <w:t xml:space="preserve">P4 Foundation embeddings + QRF</w:t>
            </w:r>
          </w:p>
        </w:tc>
        <w:tc>
          <w:tcPr/>
          <w:p>
            <w:pPr>
              <w:pStyle w:val="Compact"/>
              <w:jc w:val="right"/>
            </w:pPr>
            <w:r>
              <w:t xml:space="preserve">0.613</w:t>
            </w:r>
          </w:p>
        </w:tc>
        <w:tc>
          <w:tcPr/>
          <w:p>
            <w:pPr>
              <w:pStyle w:val="Compact"/>
              <w:jc w:val="right"/>
            </w:pPr>
            <w:r>
              <w:t xml:space="preserve">-0.003</w:t>
            </w:r>
          </w:p>
        </w:tc>
        <w:tc>
          <w:tcPr/>
          <w:p>
            <w:pPr>
              <w:pStyle w:val="Compact"/>
              <w:jc w:val="right"/>
            </w:pPr>
            <w:r>
              <w:t xml:space="preserve">0.884</w:t>
            </w:r>
          </w:p>
        </w:tc>
        <w:tc>
          <w:tcPr/>
          <w:p>
            <w:pPr>
              <w:pStyle w:val="Compact"/>
              <w:jc w:val="right"/>
            </w:pPr>
            <w:r>
              <w:t xml:space="preserve">2.143</w:t>
            </w:r>
          </w:p>
        </w:tc>
        <w:tc>
          <w:tcPr/>
          <w:p>
            <w:pPr>
              <w:pStyle w:val="Compact"/>
              <w:jc w:val="right"/>
            </w:pPr>
            <w:r>
              <w:t xml:space="preserve">0.336</w:t>
            </w:r>
          </w:p>
        </w:tc>
        <w:tc>
          <w:tcPr/>
          <w:p>
            <w:pPr>
              <w:pStyle w:val="Compact"/>
              <w:jc w:val="right"/>
            </w:pPr>
            <w:r>
              <w:t xml:space="preserve">80.6</w:t>
            </w:r>
          </w:p>
        </w:tc>
      </w:tr>
      <w:tr>
        <w:tc>
          <w:tcPr/>
          <w:p>
            <w:pPr>
              <w:pStyle w:val="Compact"/>
              <w:jc w:val="left"/>
            </w:pPr>
            <w:r>
              <w:t xml:space="preserve">P10 GAT (trained attention)</w:t>
            </w:r>
          </w:p>
        </w:tc>
        <w:tc>
          <w:tcPr/>
          <w:p>
            <w:pPr>
              <w:pStyle w:val="Compact"/>
              <w:jc w:val="right"/>
            </w:pPr>
            <w:r>
              <w:t xml:space="preserve">0.621</w:t>
            </w:r>
          </w:p>
        </w:tc>
        <w:tc>
          <w:tcPr/>
          <w:p>
            <w:pPr>
              <w:pStyle w:val="Compact"/>
              <w:jc w:val="right"/>
            </w:pPr>
            <w:r>
              <w:t xml:space="preserve">-0.080</w:t>
            </w:r>
          </w:p>
        </w:tc>
        <w:tc>
          <w:tcPr/>
          <w:p>
            <w:pPr>
              <w:pStyle w:val="Compact"/>
              <w:jc w:val="right"/>
            </w:pPr>
            <w:r>
              <w:t xml:space="preserve">0.745</w:t>
            </w:r>
          </w:p>
        </w:tc>
        <w:tc>
          <w:tcPr/>
          <w:p>
            <w:pPr>
              <w:pStyle w:val="Compact"/>
              <w:jc w:val="right"/>
            </w:pPr>
            <w:r>
              <w:t xml:space="preserve">1.442</w:t>
            </w:r>
          </w:p>
        </w:tc>
        <w:tc>
          <w:tcPr/>
          <w:p>
            <w:pPr>
              <w:pStyle w:val="Compact"/>
              <w:jc w:val="right"/>
            </w:pPr>
            <w:r>
              <w:t xml:space="preserve">0.367</w:t>
            </w:r>
          </w:p>
        </w:tc>
        <w:tc>
          <w:tcPr/>
          <w:p>
            <w:pPr>
              <w:pStyle w:val="Compact"/>
              <w:jc w:val="right"/>
            </w:pPr>
            <w:r>
              <w:t xml:space="preserve">36.1</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-0.184</w:t>
            </w:r>
          </w:p>
        </w:tc>
        <w:tc>
          <w:tcPr/>
          <w:p>
            <w:pPr>
              <w:pStyle w:val="Compact"/>
              <w:jc w:val="right"/>
            </w:pPr>
            <w:r>
              <w:t xml:space="preserve">0.476</w:t>
            </w:r>
          </w:p>
        </w:tc>
        <w:tc>
          <w:tcPr/>
          <w:p>
            <w:pPr>
              <w:pStyle w:val="Compact"/>
              <w:jc w:val="right"/>
            </w:pPr>
            <w:r>
              <w:t xml:space="preserve">0.863</w:t>
            </w:r>
          </w:p>
        </w:tc>
        <w:tc>
          <w:tcPr/>
          <w:p>
            <w:pPr>
              <w:pStyle w:val="Compact"/>
              <w:jc w:val="right"/>
            </w:pPr>
            <w:r>
              <w:t xml:space="preserve">0.417</w:t>
            </w:r>
          </w:p>
        </w:tc>
        <w:tc>
          <w:tcPr/>
          <w:p>
            <w:pPr>
              <w:pStyle w:val="Compact"/>
              <w:jc w:val="right"/>
            </w:pPr>
            <w:r>
              <w:t xml:space="preserve">715.4</w:t>
            </w:r>
          </w:p>
        </w:tc>
      </w:tr>
    </w:tbl>
    <w:p>
      <w:pPr>
        <w:pStyle w:val="BodyText"/>
      </w:pPr>
      <w:r>
        <w:t xml:space="preserve">Ordinary least squares restricted to the covariates in the backdoor adjustment set has the lowest error (0.583) and the highest skill (0.067), and its coverage (0.878) is close to nominal. The quantile random forest is a close second at a comparable cost. The three methods with the greatest representational capacity — foundation-model embeddings, the graph attention network, and the quantum kernel — rank last, and all three fall below the achievable null: on spatially blocked folds they explain less of the variation than predicting each training partition’s mean. The quantum kernel is simultaneously the least accurate and, at 715 s against 2.3 s for the baseline, several hundred times the most expensive.</w:t>
      </w:r>
    </w:p>
    <w:p>
      <w:pPr>
        <w:pStyle w:val="BodyText"/>
      </w:pPr>
      <w:r>
        <w:t xml:space="preserve">Fig 12 shows the same result geometrically, and makes the calibration and cost arguments that the accuracy column alone cannot.</w:t>
      </w:r>
    </w:p>
    <w:p>
      <w:pPr>
        <w:pStyle w:val="BodyText"/>
      </w:pPr>
      <w:r>
        <w:drawing>
          <wp:inline>
            <wp:extent cx="5334000" cy="4290391"/>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12. Six methods on the same folds.</w:t>
      </w:r>
      <w:r>
        <w:t xml:space="preserve"> </w:t>
      </w:r>
      <w:r>
        <w:t xml:space="preserve">(A) Predictive accuracy; bars are red where the method explains less than the achievable null. (B) Skill against that null. (C) Calibration against sharpness: the shaded band is within four points of nominal 90% coverage, and the quantum kernel is both the sharpest and the least covered, an overconfidence invisible in panel A. (D) Wall-clock cost on a log scale; the least accurate method is also the most expensive.</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4, whose bundle is bound to the current code by the test suite.</w:t>
      </w:r>
    </w:p>
    <w:p>
      <w:pPr>
        <w:pStyle w:val="Heading2"/>
      </w:pPr>
      <w:r>
        <w:t xml:space="preserve">Backdoor adjustment yields robust associations, and exposes confounding</w:t>
      </w:r>
    </w:p>
    <w:p>
      <w:pPr>
        <w:pStyle w:val="FirstParagraph"/>
      </w:pPr>
      <w:r>
        <w:t xml:space="preserve">Table 5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5.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t xml:space="preserve">Fig 13 shows the four exposures before and after adjustment, together with the confounding each estimate could withstand.</w:t>
      </w:r>
    </w:p>
    <w:p>
      <w:pPr>
        <w:pStyle w:val="BodyText"/>
      </w:pPr>
      <w:r>
        <w:drawing>
          <wp:inline>
            <wp:extent cx="5334000" cy="5053263"/>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13.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5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w:t>
      </w:r>
    </w:p>
    <w:p>
      <w:pPr>
        <w:pStyle w:val="BodyText"/>
      </w:pPr>
      <w:r>
        <w:t xml:space="preserve">That pooled test has an obvious objection, and it is worth answering rather than leaving open. Soil profiles are spatially autocorrelated, so treating 3,077 of them as independent observations overstates the effective sample size and will reject independencies a spatially aware test would not. Residualising every variable on a thin-plate spline of position before testing — and charging the smoother its degrees of freedom — reduces the count to</w:t>
      </w:r>
      <w:r>
        <w:t xml:space="preserve"> </w:t>
      </w:r>
      <w:r>
        <w:rPr>
          <w:b/>
          <w:bCs/>
        </w:rPr>
        <w:t xml:space="preserve">28 of 37</w:t>
      </w:r>
      <w:r>
        <w:t xml:space="preserve">. Nine individual independencies change verdict in one direction or the other. The conclusion is unchanged in kind: the graph, as drawn from published pedogenetic knowledge, is not compatible with the covariance structure of the data it is applied to, on either test. But the</w:t>
      </w:r>
      <w:r>
        <w:t xml:space="preserve"> </w:t>
      </w:r>
      <w:r>
        <w:rPr>
          <w:i/>
          <w:iCs/>
        </w:rPr>
        <w:t xml:space="preserve">count</w:t>
      </w:r>
      <w:r>
        <w:t xml:space="preserve"> </w:t>
      </w:r>
      <w:r>
        <w:t xml:space="preserve">moves with the treatment of spatial structure, and we report both rather than the more striking one.</w:t>
      </w:r>
      <w:r>
        <w:t xml:space="preserve"> </w:t>
      </w:r>
      <w:r>
        <w:rPr>
          <w:rStyle w:val="VerbatimChar"/>
        </w:rPr>
        <w:t xml:space="preserve">causal_dag_test()</w:t>
      </w:r>
      <w:r>
        <w:t xml:space="preserve"> </w:t>
      </w:r>
      <w:r>
        <w:t xml:space="preserve">runs both on any graph and data frame.</w:t>
      </w:r>
    </w:p>
    <w:p>
      <w:pPr>
        <w:pStyle w:val="BodyText"/>
      </w:pPr>
      <w:r>
        <w:t xml:space="preserve">This is a substantive negative result, and it propagates: an adjustment set is only minimal-and-sufficient relative to a graph, so a falsified graph undermines the identification argument for every estimate in Table 5,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three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p>
      <w:pPr>
        <w:pStyle w:val="Bibliography"/>
      </w:pPr>
      <w:r>
        <w:t xml:space="preserve">1.</w:t>
      </w:r>
      <w:r>
        <w:t xml:space="preserve"> </w:t>
      </w:r>
      <w:r>
        <w:t xml:space="preserve">	</w:t>
      </w:r>
      <w:r>
        <w:t xml:space="preserve">McBratney AB, Mendonça Santos ML, Minasny B. On digital soil mapping. Geoderma. 2003;117: 3–52. doi:</w:t>
      </w:r>
      <w:hyperlink r:id="rId49">
        <w:r>
          <w:rPr>
            <w:rStyle w:val="Hyperlink"/>
          </w:rPr>
          <w:t xml:space="preserve">10.1016/S0016-7061(03)00223-4</w:t>
        </w:r>
      </w:hyperlink>
    </w:p>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1">
        <w:r>
          <w:rPr>
            <w:rStyle w:val="Hyperlink"/>
          </w:rPr>
          <w:t xml:space="preserve">10.1016/j.earscirev.2020.103359</w:t>
        </w:r>
      </w:hyperlink>
    </w:p>
    <w:p>
      <w:pPr>
        <w:pStyle w:val="Bibliography"/>
      </w:pPr>
      <w:r>
        <w:t xml:space="preserve">3.</w:t>
      </w:r>
      <w:r>
        <w:t xml:space="preserve"> </w:t>
      </w:r>
      <w:r>
        <w:t xml:space="preserve">	</w:t>
      </w:r>
      <w:r>
        <w:t xml:space="preserve">Zhang L, Wadoux AMJ-C. Can digital soil mapping be causal? European Journal of Soil Science. 2026;77: e70284. doi:</w:t>
      </w:r>
      <w:hyperlink r:id="rId53">
        <w:r>
          <w:rPr>
            <w:rStyle w:val="Hyperlink"/>
          </w:rPr>
          <w:t xml:space="preserve">10.1111/ejss.70284</w:t>
        </w:r>
      </w:hyperlink>
    </w:p>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5">
        <w:r>
          <w:rPr>
            <w:rStyle w:val="Hyperlink"/>
          </w:rPr>
          <w:t xml:space="preserve">10.5194/essd-16-4735-2024</w:t>
        </w:r>
      </w:hyperlink>
    </w:p>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57">
        <w:r>
          <w:rPr>
            <w:rStyle w:val="Hyperlink"/>
          </w:rPr>
          <w:t xml:space="preserve">10.1002/joc.5086</w:t>
        </w:r>
      </w:hyperlink>
    </w:p>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59">
        <w:r>
          <w:rPr>
            <w:rStyle w:val="Hyperlink"/>
          </w:rPr>
          <w:t xml:space="preserve">10.1371/journal.pone.0169748</w:t>
        </w:r>
      </w:hyperlink>
    </w:p>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1">
        <w:r>
          <w:rPr>
            <w:rStyle w:val="Hyperlink"/>
          </w:rPr>
          <w:t xml:space="preserve">10.1016/S0016-7061(99)00003-8</w:t>
        </w:r>
      </w:hyperlink>
    </w:p>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3">
        <w:r>
          <w:rPr>
            <w:rStyle w:val="Hyperlink"/>
          </w:rPr>
          <w:t xml:space="preserve">10.1016/j.geoderma.2009.10.007</w:t>
        </w:r>
      </w:hyperlink>
    </w:p>
    <w:p>
      <w:pPr>
        <w:pStyle w:val="Bibliography"/>
      </w:pPr>
      <w:r>
        <w:t xml:space="preserve">9.</w:t>
      </w:r>
      <w:r>
        <w:t xml:space="preserve"> </w:t>
      </w:r>
      <w:r>
        <w:t xml:space="preserve">	</w:t>
      </w:r>
      <w:r>
        <w:t xml:space="preserve">Minasny B, McBratney AB. Digital soil mapping: A brief history and some lessons learned. Geoderma. 2016;264: 301–311. doi:</w:t>
      </w:r>
      <w:hyperlink r:id="rId65">
        <w:r>
          <w:rPr>
            <w:rStyle w:val="Hyperlink"/>
          </w:rPr>
          <w:t xml:space="preserve">10.1016/j.geoderma.2015.07.017</w:t>
        </w:r>
      </w:hyperlink>
    </w:p>
    <w:p>
      <w:pPr>
        <w:pStyle w:val="Bibliography"/>
      </w:pPr>
      <w:r>
        <w:t xml:space="preserve">10.</w:t>
      </w:r>
      <w:r>
        <w:t xml:space="preserve"> </w:t>
      </w:r>
      <w:r>
        <w:t xml:space="preserve">	</w:t>
      </w:r>
      <w:r>
        <w:t xml:space="preserve">Elzein A, Balesdent J. Mechanistic simulation of vertical distribution of carbon concentrations and residence times in soils. Soil Science Society of America Journal. 1995;59: 1328–1335. doi:</w:t>
      </w:r>
      <w:hyperlink r:id="rId67">
        <w:r>
          <w:rPr>
            <w:rStyle w:val="Hyperlink"/>
          </w:rPr>
          <w:t xml:space="preserve">10.2136/sssaj1995.03615995005900050019x</w:t>
        </w:r>
      </w:hyperlink>
    </w:p>
    <w:p>
      <w:pPr>
        <w:pStyle w:val="Bibliography"/>
      </w:pPr>
      <w:r>
        <w:t xml:space="preserve">11.</w:t>
      </w:r>
      <w:r>
        <w:t xml:space="preserve"> </w:t>
      </w:r>
      <w:r>
        <w:t xml:space="preserve">	</w:t>
      </w:r>
      <w:r>
        <w:t xml:space="preserve">Braakhekke MC, Beer C, Hoosbeek MR, Reichstein M, Kruijt B, Schrumpf M, et al.</w:t>
      </w:r>
      <w:r>
        <w:t xml:space="preserve"> </w:t>
      </w:r>
      <w:r>
        <w:t xml:space="preserve">SOMPROF</w:t>
      </w:r>
      <w:r>
        <w:t xml:space="preserve">: A vertically explicit soil organic matter model. Ecological Modelling. 2011;222: 1712–1730. doi:</w:t>
      </w:r>
      <w:hyperlink r:id="rId69">
        <w:r>
          <w:rPr>
            <w:rStyle w:val="Hyperlink"/>
          </w:rPr>
          <w:t xml:space="preserve">10.1016/j.ecolmodel.2011.02.015</w:t>
        </w:r>
      </w:hyperlink>
    </w:p>
    <w:p>
      <w:pPr>
        <w:pStyle w:val="Bibliography"/>
      </w:pPr>
      <w:r>
        <w:t xml:space="preserve">12.</w:t>
      </w:r>
      <w:r>
        <w:t xml:space="preserve"> </w:t>
      </w:r>
      <w:r>
        <w:t xml:space="preserve">	</w:t>
      </w:r>
      <w:r>
        <w:t xml:space="preserve">Gale MR, Grigal DF. Vertical root distributions of northern tree species in relation to successional status. Canadian Journal of Forest Research. 1987;17: 829–834. doi:</w:t>
      </w:r>
      <w:hyperlink r:id="rId71">
        <w:r>
          <w:rPr>
            <w:rStyle w:val="Hyperlink"/>
          </w:rPr>
          <w:t xml:space="preserve">10.1139/x87-131</w:t>
        </w:r>
      </w:hyperlink>
    </w:p>
    <w:p>
      <w:pPr>
        <w:pStyle w:val="Bibliography"/>
      </w:pPr>
      <w:r>
        <w:t xml:space="preserve">13.</w:t>
      </w:r>
      <w:r>
        <w:t xml:space="preserve"> </w:t>
      </w:r>
      <w:r>
        <w:t xml:space="preserve">	</w:t>
      </w:r>
      <w:r>
        <w:t xml:space="preserve">Jackson RB, Canadell J, Ehleringer JR, Mooney HA, Sala OE, Schulze ED. A global analysis of root distributions for terrestrial biomes. Oecologia. 1996;108: 389–411. doi:</w:t>
      </w:r>
      <w:hyperlink r:id="rId73">
        <w:r>
          <w:rPr>
            <w:rStyle w:val="Hyperlink"/>
          </w:rPr>
          <w:t xml:space="preserve">10.1007/BF00333714</w:t>
        </w:r>
      </w:hyperlink>
    </w:p>
    <w:p>
      <w:pPr>
        <w:pStyle w:val="Bibliography"/>
      </w:pPr>
      <w:r>
        <w:t xml:space="preserve">14.</w:t>
      </w:r>
      <w:r>
        <w:t xml:space="preserve"> </w:t>
      </w:r>
      <w:r>
        <w:t xml:space="preserve">	</w:t>
      </w:r>
      <w:r>
        <w:t xml:space="preserve">Cinelli C, Hazlett C. Making sense of sensitivity: Extending omitted variable bias. Journal of the Royal Statistical Society: Series B. 2020;82: 39–67. doi:</w:t>
      </w:r>
      <w:hyperlink r:id="rId75">
        <w:r>
          <w:rPr>
            <w:rStyle w:val="Hyperlink"/>
          </w:rPr>
          <w:t xml:space="preserve">10.1111/rssb.12348</w:t>
        </w:r>
      </w:hyperlink>
    </w:p>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57" Target="https://doi.org/10.1002/joc.5086" TargetMode="External" /><Relationship Type="http://schemas.openxmlformats.org/officeDocument/2006/relationships/hyperlink" Id="rId73" Target="https://doi.org/10.1007/BF00333714" TargetMode="External" /><Relationship Type="http://schemas.openxmlformats.org/officeDocument/2006/relationships/hyperlink" Id="rId49" Target="https://doi.org/10.1016/S0016-7061(03)00223-4" TargetMode="External" /><Relationship Type="http://schemas.openxmlformats.org/officeDocument/2006/relationships/hyperlink" Id="rId61" Target="https://doi.org/10.1016/S0016-7061(99)00003-8" TargetMode="External" /><Relationship Type="http://schemas.openxmlformats.org/officeDocument/2006/relationships/hyperlink" Id="rId51" Target="https://doi.org/10.1016/j.earscirev.2020.103359" TargetMode="External" /><Relationship Type="http://schemas.openxmlformats.org/officeDocument/2006/relationships/hyperlink" Id="rId69" Target="https://doi.org/10.1016/j.ecolmodel.2011.02.015" TargetMode="External" /><Relationship Type="http://schemas.openxmlformats.org/officeDocument/2006/relationships/hyperlink" Id="rId63" Target="https://doi.org/10.1016/j.geoderma.2009.10.007" TargetMode="External" /><Relationship Type="http://schemas.openxmlformats.org/officeDocument/2006/relationships/hyperlink" Id="rId65" Target="https://doi.org/10.1016/j.geoderma.2015.07.017" TargetMode="External" /><Relationship Type="http://schemas.openxmlformats.org/officeDocument/2006/relationships/hyperlink" Id="rId53" Target="https://doi.org/10.1111/ejss.70284" TargetMode="External" /><Relationship Type="http://schemas.openxmlformats.org/officeDocument/2006/relationships/hyperlink" Id="rId75" Target="https://doi.org/10.1111/rssb.12348" TargetMode="External" /><Relationship Type="http://schemas.openxmlformats.org/officeDocument/2006/relationships/hyperlink" Id="rId71" Target="https://doi.org/10.1139/x87-131" TargetMode="External" /><Relationship Type="http://schemas.openxmlformats.org/officeDocument/2006/relationships/hyperlink" Id="rId59" Target="https://doi.org/10.1371/journal.pone.0169748" TargetMode="External" /><Relationship Type="http://schemas.openxmlformats.org/officeDocument/2006/relationships/hyperlink" Id="rId67" Target="https://doi.org/10.2136/sssaj1995.03615995005900050019x" TargetMode="External" /><Relationship Type="http://schemas.openxmlformats.org/officeDocument/2006/relationships/hyperlink" Id="rId55"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2/joc.5086" TargetMode="External" /><Relationship Type="http://schemas.openxmlformats.org/officeDocument/2006/relationships/hyperlink" Id="rId73" Target="https://doi.org/10.1007/BF00333714" TargetMode="External" /><Relationship Type="http://schemas.openxmlformats.org/officeDocument/2006/relationships/hyperlink" Id="rId49" Target="https://doi.org/10.1016/S0016-7061(03)00223-4" TargetMode="External" /><Relationship Type="http://schemas.openxmlformats.org/officeDocument/2006/relationships/hyperlink" Id="rId61" Target="https://doi.org/10.1016/S0016-7061(99)00003-8" TargetMode="External" /><Relationship Type="http://schemas.openxmlformats.org/officeDocument/2006/relationships/hyperlink" Id="rId51" Target="https://doi.org/10.1016/j.earscirev.2020.103359" TargetMode="External" /><Relationship Type="http://schemas.openxmlformats.org/officeDocument/2006/relationships/hyperlink" Id="rId69" Target="https://doi.org/10.1016/j.ecolmodel.2011.02.015" TargetMode="External" /><Relationship Type="http://schemas.openxmlformats.org/officeDocument/2006/relationships/hyperlink" Id="rId63" Target="https://doi.org/10.1016/j.geoderma.2009.10.007" TargetMode="External" /><Relationship Type="http://schemas.openxmlformats.org/officeDocument/2006/relationships/hyperlink" Id="rId65" Target="https://doi.org/10.1016/j.geoderma.2015.07.017" TargetMode="External" /><Relationship Type="http://schemas.openxmlformats.org/officeDocument/2006/relationships/hyperlink" Id="rId53" Target="https://doi.org/10.1111/ejss.70284" TargetMode="External" /><Relationship Type="http://schemas.openxmlformats.org/officeDocument/2006/relationships/hyperlink" Id="rId75" Target="https://doi.org/10.1111/rssb.12348" TargetMode="External" /><Relationship Type="http://schemas.openxmlformats.org/officeDocument/2006/relationships/hyperlink" Id="rId71" Target="https://doi.org/10.1139/x87-131" TargetMode="External" /><Relationship Type="http://schemas.openxmlformats.org/officeDocument/2006/relationships/hyperlink" Id="rId59" Target="https://doi.org/10.1371/journal.pone.0169748" TargetMode="External" /><Relationship Type="http://schemas.openxmlformats.org/officeDocument/2006/relationships/hyperlink" Id="rId67" Target="https://doi.org/10.2136/sssaj1995.03615995005900050019x" TargetMode="External" /><Relationship Type="http://schemas.openxmlformats.org/officeDocument/2006/relationships/hyperlink" Id="rId55"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2026-08-05T02:58:12Z</dcterms:created>
  <dcterms:modified xsi:type="dcterms:W3CDTF">2026-08-05T02:58:12Z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