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 the typical profile and fails without warning on a small minority, and no scope statement available at fit time separates the two: over 1,105 real multi-horizon profiles the pedogenetic equation dy/dz = −λ₀e^(−μz)(y − y∞) predicts a held-out deepest horizon with a median absolute error of 0.76 g/kg and beats every baseline tested on paired comparison, while ten profiles carrying buried organic horizons — 1.1% of the set — account for 99% of its squared error, and the size of that failure correlates with nothing measurable in the horizons above it (|r| &lt; 0.03). We also show that the equation’s own solution does not converge to y∞ — the attainable deep value is y∞ + (y₀ − y∞)e^(−λ₀/μ), which the data identify while y∞ itself is unidentified and reaches into negative carbon — that a Gaussian likelihood on g/kg is the wrong observation model for a positive skewed concentration and costs real predictive accuracy, since replacing it wins on 720 of 1,105 profiles; and that an alternative derived from a steady-state carbon balance, in which the depth-dependence sits in the asymptote rather than in the rate, is mechanistically defensible at no cost in accuracy, the two being statistically indistinguishable once both are correctly specified.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two of them fall below the achievable null of the training-fold mean. That comparison is made on spatially blocked folds carrying a 68 km buffer, set from the longest identified variogram range in these data (69 km on the current fits); removing the buffer improves every method slightly and the graph attention network most, as a method built on a spatial neighbour graph should be, but it does not change the ranking. We further show that a pooled coverage rate hides where an interval is wrong: over held-out profiles lying 68 to 870 km from the nearest training profile, the geostatistical model’s interval width tracks that distance (Spearman 0.74, and 0.72 after removing covariate-space distance) while the graph network’s does not (-0.05, and -0.08 partial) even though its error does (0.11, p = 0.0004) – so the only method whose predictive variance is a function of where the prediction is being made is the only one that widens where it should. Third, backdoor adjustment yields robust associations with explicit sensitivity bounds rather than identified causal effects, and adjustment collapses an apparent tree-cover association to near zero, demonstrating confounding directly; we also report that in these data the exposure postdates the outcome by a median of 38 years, which forecloses a causal reading on temporal grounds alone and which no adjustment set can repair.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A note on one word, because this paper uses it in two unrelated senses and they sit close together.</w:t>
      </w:r>
      <w:r>
        <w:t xml:space="preserve"> </w:t>
      </w:r>
      <w:r>
        <w:rPr>
          <w:i/>
          <w:iCs/>
        </w:rPr>
        <w:t xml:space="preserve">Generative</w:t>
      </w:r>
      <w:r>
        <w:t xml:space="preserve"> </w:t>
      </w:r>
      <w:r>
        <w:t xml:space="preserve">in the causal sense above means that the mechanism producing the soil property is written down explicitly, so the model asserts how the world works; that is what Pillar 2’s differential equation attempts.</w:t>
      </w:r>
      <w:r>
        <w:t xml:space="preserve"> </w:t>
      </w:r>
      <w:r>
        <w:rPr>
          <w:i/>
          <w:iCs/>
        </w:rPr>
        <w:t xml:space="preserve">Generative</w:t>
      </w:r>
      <w:r>
        <w:t xml:space="preserve"> </w:t>
      </w:r>
      <w:r>
        <w:t xml:space="preserve">in the machine-learning sense means a model of the joint distribution from which whole realisations can be drawn; that is what Pillar 9’s denoising diffusion model does. The second does not imply the first. A diffusion model can reproduce the spatial statistics of a soil map perfectly while encoding no process at all, and nothing in this paper should be read as claiming that Pillar 9 supports causal inference. Where the distinction matters below we say</w:t>
      </w:r>
      <w:r>
        <w:t xml:space="preserve"> </w:t>
      </w:r>
      <w:r>
        <w:rPr>
          <w:i/>
          <w:iCs/>
        </w:rPr>
        <w:t xml:space="preserve">generative-mechanistic</w:t>
      </w:r>
      <w:r>
        <w:t xml:space="preserve"> </w:t>
      </w:r>
      <w:r>
        <w:t xml:space="preserve">or</w:t>
      </w:r>
      <w:r>
        <w:t xml:space="preserve"> </w:t>
      </w:r>
      <w:r>
        <w:rPr>
          <w:i/>
          <w:iCs/>
        </w:rPr>
        <w:t xml:space="preserve">generative-probabilistic</w:t>
      </w:r>
      <w:r>
        <w:t xml:space="preserv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otherwise incompatible method families — quantile forests, Gibbs samplers, bootstrap ensembles, kernel ridge, contrastive encoders — to a common currency, so that accuracy, coverage and proper scores are comparable across them. Seven of the ten pillars carry a coercion into that class. Three do not, and we say which and why rather than implying completeness: the neural-operator and diffusion pillars return field-valued objects for which a per-site scalar posterior is the wrong shape, and the graph attention network exposes only the spread between ensemble members that differ in their random seed, which is initialisation variance rather than a predictive distribution. Coercing the last of these would make a coverage number computable without making it meaningful, and the benchmark instead constructs its interval explicitly and reports how it was built.</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r>
              <w:t xml:space="preserve"> </w:t>
            </w:r>
            <w:r>
              <w:rPr>
                <w:i/>
                <w:iCs/>
              </w:rPr>
              <w:t xml:space="preserve">Demonstrated on a vegetation-index cube; no repeated soil series exists here</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Three further specification choices follow from having real horizons. First,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Second,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BodyText"/>
      </w:pPr>
      <w:r>
        <w:t xml:space="preserve">Third, and least obviously, the likelihood is not Gaussian. Organic carbon is positive and right-skewed, and a Gaussian on g/kg with one</w:t>
      </w:r>
      <w:r>
        <w:t xml:space="preserve"> </w:t>
      </w:r>
      <m:oMath>
        <m:r>
          <m:t>σ</m:t>
        </m:r>
      </m:oMath>
      <w:r>
        <w:t xml:space="preserve"> </w:t>
      </w:r>
      <w:r>
        <w:t xml:space="preserve">makes three errors: it places predictive mass below zero, it assumes additive error where laboratory error is multiplicative, and — the consequential one — it weights every horizon by the same</w:t>
      </w:r>
      <w:r>
        <w:t xml:space="preserve"> </w:t>
      </w:r>
      <w:r>
        <w:rPr>
          <w:i/>
          <w:iCs/>
        </w:rPr>
        <w:t xml:space="preserve">absolute</w:t>
      </w:r>
      <w:r>
        <w:t xml:space="preserve"> </w:t>
      </w:r>
      <w:r>
        <w:t xml:space="preserve">discrepancy. A profile running from 29 g/kg at the surface to 2.3 g/kg at 5 m is then fitted almost entirely by its topsoil, and the deep horizons that carry all the information about the asymptote contribute almost nothing. We use a lognormal likelihood parameterised so that the model’s prediction is the</w:t>
      </w:r>
      <w:r>
        <w:t xml:space="preserve"> </w:t>
      </w:r>
      <w:r>
        <w:rPr>
          <w:i/>
          <w:iCs/>
        </w:rPr>
        <w:t xml:space="preserve">mean</w:t>
      </w:r>
      <w:r>
        <w:t xml:space="preserve"> </w:t>
      </w:r>
      <w:r>
        <w:t xml:space="preserve">of the observation, which matters because that prediction is a horizon average and therefore a mass-preserving quantity; a median-preserving parameterisation would bias every layer downward.</w:t>
      </w:r>
    </w:p>
    <w:p>
      <w:pPr>
        <w:pStyle w:val="BodyText"/>
      </w:pPr>
      <w:r>
        <w:t xml:space="preserve">The change is not cosmetic. On the pedon below the Gaussian fit misses the deepest horizon by 90% of its value while the lognormal caps its worst relative residual at 23%. On leave-the-deepest-horizon-out prediction across all 1,105 profiles the lognormal wins on 720 of them (paired Wilcoxon</w:t>
      </w:r>
      <w:r>
        <w:t xml:space="preserve"> </w:t>
      </w:r>
      <m:oMath>
        <m:r>
          <m:t>p</m:t>
        </m:r>
        <m:r>
          <m:rPr>
            <m:sty m:val="p"/>
          </m:rPr>
          <m:t>=</m:t>
        </m:r>
        <m:r>
          <m:t>2</m:t>
        </m:r>
        <m:r>
          <m:rPr>
            <m:sty m:val="p"/>
          </m:rPr>
          <m:t>×</m:t>
        </m:r>
        <m:sSup>
          <m:e>
            <m:r>
              <m:t>10</m:t>
            </m:r>
          </m:e>
          <m:sup>
            <m:r>
              <m:rPr>
                <m:sty m:val="p"/>
              </m:rPr>
              <m:t>−</m:t>
            </m:r>
            <m:r>
              <m:t>30</m:t>
            </m:r>
          </m:sup>
        </m:sSup>
      </m:oMath>
      <w:r>
        <w:t xml:space="preserve">), improving mean absolute error from 2.20 to 2.00 g/kg, and it wins even on root-mean-square error — the criterion the Gaussian optimises by construction — because over-weighting the topsoil is precisely what makes a profile extrapolate its deepest horizon badly.</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0.009613  mu = 0.004151</w:t>
      </w:r>
      <w:r>
        <w:br/>
      </w:r>
      <w:r>
        <w:rPr>
          <w:rStyle w:val="CommentTok"/>
        </w:rPr>
        <w:t xml:space="preserve">#&gt;   y0      = 23.45     y(Inf) = 1.982      (kappa = 2.32)</w:t>
      </w:r>
      <w:r>
        <w:br/>
      </w:r>
      <w:r>
        <w:rPr>
          <w:rStyle w:val="CommentTok"/>
        </w:rPr>
        <w:t xml:space="preserve">#&gt;   y_inf   = -0.3678   (ODE coordinate, not the attained value)</w:t>
      </w:r>
      <w:r>
        <w:br/>
      </w:r>
      <w:r>
        <w:rPr>
          <w:rStyle w:val="CommentTok"/>
        </w:rPr>
        <w:t xml:space="preserve">#&gt;   n obs   = 9 (layer)         rmse = 2.517</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Four-chain MCMC over a real nine-horizon WoSIS profile reaching 550 cm, fitted through the horizon-average operator with a lognormal likelihood, and converged on its own diagnostics (maximum split-</w:t>
      </w:r>
      <m:oMath>
        <m:acc>
          <m:accPr>
            <m:chr m:val="̂"/>
          </m:accPr>
          <m:e>
            <m:r>
              <m:t>R</m:t>
            </m:r>
          </m:e>
        </m:acc>
      </m:oMath>
      <w:r>
        <w:t xml:space="preserve"> </w:t>
      </w:r>
      <w:r>
        <w:t xml:space="preserve">1.007, minimum bulk ESS 760). Intervals are 2.5% and 97.5% posterior quantiles. The first four rows are the equation’s symbols, the next two the coordinates the model is estimated in, and the last the sampled observation noise, here a coefficient of variation.</w:t>
      </w:r>
    </w:p>
    <w:tbl>
      <w:tblPr>
        <w:tblStyle w:val="Table"/>
        <w:tblW w:type="pct" w:w="5000"/>
        <w:tblLayout w:type="fixed"/>
        <w:tblLook w:firstRow="1" w:lastRow="0" w:firstColumn="0" w:lastColumn="0" w:noHBand="0" w:noVBand="0" w:val="0020"/>
      </w:tblPr>
      <w:tblGrid>
        <w:gridCol w:w="726"/>
        <w:gridCol w:w="4940"/>
        <w:gridCol w:w="581"/>
        <w:gridCol w:w="581"/>
        <w:gridCol w:w="581"/>
        <w:gridCol w:w="508"/>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0.0087</w:t>
            </w:r>
          </w:p>
        </w:tc>
        <w:tc>
          <w:tcPr/>
          <w:p>
            <w:pPr>
              <w:pStyle w:val="Compact"/>
              <w:jc w:val="right"/>
            </w:pPr>
            <w:r>
              <w:t xml:space="preserve">0.0042</w:t>
            </w:r>
          </w:p>
        </w:tc>
        <w:tc>
          <w:tcPr/>
          <w:p>
            <w:pPr>
              <w:pStyle w:val="Compact"/>
              <w:jc w:val="right"/>
            </w:pPr>
            <w:r>
              <w:t xml:space="preserve">0.002</w:t>
            </w:r>
          </w:p>
        </w:tc>
        <w:tc>
          <w:tcPr/>
          <w:p>
            <w:pPr>
              <w:pStyle w:val="Compact"/>
              <w:jc w:val="right"/>
            </w:pPr>
            <w:r>
              <w:t xml:space="preserve">0.019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0.0039</w:t>
            </w:r>
          </w:p>
        </w:tc>
        <w:tc>
          <w:tcPr/>
          <w:p>
            <w:pPr>
              <w:pStyle w:val="Compact"/>
              <w:jc w:val="right"/>
            </w:pPr>
            <w:r>
              <w:t xml:space="preserve">0.0026</w:t>
            </w:r>
          </w:p>
        </w:tc>
        <w:tc>
          <w:tcPr/>
          <w:p>
            <w:pPr>
              <w:pStyle w:val="Compact"/>
              <w:jc w:val="right"/>
            </w:pPr>
            <w:r>
              <w:t xml:space="preserve">0.000</w:t>
            </w:r>
          </w:p>
        </w:tc>
        <w:tc>
          <w:tcPr/>
          <w:p>
            <w:pPr>
              <w:pStyle w:val="Compact"/>
              <w:jc w:val="right"/>
            </w:pPr>
            <w:r>
              <w:t xml:space="preserve">0.010</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-5.2912</w:t>
            </w:r>
          </w:p>
        </w:tc>
        <w:tc>
          <w:tcPr/>
          <w:p>
            <w:pPr>
              <w:pStyle w:val="Compact"/>
              <w:jc w:val="right"/>
            </w:pPr>
            <w:r>
              <w:t xml:space="preserve">16.3261</w:t>
            </w:r>
          </w:p>
        </w:tc>
        <w:tc>
          <w:tcPr/>
          <w:p>
            <w:pPr>
              <w:pStyle w:val="Compact"/>
              <w:jc w:val="right"/>
            </w:pPr>
            <w:r>
              <w:t xml:space="preserve">-52.075</w:t>
            </w:r>
          </w:p>
        </w:tc>
        <w:tc>
          <w:tcPr/>
          <w:p>
            <w:pPr>
              <w:pStyle w:val="Compact"/>
              <w:jc w:val="right"/>
            </w:pPr>
            <w:r>
              <w:t xml:space="preserve">3.518</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23.8413</w:t>
            </w:r>
          </w:p>
        </w:tc>
        <w:tc>
          <w:tcPr/>
          <w:p>
            <w:pPr>
              <w:pStyle w:val="Compact"/>
              <w:jc w:val="right"/>
            </w:pPr>
            <w:r>
              <w:t xml:space="preserve">4.5278</w:t>
            </w:r>
          </w:p>
        </w:tc>
        <w:tc>
          <w:tcPr/>
          <w:p>
            <w:pPr>
              <w:pStyle w:val="Compact"/>
              <w:jc w:val="right"/>
            </w:pPr>
            <w:r>
              <w:t xml:space="preserve">17.208</w:t>
            </w:r>
          </w:p>
        </w:tc>
        <w:tc>
          <w:tcPr/>
          <w:p>
            <w:pPr>
              <w:pStyle w:val="Compact"/>
              <w:jc w:val="right"/>
            </w:pPr>
            <w:r>
              <w:t xml:space="preserve">35.111</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4.3052</w:t>
            </w:r>
          </w:p>
        </w:tc>
        <w:tc>
          <w:tcPr/>
          <w:p>
            <w:pPr>
              <w:pStyle w:val="Compact"/>
              <w:jc w:val="right"/>
            </w:pPr>
            <w:r>
              <w:t xml:space="preserve">7.2073</w:t>
            </w:r>
          </w:p>
        </w:tc>
        <w:tc>
          <w:tcPr/>
          <w:p>
            <w:pPr>
              <w:pStyle w:val="Compact"/>
              <w:jc w:val="right"/>
            </w:pPr>
            <w:r>
              <w:t xml:space="preserve">0.327</w:t>
            </w:r>
          </w:p>
        </w:tc>
        <w:tc>
          <w:tcPr/>
          <w:p>
            <w:pPr>
              <w:pStyle w:val="Compact"/>
              <w:jc w:val="right"/>
            </w:pPr>
            <w:r>
              <w:t xml:space="preserve">20.147</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2.0481</w:t>
            </w:r>
          </w:p>
        </w:tc>
        <w:tc>
          <w:tcPr/>
          <w:p>
            <w:pPr>
              <w:pStyle w:val="Compact"/>
              <w:jc w:val="right"/>
            </w:pPr>
            <w:r>
              <w:t xml:space="preserve">0.9523</w:t>
            </w:r>
          </w:p>
        </w:tc>
        <w:tc>
          <w:tcPr/>
          <w:p>
            <w:pPr>
              <w:pStyle w:val="Compact"/>
              <w:jc w:val="right"/>
            </w:pPr>
            <w:r>
              <w:t xml:space="preserve">0.417</w:t>
            </w:r>
          </w:p>
        </w:tc>
        <w:tc>
          <w:tcPr/>
          <w:p>
            <w:pPr>
              <w:pStyle w:val="Compact"/>
              <w:jc w:val="right"/>
            </w:pPr>
            <w:r>
              <w:t xml:space="preserve">3.990</w:t>
            </w:r>
          </w:p>
        </w:tc>
      </w:tr>
      <w:tr>
        <w:tc>
          <w:tcPr/>
          <w:p>
            <w:pPr>
              <w:pStyle w:val="Compact"/>
              <w:jc w:val="left"/>
            </w:pPr>
            <w:r>
              <w:t xml:space="preserve">sigma</w:t>
            </w:r>
          </w:p>
        </w:tc>
        <w:tc>
          <w:tcPr/>
          <w:p>
            <w:pPr>
              <w:pStyle w:val="Compact"/>
              <w:jc w:val="left"/>
            </w:pPr>
            <w:r>
              <w:t xml:space="preserve">NA</w:t>
            </w:r>
          </w:p>
        </w:tc>
        <w:tc>
          <w:tcPr/>
          <w:p>
            <w:pPr>
              <w:pStyle w:val="Compact"/>
              <w:jc w:val="right"/>
            </w:pPr>
            <w:r>
              <w:t xml:space="preserve">0.2297</w:t>
            </w:r>
          </w:p>
        </w:tc>
        <w:tc>
          <w:tcPr/>
          <w:p>
            <w:pPr>
              <w:pStyle w:val="Compact"/>
              <w:jc w:val="right"/>
            </w:pPr>
            <w:r>
              <w:t xml:space="preserve">0.0745</w:t>
            </w:r>
          </w:p>
        </w:tc>
        <w:tc>
          <w:tcPr/>
          <w:p>
            <w:pPr>
              <w:pStyle w:val="Compact"/>
              <w:jc w:val="right"/>
            </w:pPr>
            <w:r>
              <w:t xml:space="preserve">0.131</w:t>
            </w:r>
          </w:p>
        </w:tc>
        <w:tc>
          <w:tcPr/>
          <w:p>
            <w:pPr>
              <w:pStyle w:val="Compact"/>
              <w:jc w:val="right"/>
            </w:pPr>
            <w:r>
              <w:t xml:space="preserve">0.414</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Two ribbons are drawn because they claim different things: the inner is the 95%</w:t>
      </w:r>
      <w:r>
        <w:t xml:space="preserve"> </w:t>
      </w:r>
      <w:r>
        <w:rPr>
          <w:i/>
          <w:iCs/>
        </w:rPr>
        <w:t xml:space="preserve">pointwise</w:t>
      </w:r>
      <w:r>
        <w:t xml:space="preserve"> </w:t>
      </w:r>
      <w:r>
        <w:t xml:space="preserve">band, which covers each depth taken separately, and the outer is the 95%</w:t>
      </w:r>
      <w:r>
        <w:t xml:space="preserve"> </w:t>
      </w:r>
      <w:r>
        <w:rPr>
          <w:i/>
          <w:iCs/>
        </w:rPr>
        <w:t xml:space="preserve">simultaneous</w:t>
      </w:r>
      <w:r>
        <w:t xml:space="preserve"> </w:t>
      </w:r>
      <w:r>
        <w:t xml:space="preserve">(sup-t) band</w:t>
      </w:r>
      <w:r>
        <w:t xml:space="preserve"> </w:t>
      </w:r>
      <w:r>
        <w:t xml:space="preserve">[9]</w:t>
      </w:r>
      <w:r>
        <w:t xml:space="preserve">, which covers the whole curve. Over the 120 depths plotted the distinction is not decorative — resampling the posterior draws through this fit, the pointwise ribbon contains a complete curve only 80% of the time. A single ribbon labelled</w:t>
      </w:r>
      <w:r>
        <w:t xml:space="preserve"> </w:t>
      </w:r>
      <w:r>
        <w:t xml:space="preserve">“the 95% band”</w:t>
      </w:r>
      <w:r>
        <w:t xml:space="preserve"> </w:t>
      </w:r>
      <w:r>
        <w:t xml:space="preserve">for a profile is the pointwise one, and it overstates its coverage.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23.8 g/kg with an interval 17.9 g/kg wide, and the attainable deep value is identified and admissible at 2.05 g/kg, interval [0.42, 3.99]. The coordinate</w:t>
      </w:r>
      <w:r>
        <w:t xml:space="preserve"> </w:t>
      </w:r>
      <m:oMath>
        <m:sSub>
          <m:e>
            <m:r>
              <m:t>y</m:t>
            </m:r>
          </m:e>
          <m:sub>
            <m:r>
              <m:rPr>
                <m:sty m:val="p"/>
              </m:rPr>
              <m:t>∞</m:t>
            </m:r>
          </m:sub>
        </m:sSub>
      </m:oMath>
      <w:r>
        <w:t xml:space="preserve"> </w:t>
      </w:r>
      <w:r>
        <w:t xml:space="preserve">is not identified: its interval, [-52.1, 3.5], is 15.6 times wider and reaches into negative carbon. Nine horizons to 550 cm do constrain where the profile is heading; what they cannot do is locate a coordinate the profile never visits. The last row is the observation noise, a coefficient of variation of 0.23 — a 23% relative error, which is the right order for laboratory organic carbon and would have been an uninterpretable 1.5 g/kg under the Gaussian.</w:t>
      </w:r>
    </w:p>
    <w:p>
      <w:pPr>
        <w:pStyle w:val="BodyText"/>
      </w:pPr>
      <w:r>
        <w:rPr>
          <w:b/>
          <w:bCs/>
        </w:rPr>
        <w:t xml:space="preserve">The approximation we used to report matters here.</w:t>
      </w:r>
      <w:r>
        <w:t xml:space="preserve"> </w:t>
      </w:r>
      <w:r>
        <w:t xml:space="preserve">Through an earlier version of this work every Bayesian number above came from a Laplace approximation, and on this pedon it misrepresents the posterior in a specific and reproducible way. Being Gaussian on the log coordinates, it is too light-tailed, and 5 of the 7 intervals come out narrower than the sampler’s —</w:t>
      </w:r>
      <w:r>
        <w:t xml:space="preserve"> </w:t>
      </w:r>
      <m:oMath>
        <m:r>
          <m:t>κ</m:t>
        </m:r>
      </m:oMath>
      <w:r>
        <w:t xml:space="preserve"> </w:t>
      </w:r>
      <w:r>
        <w:t xml:space="preserve">and</w:t>
      </w:r>
      <w:r>
        <w:t xml:space="preserve"> </w:t>
      </w:r>
      <m:oMath>
        <m:sSub>
          <m:e>
            <m:r>
              <m:t>y</m:t>
            </m:r>
          </m:e>
          <m:sub>
            <m:r>
              <m:rPr>
                <m:sty m:val="p"/>
              </m:rPr>
              <m:t>∞</m:t>
            </m:r>
          </m:sub>
        </m:sSub>
      </m:oMath>
      <w:r>
        <w:t xml:space="preserve"> </w:t>
      </w:r>
      <w:r>
        <w:t xml:space="preserve">by a factor above two, the observation noise by 1.8. That last one is not a technicality: the coefficient of variation reads 0.168 under Laplace against 0.230 here, the difference between claiming a 17% and a 23% laboratory error.</w:t>
      </w:r>
    </w:p>
    <w:p>
      <w:pPr>
        <w:pStyle w:val="BodyText"/>
      </w:pPr>
      <w:r>
        <w:t xml:space="preserve">Two rows do not follow the pattern, and both are informative. The attainable deep value</w:t>
      </w:r>
      <w:r>
        <w:t xml:space="preserve"> </w:t>
      </w:r>
      <m:oMath>
        <m:r>
          <m:t>y</m:t>
        </m:r>
        <m:r>
          <m:rPr>
            <m:sty m:val="p"/>
          </m:rPr>
          <m:t>(</m:t>
        </m:r>
        <m:r>
          <m:rPr>
            <m:sty m:val="p"/>
          </m:rPr>
          <m:t>∞</m:t>
        </m:r>
        <m:r>
          <m:rPr>
            <m:sty m:val="p"/>
          </m:rPr>
          <m:t>)</m:t>
        </m:r>
      </m:oMath>
      <w:r>
        <w:t xml:space="preserve"> </w:t>
      </w:r>
      <w:r>
        <w:t xml:space="preserve">is essentially unchanged (width ratio 1.01), and</w:t>
      </w:r>
      <w:r>
        <w:t xml:space="preserve"> </w:t>
      </w:r>
      <m:oMath>
        <m:r>
          <m:t>μ</m:t>
        </m:r>
      </m:oMath>
      <w:r>
        <w:t xml:space="preserve"> </w:t>
      </w:r>
      <w:r>
        <w:t xml:space="preserve">is actually</w:t>
      </w:r>
      <w:r>
        <w:t xml:space="preserve"> </w:t>
      </w:r>
      <w:r>
        <w:rPr>
          <w:i/>
          <w:iCs/>
        </w:rPr>
        <w:t xml:space="preserve">wider</w:t>
      </w:r>
      <w:r>
        <w:t xml:space="preserve"> </w:t>
      </w:r>
      <w:r>
        <w:t xml:space="preserve">under the approximation (0.85). So this is not a uniform inflation: the quantity the data identify is robust to how the posterior is approximated, and the quantities they do not identify are the ones that move. That is the same division the rest of this section reports, arrived at by a different route.</w:t>
      </w:r>
    </w:p>
    <w:tbl>
      <w:tblPr>
        <w:tblStyle w:val="Table"/>
        <w:tblW w:type="pct" w:w="5000"/>
        <w:tblLayout w:type="fixed"/>
        <w:tblLook w:firstRow="1" w:lastRow="0" w:firstColumn="0" w:lastColumn="0" w:noHBand="0" w:noVBand="0" w:val="0020"/>
      </w:tblPr>
      <w:tblGrid>
        <w:gridCol w:w="1131"/>
        <w:gridCol w:w="1470"/>
        <w:gridCol w:w="1131"/>
        <w:gridCol w:w="1584"/>
        <w:gridCol w:w="1244"/>
        <w:gridCol w:w="1357"/>
      </w:tblGrid>
      <w:tr>
        <w:trPr>
          <w:tblHeader w:val="on"/>
        </w:trPr>
        <w:tc>
          <w:tcPr/>
          <w:p>
            <w:pPr>
              <w:pStyle w:val="Compact"/>
              <w:jc w:val="left"/>
            </w:pPr>
            <w:r>
              <w:t xml:space="preserve">Parameter</w:t>
            </w:r>
          </w:p>
        </w:tc>
        <w:tc>
          <w:tcPr/>
          <w:p>
            <w:pPr>
              <w:pStyle w:val="Compact"/>
              <w:jc w:val="right"/>
            </w:pPr>
            <w:r>
              <w:t xml:space="preserve">Laplace mean</w:t>
            </w:r>
          </w:p>
        </w:tc>
        <w:tc>
          <w:tcPr/>
          <w:p>
            <w:pPr>
              <w:pStyle w:val="Compact"/>
              <w:jc w:val="right"/>
            </w:pPr>
            <w:r>
              <w:t xml:space="preserve">MCMC mean</w:t>
            </w:r>
          </w:p>
        </w:tc>
        <w:tc>
          <w:tcPr/>
          <w:p>
            <w:pPr>
              <w:pStyle w:val="Compact"/>
              <w:jc w:val="right"/>
            </w:pPr>
            <w:r>
              <w:t xml:space="preserve">Laplace width</w:t>
            </w:r>
          </w:p>
        </w:tc>
        <w:tc>
          <w:tcPr/>
          <w:p>
            <w:pPr>
              <w:pStyle w:val="Compact"/>
              <w:jc w:val="right"/>
            </w:pPr>
            <w:r>
              <w:t xml:space="preserve">MCMC width</w:t>
            </w:r>
          </w:p>
        </w:tc>
        <w:tc>
          <w:tcPr/>
          <w:p>
            <w:pPr>
              <w:pStyle w:val="Compact"/>
              <w:jc w:val="right"/>
            </w:pPr>
            <w:r>
              <w:t xml:space="preserve">Width ratio</w:t>
            </w:r>
          </w:p>
        </w:tc>
      </w:tr>
      <w:tr>
        <w:tc>
          <w:tcPr/>
          <w:p>
            <w:pPr>
              <w:pStyle w:val="Compact"/>
              <w:jc w:val="left"/>
            </w:pPr>
            <w:r>
              <w:t xml:space="preserve">kappa</w:t>
            </w:r>
          </w:p>
        </w:tc>
        <w:tc>
          <w:tcPr/>
          <w:p>
            <w:pPr>
              <w:pStyle w:val="Compact"/>
              <w:jc w:val="right"/>
            </w:pPr>
            <w:r>
              <w:t xml:space="preserve">3.0343</w:t>
            </w:r>
          </w:p>
        </w:tc>
        <w:tc>
          <w:tcPr/>
          <w:p>
            <w:pPr>
              <w:pStyle w:val="Compact"/>
              <w:jc w:val="right"/>
            </w:pPr>
            <w:r>
              <w:t xml:space="preserve">4.3052</w:t>
            </w:r>
          </w:p>
        </w:tc>
        <w:tc>
          <w:tcPr/>
          <w:p>
            <w:pPr>
              <w:pStyle w:val="Compact"/>
              <w:jc w:val="right"/>
            </w:pPr>
            <w:r>
              <w:t xml:space="preserve">8.777</w:t>
            </w:r>
          </w:p>
        </w:tc>
        <w:tc>
          <w:tcPr/>
          <w:p>
            <w:pPr>
              <w:pStyle w:val="Compact"/>
              <w:jc w:val="right"/>
            </w:pPr>
            <w:r>
              <w:t xml:space="preserve">19.820</w:t>
            </w:r>
          </w:p>
        </w:tc>
        <w:tc>
          <w:tcPr/>
          <w:p>
            <w:pPr>
              <w:pStyle w:val="Compact"/>
              <w:jc w:val="right"/>
            </w:pPr>
            <w:r>
              <w:t xml:space="preserve">2.26</w:t>
            </w:r>
          </w:p>
        </w:tc>
      </w:tr>
      <w:tr>
        <w:tc>
          <w:tcPr/>
          <w:p>
            <w:pPr>
              <w:pStyle w:val="Compact"/>
              <w:jc w:val="left"/>
            </w:pPr>
            <w:r>
              <w:t xml:space="preserve">lambda0</w:t>
            </w:r>
          </w:p>
        </w:tc>
        <w:tc>
          <w:tcPr/>
          <w:p>
            <w:pPr>
              <w:pStyle w:val="Compact"/>
              <w:jc w:val="right"/>
            </w:pPr>
            <w:r>
              <w:t xml:space="preserve">0.0105</w:t>
            </w:r>
          </w:p>
        </w:tc>
        <w:tc>
          <w:tcPr/>
          <w:p>
            <w:pPr>
              <w:pStyle w:val="Compact"/>
              <w:jc w:val="right"/>
            </w:pPr>
            <w:r>
              <w:t xml:space="preserve">0.0087</w:t>
            </w:r>
          </w:p>
        </w:tc>
        <w:tc>
          <w:tcPr/>
          <w:p>
            <w:pPr>
              <w:pStyle w:val="Compact"/>
              <w:jc w:val="right"/>
            </w:pPr>
            <w:r>
              <w:t xml:space="preserve">0.014</w:t>
            </w:r>
          </w:p>
        </w:tc>
        <w:tc>
          <w:tcPr/>
          <w:p>
            <w:pPr>
              <w:pStyle w:val="Compact"/>
              <w:jc w:val="right"/>
            </w:pPr>
            <w:r>
              <w:t xml:space="preserve">0.017</w:t>
            </w:r>
          </w:p>
        </w:tc>
        <w:tc>
          <w:tcPr/>
          <w:p>
            <w:pPr>
              <w:pStyle w:val="Compact"/>
              <w:jc w:val="right"/>
            </w:pPr>
            <w:r>
              <w:t xml:space="preserve">1.21</w:t>
            </w:r>
          </w:p>
        </w:tc>
      </w:tr>
      <w:tr>
        <w:tc>
          <w:tcPr/>
          <w:p>
            <w:pPr>
              <w:pStyle w:val="Compact"/>
              <w:jc w:val="left"/>
            </w:pPr>
            <w:r>
              <w:t xml:space="preserve">mu</w:t>
            </w:r>
          </w:p>
        </w:tc>
        <w:tc>
          <w:tcPr/>
          <w:p>
            <w:pPr>
              <w:pStyle w:val="Compact"/>
              <w:jc w:val="right"/>
            </w:pPr>
            <w:r>
              <w:t xml:space="preserve">0.0048</w:t>
            </w:r>
          </w:p>
        </w:tc>
        <w:tc>
          <w:tcPr/>
          <w:p>
            <w:pPr>
              <w:pStyle w:val="Compact"/>
              <w:jc w:val="right"/>
            </w:pPr>
            <w:r>
              <w:t xml:space="preserve">0.0039</w:t>
            </w:r>
          </w:p>
        </w:tc>
        <w:tc>
          <w:tcPr/>
          <w:p>
            <w:pPr>
              <w:pStyle w:val="Compact"/>
              <w:jc w:val="right"/>
            </w:pPr>
            <w:r>
              <w:t xml:space="preserve">0.011</w:t>
            </w:r>
          </w:p>
        </w:tc>
        <w:tc>
          <w:tcPr/>
          <w:p>
            <w:pPr>
              <w:pStyle w:val="Compact"/>
              <w:jc w:val="right"/>
            </w:pPr>
            <w:r>
              <w:t xml:space="preserve">0.010</w:t>
            </w:r>
          </w:p>
        </w:tc>
        <w:tc>
          <w:tcPr/>
          <w:p>
            <w:pPr>
              <w:pStyle w:val="Compact"/>
              <w:jc w:val="right"/>
            </w:pPr>
            <w:r>
              <w:t xml:space="preserve">0.85</w:t>
            </w:r>
          </w:p>
        </w:tc>
      </w:tr>
      <w:tr>
        <w:tc>
          <w:tcPr/>
          <w:p>
            <w:pPr>
              <w:pStyle w:val="Compact"/>
              <w:jc w:val="left"/>
            </w:pPr>
            <w:r>
              <w:t xml:space="preserve">sigma</w:t>
            </w:r>
          </w:p>
        </w:tc>
        <w:tc>
          <w:tcPr/>
          <w:p>
            <w:pPr>
              <w:pStyle w:val="Compact"/>
              <w:jc w:val="right"/>
            </w:pPr>
            <w:r>
              <w:t xml:space="preserve">0.1684</w:t>
            </w:r>
          </w:p>
        </w:tc>
        <w:tc>
          <w:tcPr/>
          <w:p>
            <w:pPr>
              <w:pStyle w:val="Compact"/>
              <w:jc w:val="right"/>
            </w:pPr>
            <w:r>
              <w:t xml:space="preserve">0.2297</w:t>
            </w:r>
          </w:p>
        </w:tc>
        <w:tc>
          <w:tcPr/>
          <w:p>
            <w:pPr>
              <w:pStyle w:val="Compact"/>
              <w:jc w:val="right"/>
            </w:pPr>
            <w:r>
              <w:t xml:space="preserve">0.157</w:t>
            </w:r>
          </w:p>
        </w:tc>
        <w:tc>
          <w:tcPr/>
          <w:p>
            <w:pPr>
              <w:pStyle w:val="Compact"/>
              <w:jc w:val="right"/>
            </w:pPr>
            <w:r>
              <w:t xml:space="preserve">0.284</w:t>
            </w:r>
          </w:p>
        </w:tc>
        <w:tc>
          <w:tcPr/>
          <w:p>
            <w:pPr>
              <w:pStyle w:val="Compact"/>
              <w:jc w:val="right"/>
            </w:pPr>
            <w:r>
              <w:t xml:space="preserve">1.81</w:t>
            </w:r>
          </w:p>
        </w:tc>
      </w:tr>
      <w:tr>
        <w:tc>
          <w:tcPr/>
          <w:p>
            <w:pPr>
              <w:pStyle w:val="Compact"/>
              <w:jc w:val="left"/>
            </w:pPr>
            <w:r>
              <w:t xml:space="preserve">y_asym</w:t>
            </w:r>
          </w:p>
        </w:tc>
        <w:tc>
          <w:tcPr/>
          <w:p>
            <w:pPr>
              <w:pStyle w:val="Compact"/>
              <w:jc w:val="right"/>
            </w:pPr>
            <w:r>
              <w:t xml:space="preserve">2.2205</w:t>
            </w:r>
          </w:p>
        </w:tc>
        <w:tc>
          <w:tcPr/>
          <w:p>
            <w:pPr>
              <w:pStyle w:val="Compact"/>
              <w:jc w:val="right"/>
            </w:pPr>
            <w:r>
              <w:t xml:space="preserve">2.0481</w:t>
            </w:r>
          </w:p>
        </w:tc>
        <w:tc>
          <w:tcPr/>
          <w:p>
            <w:pPr>
              <w:pStyle w:val="Compact"/>
              <w:jc w:val="right"/>
            </w:pPr>
            <w:r>
              <w:t xml:space="preserve">3.533</w:t>
            </w:r>
          </w:p>
        </w:tc>
        <w:tc>
          <w:tcPr/>
          <w:p>
            <w:pPr>
              <w:pStyle w:val="Compact"/>
              <w:jc w:val="right"/>
            </w:pPr>
            <w:r>
              <w:t xml:space="preserve">3.573</w:t>
            </w:r>
          </w:p>
        </w:tc>
        <w:tc>
          <w:tcPr/>
          <w:p>
            <w:pPr>
              <w:pStyle w:val="Compact"/>
              <w:jc w:val="right"/>
            </w:pPr>
            <w:r>
              <w:t xml:space="preserve">1.01</w:t>
            </w:r>
          </w:p>
        </w:tc>
      </w:tr>
      <w:tr>
        <w:tc>
          <w:tcPr/>
          <w:p>
            <w:pPr>
              <w:pStyle w:val="Compact"/>
              <w:jc w:val="left"/>
            </w:pPr>
            <w:r>
              <w:t xml:space="preserve">y_inf</w:t>
            </w:r>
          </w:p>
        </w:tc>
        <w:tc>
          <w:tcPr/>
          <w:p>
            <w:pPr>
              <w:pStyle w:val="Compact"/>
              <w:jc w:val="right"/>
            </w:pPr>
            <w:r>
              <w:t xml:space="preserve">-2.2916</w:t>
            </w:r>
          </w:p>
        </w:tc>
        <w:tc>
          <w:tcPr/>
          <w:p>
            <w:pPr>
              <w:pStyle w:val="Compact"/>
              <w:jc w:val="right"/>
            </w:pPr>
            <w:r>
              <w:t xml:space="preserve">-5.2912</w:t>
            </w:r>
          </w:p>
        </w:tc>
        <w:tc>
          <w:tcPr/>
          <w:p>
            <w:pPr>
              <w:pStyle w:val="Compact"/>
              <w:jc w:val="right"/>
            </w:pPr>
            <w:r>
              <w:t xml:space="preserve">23.703</w:t>
            </w:r>
          </w:p>
        </w:tc>
        <w:tc>
          <w:tcPr/>
          <w:p>
            <w:pPr>
              <w:pStyle w:val="Compact"/>
              <w:jc w:val="right"/>
            </w:pPr>
            <w:r>
              <w:t xml:space="preserve">55.593</w:t>
            </w:r>
          </w:p>
        </w:tc>
        <w:tc>
          <w:tcPr/>
          <w:p>
            <w:pPr>
              <w:pStyle w:val="Compact"/>
              <w:jc w:val="right"/>
            </w:pPr>
            <w:r>
              <w:t xml:space="preserve">2.35</w:t>
            </w:r>
          </w:p>
        </w:tc>
      </w:tr>
      <w:tr>
        <w:tc>
          <w:tcPr/>
          <w:p>
            <w:pPr>
              <w:pStyle w:val="Compact"/>
              <w:jc w:val="left"/>
            </w:pPr>
            <w:r>
              <w:t xml:space="preserve">y0</w:t>
            </w:r>
          </w:p>
        </w:tc>
        <w:tc>
          <w:tcPr/>
          <w:p>
            <w:pPr>
              <w:pStyle w:val="Compact"/>
              <w:jc w:val="right"/>
            </w:pPr>
            <w:r>
              <w:t xml:space="preserve">24.2147</w:t>
            </w:r>
          </w:p>
        </w:tc>
        <w:tc>
          <w:tcPr/>
          <w:p>
            <w:pPr>
              <w:pStyle w:val="Compact"/>
              <w:jc w:val="right"/>
            </w:pPr>
            <w:r>
              <w:t xml:space="preserve">23.8413</w:t>
            </w:r>
          </w:p>
        </w:tc>
        <w:tc>
          <w:tcPr/>
          <w:p>
            <w:pPr>
              <w:pStyle w:val="Compact"/>
              <w:jc w:val="right"/>
            </w:pPr>
            <w:r>
              <w:t xml:space="preserve">12.580</w:t>
            </w:r>
          </w:p>
        </w:tc>
        <w:tc>
          <w:tcPr/>
          <w:p>
            <w:pPr>
              <w:pStyle w:val="Compact"/>
              <w:jc w:val="right"/>
            </w:pPr>
            <w:r>
              <w:t xml:space="preserve">17.904</w:t>
            </w:r>
          </w:p>
        </w:tc>
        <w:tc>
          <w:tcPr/>
          <w:p>
            <w:pPr>
              <w:pStyle w:val="Compact"/>
              <w:jc w:val="right"/>
            </w:pPr>
            <w:r>
              <w:t xml:space="preserve">1.42</w:t>
            </w:r>
          </w:p>
        </w:tc>
      </w:tr>
    </w:tbl>
    <w:p>
      <w:pPr>
        <w:pStyle w:val="BodyText"/>
      </w:pPr>
      <w:r>
        <w:rPr>
          <w:b/>
          <w:bCs/>
        </w:rPr>
        <w:t xml:space="preserve">Table 3. What the Laplace approximation costs on this posterior.</w:t>
      </w:r>
      <w:r>
        <w:t xml:space="preserve"> </w:t>
      </w:r>
      <w:r>
        <w:t xml:space="preserve">Widths are 95% interval widths; the ratio is MCMC over Laplace, so a value above 1 means the approximation was too confident. Both fits use the same data, likelihood, operator and seed.</w:t>
      </w:r>
    </w:p>
    <w:p>
      <w:pPr>
        <w:pStyle w:val="BodyText"/>
      </w:pPr>
      <w:r>
        <w:t xml:space="preserve">The derived coordinate</w:t>
      </w:r>
      <w:r>
        <w:t xml:space="preserve"> </w:t>
      </w:r>
      <m:oMath>
        <m:sSub>
          <m:e>
            <m:r>
              <m:t>y</m:t>
            </m:r>
          </m:e>
          <m:sub>
            <m:r>
              <m:rPr>
                <m:sty m:val="p"/>
              </m:rPr>
              <m:t>∞</m:t>
            </m:r>
          </m:sub>
        </m:sSub>
      </m:oMath>
      <w:r>
        <w:t xml:space="preserve"> </w:t>
      </w:r>
      <w:r>
        <w:t xml:space="preserve">disagrees far more than the rest, and the reason is diagnosable rather than being sampler noise. Because</w:t>
      </w:r>
      <w:r>
        <w:t xml:space="preserve"> </w:t>
      </w:r>
      <m:oMath>
        <m:sSub>
          <m:e>
            <m:r>
              <m:t>y</m:t>
            </m:r>
          </m:e>
          <m:sub>
            <m:r>
              <m:rPr>
                <m:sty m:val="p"/>
              </m:rPr>
              <m:t>∞</m:t>
            </m:r>
          </m:sub>
        </m:sSub>
        <m:r>
          <m:rPr>
            <m:sty m:val="p"/>
          </m:rPr>
          <m:t>=</m:t>
        </m:r>
        <m:r>
          <m:rPr>
            <m:sty m:val="p"/>
          </m:rPr>
          <m:t>(</m:t>
        </m:r>
        <m:r>
          <m:t>A</m:t>
        </m:r>
        <m:r>
          <m:rPr>
            <m:sty m:val="p"/>
          </m:rPr>
          <m:t>−</m:t>
        </m:r>
        <m:sSub>
          <m:e>
            <m:r>
              <m:t>y</m:t>
            </m:r>
          </m:e>
          <m:sub>
            <m:r>
              <m:t>0</m:t>
            </m:r>
          </m:sub>
        </m:sSub>
        <m:sSup>
          <m:e>
            <m:r>
              <m:t>e</m:t>
            </m:r>
          </m:e>
          <m:sup>
            <m:r>
              <m:rPr>
                <m:sty m:val="p"/>
              </m:rPr>
              <m:t>−</m:t>
            </m:r>
            <m:r>
              <m:t>κ</m:t>
            </m:r>
          </m:sup>
        </m:sSup>
        <m:r>
          <m:rPr>
            <m:sty m:val="p"/>
          </m:rPr>
          <m:t>)</m:t>
        </m:r>
        <m:r>
          <m:rPr>
            <m:sty m:val="p"/>
          </m:rPr>
          <m:t>/</m:t>
        </m:r>
        <m:r>
          <m:rPr>
            <m:sty m:val="p"/>
          </m:rPr>
          <m:t>(</m:t>
        </m:r>
        <m:r>
          <m:t>1</m:t>
        </m:r>
        <m:r>
          <m:rPr>
            <m:sty m:val="p"/>
          </m:rPr>
          <m:t>−</m:t>
        </m:r>
        <m:sSup>
          <m:e>
            <m:r>
              <m:t>e</m:t>
            </m:r>
          </m:e>
          <m:sup>
            <m:r>
              <m:rPr>
                <m:sty m:val="p"/>
              </m:rPr>
              <m:t>−</m:t>
            </m:r>
            <m:r>
              <m:t>κ</m:t>
            </m:r>
          </m:sup>
        </m:sSup>
        <m:r>
          <m:rPr>
            <m:sty m:val="p"/>
          </m:rPr>
          <m:t>)</m:t>
        </m:r>
      </m:oMath>
      <w:r>
        <w:t xml:space="preserve"> </w:t>
      </w:r>
      <w:r>
        <w:t xml:space="preserve">has a pole at</w:t>
      </w:r>
      <w:r>
        <w:t xml:space="preserve"> </w:t>
      </w:r>
      <m:oMath>
        <m:r>
          <m:t>κ</m:t>
        </m:r>
        <m:r>
          <m:rPr>
            <m:sty m:val="p"/>
          </m:rPr>
          <m:t>→</m:t>
        </m:r>
        <m:r>
          <m:t>0</m:t>
        </m:r>
      </m:oMath>
      <w:r>
        <w:t xml:space="preserve">, draws with small</w:t>
      </w:r>
      <w:r>
        <w:t xml:space="preserve"> </w:t>
      </w:r>
      <m:oMath>
        <m:r>
          <m:t>κ</m:t>
        </m:r>
      </m:oMath>
      <w:r>
        <w:t xml:space="preserve"> </w:t>
      </w:r>
      <w:r>
        <w:t xml:space="preserve">send it to large magnitudes. The MCMC places 5.3% of its draws below</w:t>
      </w:r>
      <w:r>
        <w:t xml:space="preserve"> </w:t>
      </w:r>
      <m:oMath>
        <m:r>
          <m:t>κ</m:t>
        </m:r>
        <m:r>
          <m:rPr>
            <m:sty m:val="p"/>
          </m:rPr>
          <m:t>=</m:t>
        </m:r>
        <m:r>
          <m:t>0.5</m:t>
        </m:r>
      </m:oMath>
      <w:r>
        <w:t xml:space="preserve"> </w:t>
      </w:r>
      <w:r>
        <w:t xml:space="preserve">and reaches</w:t>
      </w:r>
      <w:r>
        <w:t xml:space="preserve"> </w:t>
      </w:r>
      <m:oMath>
        <m:r>
          <m:t>κ</m:t>
        </m:r>
        <m:r>
          <m:rPr>
            <m:sty m:val="p"/>
          </m:rPr>
          <m:t>=</m:t>
        </m:r>
        <m:r>
          <m:t>0.080</m:t>
        </m:r>
      </m:oMath>
      <w:r>
        <w:t xml:space="preserve">; the Laplace places 0.5% there and stops at 0.285. Conditioning both on</w:t>
      </w:r>
      <w:r>
        <w:t xml:space="preserve"> </w:t>
      </w:r>
      <m:oMath>
        <m:r>
          <m:t>κ</m:t>
        </m:r>
        <m:r>
          <m:rPr>
            <m:sty m:val="p"/>
          </m:rPr>
          <m:t>≥</m:t>
        </m:r>
        <m:r>
          <m:t>0.5</m:t>
        </m:r>
      </m:oMath>
      <w:r>
        <w:t xml:space="preserve"> </w:t>
      </w:r>
      <w:r>
        <w:t xml:space="preserve">brings them into agreement (−2.12 against −2.22). The gap</w:t>
      </w:r>
      <w:r>
        <w:t xml:space="preserve"> </w:t>
      </w:r>
      <w:r>
        <w:rPr>
          <w:i/>
          <w:iCs/>
        </w:rPr>
        <w:t xml:space="preserve">is</w:t>
      </w:r>
      <w:r>
        <w:t xml:space="preserve"> </w:t>
      </w:r>
      <w:r>
        <w:t xml:space="preserve">the tail the approximation cannot see, and it sits precisely where the quantity we have already called unidentified becomes numerically unstable — so the disagreement is further evidence for that conclusion rather than a difficulty for it.</w:t>
      </w:r>
    </w:p>
    <w:p>
      <w:pPr>
        <w:pStyle w:val="BodyText"/>
      </w:pPr>
      <w:r>
        <w:t xml:space="preserve">We therefore report MCMC throughout and keep the Laplace path available for speed, with the caveat attached to it rather than to the reader.</w:t>
      </w:r>
    </w:p>
    <w:p>
      <w:pPr>
        <w:pStyle w:val="BodyText"/>
      </w:pPr>
      <w:r>
        <w:rPr>
          <w:b/>
          <w:bCs/>
        </w:rPr>
        <w:t xml:space="preserve">Does the mechanism buy anything?</w:t>
      </w:r>
      <w:r>
        <w:t xml:space="preserve"> </w:t>
      </w:r>
      <w:r>
        <w:t xml:space="preserve">This is the question a depth model must answer.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Root-mean-square error is the wrong statistic to lead with here, and saying why is part of the result. On the extrapolation task every method lands near 14 g/kg — the ODE at 14.04, copying the nearest measured horizon at 14.05, the random forest at 14.05 — and those numbers are not measuring the methods. Ten profiles out of 935, 1.1% of the set, account for 99% of the ODE’s sum of squares; removing them takes its RMSE from 14.74 to 1.54. The extreme case is a profile whose horizon at 125 cm holds 430 g/kg of carbon with 3.0 g/kg immediately above it: a buried organic horizon, which a monotone depth function cannot represent and, more importantly, cannot anticipate. We therefore report mean absolute error as the primary criterion and RMSE alongside it, and treat the difference between them as the finding rather than as a nuisance.</w:t>
      </w:r>
    </w:p>
    <w:p>
      <w:pPr>
        <w:pStyle w:val="BodyText"/>
      </w:pPr>
      <w:r>
        <w:t xml:space="preserve">On that criterion the mechanism does help (Table 4). The ODE reaches MAE 1.82 g/kg with a median absolute error of 0.76, against 2.06 for copying the nearest horizon, 2.07 for its own nested</w:t>
      </w:r>
      <w:r>
        <w:t xml:space="preserve"> </w:t>
      </w:r>
      <m:oMath>
        <m:r>
          <m:t>μ</m:t>
        </m:r>
        <m:r>
          <m:rPr>
            <m:sty m:val="p"/>
          </m:rPr>
          <m:t>=</m:t>
        </m:r>
        <m:r>
          <m:t>0</m:t>
        </m:r>
      </m:oMath>
      <w:r>
        <w:t xml:space="preserve"> </w:t>
      </w:r>
      <w:r>
        <w:t xml:space="preserve">special case and 2.67 for the pooled random forest. Paired across profiles it beats copying the nearest horizon on 579 of 935 (Wilcoxon</w:t>
      </w:r>
      <w:r>
        <w:t xml:space="preserve"> </w:t>
      </w:r>
      <m:oMath>
        <m:r>
          <m:t>p</m:t>
        </m:r>
        <m:r>
          <m:rPr>
            <m:sty m:val="p"/>
          </m:rPr>
          <m:t>=</m:t>
        </m:r>
        <m:r>
          <m:t>3</m:t>
        </m:r>
        <m:r>
          <m:rPr>
            <m:sty m:val="p"/>
          </m:rPr>
          <m:t>×</m:t>
        </m:r>
        <m:sSup>
          <m:e>
            <m:r>
              <m:t>10</m:t>
            </m:r>
          </m:e>
          <m:sup>
            <m:r>
              <m:rPr>
                <m:sty m:val="p"/>
              </m:rPr>
              <m:t>−</m:t>
            </m:r>
            <m:r>
              <m:t>16</m:t>
            </m:r>
          </m:sup>
        </m:sSup>
      </m:oMath>
      <w:r>
        <w:t xml:space="preserve">), its nested special case on 646 (</w:t>
      </w:r>
      <m:oMath>
        <m:r>
          <m:t>p</m:t>
        </m:r>
        <m:r>
          <m:rPr>
            <m:sty m:val="p"/>
          </m:rPr>
          <m:t>=</m:t>
        </m:r>
        <m:r>
          <m:t>1</m:t>
        </m:r>
        <m:r>
          <m:rPr>
            <m:sty m:val="p"/>
          </m:rPr>
          <m:t>×</m:t>
        </m:r>
        <m:sSup>
          <m:e>
            <m:r>
              <m:t>10</m:t>
            </m:r>
          </m:e>
          <m:sup>
            <m:r>
              <m:rPr>
                <m:sty m:val="p"/>
              </m:rPr>
              <m:t>−</m:t>
            </m:r>
            <m:r>
              <m:t>42</m:t>
            </m:r>
          </m:sup>
        </m:sSup>
      </m:oMath>
      <w:r>
        <w:t xml:space="preserve">) and the random forest on 679 (</w:t>
      </w:r>
      <m:oMath>
        <m:r>
          <m:t>p</m:t>
        </m:r>
        <m:r>
          <m:rPr>
            <m:sty m:val="p"/>
          </m:rPr>
          <m:t>=</m:t>
        </m:r>
        <m:r>
          <m:t>4</m:t>
        </m:r>
        <m:r>
          <m:rPr>
            <m:sty m:val="p"/>
          </m:rPr>
          <m:t>×</m:t>
        </m:r>
        <m:sSup>
          <m:e>
            <m:r>
              <m:t>10</m:t>
            </m:r>
          </m:e>
          <m:sup>
            <m:r>
              <m:rPr>
                <m:sty m:val="p"/>
              </m:rPr>
              <m:t>−</m:t>
            </m:r>
            <m:r>
              <m:t>50</m:t>
            </m:r>
          </m:sup>
        </m:sSup>
      </m:oMath>
      <w:r>
        <w:t xml:space="preserve">).</w:t>
      </w:r>
    </w:p>
    <w:p>
      <w:pPr>
        <w:pStyle w:val="BodyText"/>
      </w:pPr>
      <w:r>
        <w:rPr>
          <w:b/>
          <w:bCs/>
        </w:rPr>
        <w:t xml:space="preserve">Table 4. Leave-the-deepest-horizon-out prediction on 935 WoSIS profiles.</w:t>
      </w:r>
      <w:r>
        <w:t xml:space="preserve"> </w:t>
      </w:r>
      <w:r>
        <w:t xml:space="preserve">The profiles whose</w:t>
      </w:r>
      <w:r>
        <w:t xml:space="preserve"> </w:t>
      </w:r>
      <w:r>
        <w:rPr>
          <w:i/>
          <w:iCs/>
        </w:rPr>
        <w:t xml:space="preserve">training</w:t>
      </w:r>
      <w:r>
        <w:t xml:space="preserve"> </w:t>
      </w:r>
      <w:r>
        <w:t xml:space="preserve">horizons are monotone — the model’s declared validity domain, judged without reading the horizon being predicted. MAE is the primary criterion: RMSE on this task is dominated by ten profiles with buried organic horizons and separates the methods by less than 0.5%.</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1.760</w:t>
            </w:r>
          </w:p>
        </w:tc>
        <w:tc>
          <w:tcPr/>
          <w:p>
            <w:pPr>
              <w:pStyle w:val="Compact"/>
              <w:jc w:val="right"/>
            </w:pPr>
            <w:r>
              <w:t xml:space="preserve">14.74</w:t>
            </w:r>
          </w:p>
        </w:tc>
        <w:tc>
          <w:tcPr/>
          <w:p>
            <w:pPr>
              <w:pStyle w:val="Compact"/>
              <w:jc w:val="right"/>
            </w:pPr>
            <w:r>
              <w:t xml:space="preserve">-0.242</w:t>
            </w:r>
          </w:p>
        </w:tc>
        <w:tc>
          <w:tcPr/>
          <w:p>
            <w:pPr>
              <w:pStyle w:val="Compact"/>
              <w:jc w:val="right"/>
            </w:pPr>
            <w:r>
              <w:t xml:space="preserve">0.037</w:t>
            </w:r>
          </w:p>
        </w:tc>
      </w:tr>
      <w:tr>
        <w:tc>
          <w:tcPr/>
          <w:p>
            <w:pPr>
              <w:pStyle w:val="Compact"/>
              <w:jc w:val="left"/>
            </w:pPr>
            <w:r>
              <w:t xml:space="preserve">edaphos ODE, attenuating rate (4 par)</w:t>
            </w:r>
          </w:p>
        </w:tc>
        <w:tc>
          <w:tcPr/>
          <w:p>
            <w:pPr>
              <w:pStyle w:val="Compact"/>
              <w:jc w:val="right"/>
            </w:pPr>
            <w:r>
              <w:t xml:space="preserve">1.819</w:t>
            </w:r>
          </w:p>
        </w:tc>
        <w:tc>
          <w:tcPr/>
          <w:p>
            <w:pPr>
              <w:pStyle w:val="Compact"/>
              <w:jc w:val="right"/>
            </w:pPr>
            <w:r>
              <w:t xml:space="preserve">14.74</w:t>
            </w:r>
          </w:p>
        </w:tc>
        <w:tc>
          <w:tcPr/>
          <w:p>
            <w:pPr>
              <w:pStyle w:val="Compact"/>
              <w:jc w:val="right"/>
            </w:pPr>
            <w:r>
              <w:t xml:space="preserve">-0.222</w:t>
            </w:r>
          </w:p>
        </w:tc>
        <w:tc>
          <w:tcPr/>
          <w:p>
            <w:pPr>
              <w:pStyle w:val="Compact"/>
              <w:jc w:val="right"/>
            </w:pPr>
            <w:r>
              <w:t xml:space="preserve">0.037</w:t>
            </w:r>
          </w:p>
        </w:tc>
      </w:tr>
      <w:tr>
        <w:tc>
          <w:tcPr/>
          <w:p>
            <w:pPr>
              <w:pStyle w:val="Compact"/>
              <w:jc w:val="left"/>
            </w:pPr>
            <w:r>
              <w:t xml:space="preserve">copy nearest training horizon</w:t>
            </w:r>
          </w:p>
        </w:tc>
        <w:tc>
          <w:tcPr/>
          <w:p>
            <w:pPr>
              <w:pStyle w:val="Compact"/>
              <w:jc w:val="right"/>
            </w:pPr>
            <w:r>
              <w:t xml:space="preserve">2.058</w:t>
            </w:r>
          </w:p>
        </w:tc>
        <w:tc>
          <w:tcPr/>
          <w:p>
            <w:pPr>
              <w:pStyle w:val="Compact"/>
              <w:jc w:val="right"/>
            </w:pPr>
            <w:r>
              <w:t xml:space="preserve">14.77</w:t>
            </w:r>
          </w:p>
        </w:tc>
        <w:tc>
          <w:tcPr/>
          <w:p>
            <w:pPr>
              <w:pStyle w:val="Compact"/>
              <w:jc w:val="right"/>
            </w:pPr>
            <w:r>
              <w:t xml:space="preserve">0.391</w:t>
            </w:r>
          </w:p>
        </w:tc>
        <w:tc>
          <w:tcPr/>
          <w:p>
            <w:pPr>
              <w:pStyle w:val="Compact"/>
              <w:jc w:val="right"/>
            </w:pPr>
            <w:r>
              <w:t xml:space="preserve">0.040</w:t>
            </w:r>
          </w:p>
        </w:tc>
      </w:tr>
      <w:tr>
        <w:tc>
          <w:tcPr/>
          <w:p>
            <w:pPr>
              <w:pStyle w:val="Compact"/>
              <w:jc w:val="left"/>
            </w:pPr>
            <w:r>
              <w:t xml:space="preserve">nested exponential (3 par)</w:t>
            </w:r>
          </w:p>
        </w:tc>
        <w:tc>
          <w:tcPr/>
          <w:p>
            <w:pPr>
              <w:pStyle w:val="Compact"/>
              <w:jc w:val="right"/>
            </w:pPr>
            <w:r>
              <w:t xml:space="preserve">2.073</w:t>
            </w:r>
          </w:p>
        </w:tc>
        <w:tc>
          <w:tcPr/>
          <w:p>
            <w:pPr>
              <w:pStyle w:val="Compact"/>
              <w:jc w:val="right"/>
            </w:pPr>
            <w:r>
              <w:t xml:space="preserve">14.77</w:t>
            </w:r>
          </w:p>
        </w:tc>
        <w:tc>
          <w:tcPr/>
          <w:p>
            <w:pPr>
              <w:pStyle w:val="Compact"/>
              <w:jc w:val="right"/>
            </w:pPr>
            <w:r>
              <w:t xml:space="preserve">0.081</w:t>
            </w:r>
          </w:p>
        </w:tc>
        <w:tc>
          <w:tcPr/>
          <w:p>
            <w:pPr>
              <w:pStyle w:val="Compact"/>
              <w:jc w:val="right"/>
            </w:pPr>
            <w:r>
              <w:t xml:space="preserve">0.036</w:t>
            </w:r>
          </w:p>
        </w:tc>
      </w:tr>
      <w:tr>
        <w:tc>
          <w:tcPr/>
          <w:p>
            <w:pPr>
              <w:pStyle w:val="Compact"/>
              <w:jc w:val="left"/>
            </w:pPr>
            <w:r>
              <w:t xml:space="preserve">RF, depth as covariate (pooled)</w:t>
            </w:r>
          </w:p>
        </w:tc>
        <w:tc>
          <w:tcPr/>
          <w:p>
            <w:pPr>
              <w:pStyle w:val="Compact"/>
              <w:jc w:val="right"/>
            </w:pPr>
            <w:r>
              <w:t xml:space="preserve">2.667</w:t>
            </w:r>
          </w:p>
        </w:tc>
        <w:tc>
          <w:tcPr/>
          <w:p>
            <w:pPr>
              <w:pStyle w:val="Compact"/>
              <w:jc w:val="right"/>
            </w:pPr>
            <w:r>
              <w:t xml:space="preserve">14.76</w:t>
            </w:r>
          </w:p>
        </w:tc>
        <w:tc>
          <w:tcPr/>
          <w:p>
            <w:pPr>
              <w:pStyle w:val="Compact"/>
              <w:jc w:val="right"/>
            </w:pPr>
            <w:r>
              <w:t xml:space="preserve">0.380</w:t>
            </w:r>
          </w:p>
        </w:tc>
        <w:tc>
          <w:tcPr/>
          <w:p>
            <w:pPr>
              <w:pStyle w:val="Compact"/>
              <w:jc w:val="right"/>
            </w:pPr>
            <w:r>
              <w:t xml:space="preserve">0.013</w:t>
            </w:r>
          </w:p>
        </w:tc>
      </w:tr>
      <w:tr>
        <w:tc>
          <w:tcPr/>
          <w:p>
            <w:pPr>
              <w:pStyle w:val="Compact"/>
              <w:jc w:val="left"/>
            </w:pPr>
            <w:r>
              <w:t xml:space="preserve">profile mean</w:t>
            </w:r>
          </w:p>
        </w:tc>
        <w:tc>
          <w:tcPr/>
          <w:p>
            <w:pPr>
              <w:pStyle w:val="Compact"/>
              <w:jc w:val="right"/>
            </w:pPr>
            <w:r>
              <w:t xml:space="preserve">8.000</w:t>
            </w:r>
          </w:p>
        </w:tc>
        <w:tc>
          <w:tcPr/>
          <w:p>
            <w:pPr>
              <w:pStyle w:val="Compact"/>
              <w:jc w:val="right"/>
            </w:pPr>
            <w:r>
              <w:t xml:space="preserve">17.23</w:t>
            </w:r>
          </w:p>
        </w:tc>
        <w:tc>
          <w:tcPr/>
          <w:p>
            <w:pPr>
              <w:pStyle w:val="Compact"/>
              <w:jc w:val="right"/>
            </w:pPr>
            <w:r>
              <w:t xml:space="preserve">6.548</w:t>
            </w:r>
          </w:p>
        </w:tc>
        <w:tc>
          <w:tcPr/>
          <w:p>
            <w:pPr>
              <w:pStyle w:val="Compact"/>
              <w:jc w:val="right"/>
            </w:pPr>
            <w:r>
              <w:t xml:space="preserve">0.039</w:t>
            </w:r>
          </w:p>
        </w:tc>
      </w:tr>
    </w:tbl>
    <w:p>
      <w:pPr>
        <w:pStyle w:val="BodyText"/>
      </w:pPr>
      <w:r>
        <w:rPr>
          <w:b/>
          <w:bCs/>
        </w:rPr>
        <w:t xml:space="preserve">What declaring the validity domain does, and does not, buy.</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15.4% of these profiles are not monotone even in their training horizons. It is tempting to read that as a scope statement that rescues the model, and an earlier version of this analysis did exactly that, reporting that restricting to the monotone profiles moved the RMSE from 14.04 to 1.51.</w:t>
      </w:r>
    </w:p>
    <w:p>
      <w:pPr>
        <w:pStyle w:val="BodyText"/>
      </w:pPr>
      <w:r>
        <w:t xml:space="preserve">That reduction was an artefact of how the restriction was computed. Judging a profile monotone from its</w:t>
      </w:r>
      <w:r>
        <w:t xml:space="preserve"> </w:t>
      </w:r>
      <w:r>
        <w:rPr>
          <w:i/>
          <w:iCs/>
        </w:rPr>
        <w:t xml:space="preserve">complete</w:t>
      </w:r>
      <w:r>
        <w:t xml:space="preserve"> </w:t>
      </w:r>
      <w:r>
        <w:t xml:space="preserve">record — including the deepest horizon, the one the extrapolation task holds out — excludes precisely those profiles whose held-out horizon jumps, which are the hard cases. Sixty of the 935 profiles are monotone in their training horizons but not in the full record, and they are enough to carry the result: the largest jump of the held-out horizon is 17 g/kg among the profiles the leaking criterion admits and 427 g/kg among those the honest one admits. Computing the criterion from training horizons only, as it must be, leaves the RMSE at 14.74 rather than 1.51.</w:t>
      </w:r>
    </w:p>
    <w:p>
      <w:pPr>
        <w:pStyle w:val="BodyText"/>
      </w:pPr>
      <w:r>
        <w:t xml:space="preserve">The honest conclusion is narrower than the one that stratification appeared to license, and more useful. The model predicts the typical held-out horizon well — median absolute error 0.76 g/kg — and fails catastrophically on about one profile in a hundred, and nothing available at fit time distinguishes the two. The absolute correlation between the size of the jump in the held-out horizon and the number of training horizons, the depth of the prediction, or the model’s own extrapolation diagnostic is below 0.03 in every case. A depth function fitted to the horizons above cannot know that a buried organic horizon is coming, and declaring a validity domain does not change that, because the declaration would have to be made from the same information.</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10]</w:t>
      </w:r>
      <w:r>
        <w:t xml:space="preserve"> </w:t>
      </w:r>
      <w:r>
        <w:t xml:space="preserve">carrying a fourth shape parameter. The defensible steady-state balance for soil carbon is an advection–reaction–diffusion equation</w:t>
      </w:r>
      <w:r>
        <w:t xml:space="preserve"> </w:t>
      </w:r>
      <w:r>
        <w:t xml:space="preserve">[11,12]</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[13,14]</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935 profiles the derived model leads the table on mean absolute error, 1.76 against 1.82 g/kg, but the difference is not significant: it wins on 486 profiles against 449, paired Wilcoxon</w:t>
      </w:r>
      <w:r>
        <w:t xml:space="preserve"> </w:t>
      </w:r>
      <m:oMath>
        <m:r>
          <m:t>p</m:t>
        </m:r>
        <m:r>
          <m:rPr>
            <m:sty m:val="p"/>
          </m:rPr>
          <m:t>=</m:t>
        </m:r>
        <m:r>
          <m:t>0.25</m:t>
        </m:r>
      </m:oMath>
      <w:r>
        <w:t xml:space="preserve">. On the nine-horizon pedon it does fit markedly better, 0.44 against 2.52 g/kg.</w:t>
      </w:r>
    </w:p>
    <w:p>
      <w:pPr>
        <w:pStyle w:val="BodyText"/>
      </w:pPr>
      <w:r>
        <w:t xml:space="preserve">That null result is worth stating carefully, because an earlier version of this analysis reached the opposite conclusion. Under a Gaussian likelihood the derived model appeared to win decisively (</w:t>
      </w:r>
      <m:oMath>
        <m:r>
          <m:t>p</m:t>
        </m:r>
        <m:r>
          <m:rPr>
            <m:sty m:val="p"/>
          </m:rPr>
          <m:t>=</m:t>
        </m:r>
        <m:r>
          <m:t>2</m:t>
        </m:r>
        <m:r>
          <m:rPr>
            <m:sty m:val="p"/>
          </m:rPr>
          <m:t>×</m:t>
        </m:r>
        <m:sSup>
          <m:e>
            <m:r>
              <m:t>10</m:t>
            </m:r>
          </m:e>
          <m:sup>
            <m:r>
              <m:rPr>
                <m:sty m:val="p"/>
              </m:rPr>
              <m:t>−</m:t>
            </m:r>
            <m:r>
              <m:t>6</m:t>
            </m:r>
          </m:sup>
        </m:sSup>
      </m:oMath>
      <w:r>
        <w:t xml:space="preserve">). Correcting the likelihood for both models removed the difference — the Gaussian was penalising the attenuating-rate form more, because over-weighting the topsoil hurts the model whose flexibility lies in the deep tail. The two forms are, on this evidence, equally accurate at predicting a held-out deepest horizon.</w:t>
      </w:r>
    </w:p>
    <w:p>
      <w:pPr>
        <w:pStyle w:val="BodyText"/>
      </w:pPr>
      <w:r>
        <w:t xml:space="preserve">We therefore recommend the derived form on the grounds it can actually be defended — it follows from a carbon balance, its parameters are positive and priorable from published rooting and stabilisation values, and its asymptote is a parameter of the equation rather than a coordinate the profile never reaches — and not on grounds of accuracy, where the honest answer is a tie. The attenuating-rate equation is retained because it is what the depth-function literature has used and it is the fair comparator.</w:t>
      </w:r>
    </w:p>
    <w:p>
      <w:pPr>
        <w:pStyle w:val="BodyText"/>
      </w:pPr>
      <w:r>
        <w:rPr>
          <w:b/>
          <w:bCs/>
        </w:rPr>
        <w:t xml:space="preserve">Can the fitted profile be mapped?</w:t>
      </w:r>
      <w:r>
        <w:t xml:space="preserve"> </w:t>
      </w:r>
      <w:r>
        <w:t xml:space="preserve">A pedometrician handed a per-pedon depth model reaches for the obvious two-stage workflow: fit the equation at every profile, then krige its parameters onto a grid. That workflow needs the fitted parameters to be spatially structured, and nobody had checked whether they are. Fitting all 1,105 profiles and computing the empirical variogram of each parameter over 386,729 point pairs gives an answer that is neither the hoped-for yes nor a flat no (Fig 4).</w:t>
      </w:r>
    </w:p>
    <w:p>
      <w:pPr>
        <w:pStyle w:val="BodyText"/>
      </w:pPr>
      <w:r>
        <w:t xml:space="preserve">Only one of the four parameters has an identified variogram. The attainable deep value reaches a sill at a range of 69 km with a nugget-to-sill ratio of 0.69 — moderate spatial dependence in the sense of Cambardella et al.</w:t>
      </w:r>
      <w:r>
        <w:t xml:space="preserve"> </w:t>
      </w:r>
      <w:r>
        <w:t xml:space="preserve">[15]</w:t>
      </w:r>
      <w:r>
        <w:t xml:space="preserve">, and close to the 0.75 boundary they set for weak. The other three, the surface value, the depth attenuation and the total relaxation, fit ranges of 3, 12 and 8 km, all</w:t>
      </w:r>
      <w:r>
        <w:t xml:space="preserve"> </w:t>
      </w:r>
      <w:r>
        <w:rPr>
          <w:i/>
          <w:iCs/>
        </w:rPr>
        <w:t xml:space="preserve">below the closest pair of profiles in the archive</w:t>
      </w:r>
      <w:r>
        <w:t xml:space="preserve">: the nearest lag these profiles support is 35 km, so a range shorter than that is interpolated through empty space rather than measured. Their spatial structure, whatever it is, operates at a scale this survey cannot see.</w:t>
      </w:r>
    </w:p>
    <w:p>
      <w:pPr>
        <w:pStyle w:val="BodyText"/>
      </w:pPr>
      <w:r>
        <w:t xml:space="preserve">These figures replace an earlier version of this table computed from Gaussian-likelihood fits, which reported two identified parameters at 68 and 55 km. Changing the observation model changes the fitted parameters, and therefore their variograms; the depth attenuation’s apparent 55 km range does not survive the correction.</w:t>
      </w:r>
    </w:p>
    <w:p>
      <w:pPr>
        <w:pStyle w:val="BodyText"/>
      </w:pPr>
      <w:r>
        <w:t xml:space="preserve">The consequence for mapping is unfavourable, and more so than before. The single identified range, 69 km, is far shorter than the median separation between profiles in this archive, so kriging that parameter would be extrapolating almost everywhere — and for the other three there is no range to krige with at all. Regressing each on climate and terrain first does not rescue the situation: those covariates explain between 2.3% and 9.0% of the parameters’ variance, and the residual variograms are no better structured than the raw ones.</w:t>
      </w:r>
    </w:p>
    <w:p>
      <w:pPr>
        <w:pStyle w:val="BodyText"/>
      </w:pPr>
      <w:r>
        <w:t xml:space="preserve">We therefore report the two-stage workflow as inadequate on these data, and for a reason that is about sampling design rather than about the equation: the depth function varies over tens of kilometres while the profiles are hundreds of kilometres apart. The remedy is not a better kriging model but a one-stage hierarchical one, in which the profile parameters are regressed on covariates and share a spatial random effect, so that the shape of a profile at an unvisited site is borrowed rather than interpolated. We flag that as the pillar’s next step rather than claim it here.</w:t>
      </w:r>
    </w:p>
    <w:p>
      <w:pPr>
        <w:pStyle w:val="BodyText"/>
      </w:pPr>
      <w:r>
        <w:drawing>
          <wp:inline>
            <wp:extent cx="5334000" cy="3845441"/>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3845441"/>
                    </a:xfrm>
                    <a:prstGeom prst="rect">
                      <a:avLst/>
                    </a:prstGeom>
                    <a:noFill/>
                    <a:ln w="9525">
                      <a:noFill/>
                      <a:headEnd/>
                      <a:tailEnd/>
                    </a:ln>
                  </pic:spPr>
                </pic:pic>
              </a:graphicData>
            </a:graphic>
          </wp:inline>
        </w:drawing>
      </w:r>
    </w:p>
    <w:p>
      <w:pPr>
        <w:pStyle w:val="BodyText"/>
      </w:pPr>
      <w:r>
        <w:rPr>
          <w:b/>
          <w:bCs/>
        </w:rPr>
        <w:t xml:space="preserve">Fig 4. The depth function varies faster than the survey can see.</w:t>
      </w:r>
      <w:r>
        <w:t xml:space="preserve"> </w:t>
      </w:r>
      <w:r>
        <w:t xml:space="preserve">Empirical variograms of the four fitted parameters across 1,060 profiles with converged fits, 386,729 point pairs, with fitted exponential models. One parameter — the attainable deep value — reaches a sill within the observed separations, at 69 km; the other three fit ranges shorter than the 35 km nearest lag the archive supports, and are therefore not identified. Point size is the number of pairs in each lag.</w:t>
      </w:r>
    </w:p>
    <w:p>
      <w:pPr>
        <w:pStyle w:val="BodyText"/>
      </w:pPr>
      <w:r>
        <w:rPr>
          <w:b/>
          <w:bCs/>
        </w:rPr>
        <w:t xml:space="preserve">Do the parameters mean what they are called?</w:t>
      </w:r>
      <w:r>
        <w:t xml:space="preserve"> </w:t>
      </w:r>
      <w:r>
        <w:t xml:space="preserve">The pillar claims its parameters are identified and interpretable. Identified we demonstrate; interpretable we had only asserted. Two directional predictions test it, both falsifiable, and they come out differently.</w:t>
      </w:r>
    </w:p>
    <w:p>
      <w:pPr>
        <w:pStyle w:val="BodyText"/>
      </w:pPr>
      <w:r>
        <w:t xml:space="preserve">The first concerns the deep floor. Hassink</w:t>
      </w:r>
      <w:r>
        <w:t xml:space="preserve"> </w:t>
      </w:r>
      <w:r>
        <w:t xml:space="preserve">[16]</w:t>
      </w:r>
      <w:r>
        <w:t xml:space="preserve"> </w:t>
      </w:r>
      <w:r>
        <w:t xml:space="preserve">showed that a soil’s capacity to preserve carbon in association with its fine fraction rises with the mass of that fraction, so if</w:t>
      </w:r>
      <w:r>
        <w:t xml:space="preserve"> </w:t>
      </w:r>
      <m:oMath>
        <m:r>
          <m:t>y</m:t>
        </m:r>
        <m:r>
          <m:rPr>
            <m:sty m:val="p"/>
          </m:rPr>
          <m:t>(</m:t>
        </m:r>
        <m:r>
          <m:rPr>
            <m:sty m:val="p"/>
          </m:rPr>
          <m:t>∞</m:t>
        </m:r>
        <m:r>
          <m:rPr>
            <m:sty m:val="p"/>
          </m:rPr>
          <m:t>)</m:t>
        </m:r>
      </m:oMath>
      <w:r>
        <w:t xml:space="preserve"> </w:t>
      </w:r>
      <w:r>
        <w:t xml:space="preserve">is a mineral-associated floor it must increase with clay plus silt; if it is only a shape parameter, there is no reason it should. Across 812 monotone profiles with a texture estimate within 5 km, it does: the slope of</w:t>
      </w:r>
      <w:r>
        <w:t xml:space="preserve"> </w:t>
      </w:r>
      <m:oMath>
        <m:r>
          <m:rPr>
            <m:sty m:val="p"/>
          </m:rPr>
          <m:t>log</m:t>
        </m:r>
        <m:r>
          <m:t>y</m:t>
        </m:r>
        <m:r>
          <m:rPr>
            <m:sty m:val="p"/>
          </m:rPr>
          <m:t>(</m:t>
        </m:r>
        <m:r>
          <m:rPr>
            <m:sty m:val="p"/>
          </m:rPr>
          <m:t>∞</m:t>
        </m:r>
        <m:r>
          <m:rPr>
            <m:sty m:val="p"/>
          </m:rPr>
          <m:t>)</m:t>
        </m:r>
      </m:oMath>
      <w:r>
        <w:t xml:space="preserve"> </w:t>
      </w:r>
      <w:r>
        <w:t xml:space="preserve">on clay + silt is</w:t>
      </w:r>
      <w:r>
        <w:t xml:space="preserve"> </w:t>
      </w:r>
      <m:oMath>
        <m:r>
          <m:rPr>
            <m:sty m:val="p"/>
          </m:rPr>
          <m:t>+</m:t>
        </m:r>
        <m:r>
          <m:t>0.0067</m:t>
        </m:r>
      </m:oMath>
      <w:r>
        <w:t xml:space="preserve"> </w:t>
      </w:r>
      <w:r>
        <w:t xml:space="preserve">per percentage point (</w:t>
      </w:r>
      <m:oMath>
        <m:r>
          <m:t>p</m:t>
        </m:r>
        <m:r>
          <m:rPr>
            <m:sty m:val="p"/>
          </m:rPr>
          <m:t>=</m:t>
        </m:r>
        <m:r>
          <m:t>0.03</m:t>
        </m:r>
      </m:oMath>
      <w:r>
        <w:t xml:space="preserve">; Spearman</w:t>
      </w:r>
      <w:r>
        <w:t xml:space="preserve"> </w:t>
      </w:r>
      <m:oMath>
        <m:r>
          <m:t>ρ</m:t>
        </m:r>
        <m:r>
          <m:rPr>
            <m:sty m:val="p"/>
          </m:rPr>
          <m:t>=</m:t>
        </m:r>
        <m:r>
          <m:t>0.10</m:t>
        </m:r>
      </m:oMath>
      <w:r>
        <w:t xml:space="preserve">,</w:t>
      </w:r>
      <w:r>
        <w:t xml:space="preserve"> </w:t>
      </w:r>
      <m:oMath>
        <m:r>
          <m:t>p</m:t>
        </m:r>
        <m:r>
          <m:rPr>
            <m:sty m:val="p"/>
          </m:rPr>
          <m:t>=</m:t>
        </m:r>
        <m:r>
          <m:t>0.004</m:t>
        </m:r>
      </m:oMath>
      <w:r>
        <w:t xml:space="preserve">), which over the observed 17–93% range corresponds to a 1.7-fold change in the fitted floor. The direction is the predicted one and the association is not an artefact of one parameterisation — the attained value of the attenuating-rate form gives the same sign more strongly (</w:t>
      </w:r>
      <m:oMath>
        <m:r>
          <m:t>p</m:t>
        </m:r>
        <m:r>
          <m:rPr>
            <m:sty m:val="p"/>
          </m:rPr>
          <m:t>=</m:t>
        </m:r>
        <m:r>
          <m:t>0.002</m:t>
        </m:r>
      </m:oMath>
      <w:r>
        <w:t xml:space="preserve">).</w:t>
      </w:r>
    </w:p>
    <w:p>
      <w:pPr>
        <w:pStyle w:val="BodyText"/>
      </w:pPr>
      <w:r>
        <w:t xml:space="preserve">The magnitude, however, is negligible: texture explains 0.5% of the variance in the fitted floor. With 812 profiles a relation this weak clears significance easily, and the texture is a SoilGrids prediction rather than a measurement, from a product trained partly on the same WoSIS archive. We report this as consistent with the mechanism and as very much weaker than a confirmation of it.</w:t>
      </w:r>
    </w:p>
    <w:p>
      <w:pPr>
        <w:pStyle w:val="BodyText"/>
      </w:pPr>
      <w:r>
        <w:t xml:space="preserve">The second anchor fails, and how it fails is the more useful result. Jobbágy and Jackson</w:t>
      </w:r>
      <w:r>
        <w:t xml:space="preserve"> </w:t>
      </w:r>
      <w:r>
        <w:t xml:space="preserve">[17]</w:t>
      </w:r>
      <w:r>
        <w:t xml:space="preserve"> </w:t>
      </w:r>
      <w:r>
        <w:t xml:space="preserve">summarise the vertical distribution of soil carbon by</w:t>
      </w:r>
      <w:r>
        <w:t xml:space="preserve"> </w:t>
      </w:r>
      <m:oMath>
        <m:r>
          <m:t>β</m:t>
        </m:r>
      </m:oMath>
      <w:r>
        <w:t xml:space="preserve"> </w:t>
      </w:r>
      <w:r>
        <w:t xml:space="preserve">in</w:t>
      </w:r>
      <w:r>
        <w:t xml:space="preserve"> </w:t>
      </w:r>
      <m:oMath>
        <m:r>
          <m:t>Y</m:t>
        </m:r>
        <m:r>
          <m:rPr>
            <m:sty m:val="p"/>
          </m:rPr>
          <m:t>(</m:t>
        </m:r>
        <m:r>
          <m:t>d</m:t>
        </m:r>
        <m:r>
          <m:rPr>
            <m:sty m:val="p"/>
          </m:rPr>
          <m:t>)</m:t>
        </m:r>
        <m:r>
          <m:rPr>
            <m:sty m:val="p"/>
          </m:rPr>
          <m:t>=</m:t>
        </m:r>
        <m:r>
          <m:t>1</m:t>
        </m:r>
        <m:r>
          <m:rPr>
            <m:sty m:val="p"/>
          </m:rPr>
          <m:t>−</m:t>
        </m:r>
        <m:sSup>
          <m:e>
            <m:r>
              <m:t>β</m:t>
            </m:r>
          </m:e>
          <m:sup>
            <m:r>
              <m:t>d</m:t>
            </m:r>
          </m:sup>
        </m:sSup>
      </m:oMath>
      <w:r>
        <w:t xml:space="preserve">, a whole-profile shape statistic defined without reference to any of our parameters, and their central finding is that vegetation shapes it. Our fitted depth functions imply a</w:t>
      </w:r>
      <w:r>
        <w:t xml:space="preserve"> </w:t>
      </w:r>
      <m:oMath>
        <m:r>
          <m:t>β</m:t>
        </m:r>
      </m:oMath>
      <w:r>
        <w:t xml:space="preserve"> </w:t>
      </w:r>
      <w:r>
        <w:t xml:space="preserve">with a median of 0.971 and a 5–95% range of 0.957–0.980 — a narrow, pedologically unremarkable band. But it moves with nothing outside the fit. Regressed on tree cover it gives a slope of</w:t>
      </w:r>
      <w:r>
        <w:t xml:space="preserve"> </w:t>
      </w:r>
      <m:oMath>
        <m:r>
          <m:rPr>
            <m:sty m:val="p"/>
          </m:rPr>
          <m:t>−</m:t>
        </m:r>
        <m:r>
          <m:t>4</m:t>
        </m:r>
        <m:r>
          <m:rPr>
            <m:sty m:val="p"/>
          </m:rPr>
          <m:t>×</m:t>
        </m:r>
        <m:sSup>
          <m:e>
            <m:r>
              <m:t>10</m:t>
            </m:r>
          </m:e>
          <m:sup>
            <m:r>
              <m:rPr>
                <m:sty m:val="p"/>
              </m:rPr>
              <m:t>−</m:t>
            </m:r>
            <m:r>
              <m:t>5</m:t>
            </m:r>
          </m:sup>
        </m:sSup>
      </m:oMath>
      <w:r>
        <w:t xml:space="preserve"> </w:t>
      </w:r>
      <w:r>
        <w:t xml:space="preserve">(</w:t>
      </w:r>
      <m:oMath>
        <m:r>
          <m:t>p</m:t>
        </m:r>
        <m:r>
          <m:rPr>
            <m:sty m:val="p"/>
          </m:rPr>
          <m:t>=</m:t>
        </m:r>
        <m:r>
          <m:t>0.97</m:t>
        </m:r>
      </m:oMath>
      <w:r>
        <w:t xml:space="preserve">,</w:t>
      </w:r>
      <w:r>
        <w:t xml:space="preserve"> </w:t>
      </w:r>
      <m:oMath>
        <m:sSup>
          <m:e>
            <m:r>
              <m:t>R</m:t>
            </m:r>
          </m:e>
          <m:sup>
            <m:r>
              <m:t>2</m:t>
            </m:r>
          </m:sup>
        </m:sSup>
        <m:r>
          <m:rPr>
            <m:sty m:val="p"/>
          </m:rPr>
          <m:t>=</m:t>
        </m:r>
        <m:r>
          <m:t>0.00003</m:t>
        </m:r>
      </m:oMath>
      <w:r>
        <w:t xml:space="preserve">); on clay,</w:t>
      </w:r>
      <w:r>
        <w:t xml:space="preserve"> </w:t>
      </w:r>
      <m:oMath>
        <m:sSup>
          <m:e>
            <m:r>
              <m:t>R</m:t>
            </m:r>
          </m:e>
          <m:sup>
            <m:r>
              <m:t>2</m:t>
            </m:r>
          </m:sup>
        </m:sSup>
        <m:r>
          <m:rPr>
            <m:sty m:val="p"/>
          </m:rPr>
          <m:t>&lt;</m:t>
        </m:r>
        <m:r>
          <m:t>0.0001</m:t>
        </m:r>
      </m:oMath>
      <w:r>
        <w:t xml:space="preserve">; on mean annual precipitation,</w:t>
      </w:r>
      <w:r>
        <w:t xml:space="preserve"> </w:t>
      </w:r>
      <m:oMath>
        <m:sSup>
          <m:e>
            <m:r>
              <m:t>R</m:t>
            </m:r>
          </m:e>
          <m:sup>
            <m:r>
              <m:t>2</m:t>
            </m:r>
          </m:sup>
        </m:sSup>
        <m:r>
          <m:rPr>
            <m:sty m:val="p"/>
          </m:rPr>
          <m:t>=</m:t>
        </m:r>
        <m:r>
          <m:t>0.0005</m:t>
        </m:r>
      </m:oMath>
      <w:r>
        <w:t xml:space="preserve">. The one external variable it does track is the depth to which the profile happened to be dug (</w:t>
      </w:r>
      <m:oMath>
        <m:sSup>
          <m:e>
            <m:r>
              <m:t>R</m:t>
            </m:r>
          </m:e>
          <m:sup>
            <m:r>
              <m:t>2</m:t>
            </m:r>
          </m:sup>
        </m:sSup>
        <m:r>
          <m:rPr>
            <m:sty m:val="p"/>
          </m:rPr>
          <m:t>=</m:t>
        </m:r>
        <m:r>
          <m:t>0.024</m:t>
        </m:r>
      </m:oMath>
      <w:r>
        <w:t xml:space="preserve">,</w:t>
      </w:r>
      <w:r>
        <w:t xml:space="preserve"> </w:t>
      </w:r>
      <m:oMath>
        <m:r>
          <m:t>p</m:t>
        </m:r>
        <m:r>
          <m:rPr>
            <m:sty m:val="p"/>
          </m:rPr>
          <m:t>=</m:t>
        </m:r>
        <m:r>
          <m:t>1</m:t>
        </m:r>
        <m:r>
          <m:rPr>
            <m:sty m:val="p"/>
          </m:rPr>
          <m:t>×</m:t>
        </m:r>
        <m:sSup>
          <m:e>
            <m:r>
              <m:t>10</m:t>
            </m:r>
          </m:e>
          <m:sup>
            <m:r>
              <m:rPr>
                <m:sty m:val="p"/>
              </m:rPr>
              <m:t>−</m:t>
            </m:r>
            <m:r>
              <m:t>5</m:t>
            </m:r>
          </m:sup>
        </m:sSup>
      </m:oMath>
      <w:r>
        <w:t xml:space="preserve">), which is a property of the survey rather than of the soil.</w:t>
      </w:r>
    </w:p>
    <w:p>
      <w:pPr>
        <w:pStyle w:val="BodyText"/>
      </w:pPr>
      <w:r>
        <w:t xml:space="preserve">What it does track is us. Sixty-three percent of the variance in the implied</w:t>
      </w:r>
      <w:r>
        <w:t xml:space="preserve"> </w:t>
      </w:r>
      <m:oMath>
        <m:r>
          <m:t>β</m:t>
        </m:r>
      </m:oMath>
      <w:r>
        <w:t xml:space="preserve"> </w:t>
      </w:r>
      <w:r>
        <w:t xml:space="preserve">is explained by the fitted surface concentration alone. That is mechanically unsurprising once stated — within this model family the cumulative curve is pinned by the contrast between the surface and the deep value, which is what the parameterisation encodes — but it is decisive for the anchor’s purpose. A statistic that is two-thirds determined by a parameter of the model it is meant to validate is not external evidence, and we withdraw it as such. It remains a useful check that the fitted profiles are not absurd; it is not a check that they are right.</w:t>
      </w:r>
    </w:p>
    <w:p>
      <w:pPr>
        <w:pStyle w:val="BodyText"/>
      </w:pPr>
      <w:r>
        <w:rPr>
          <w:b/>
          <w:bCs/>
        </w:rPr>
        <w:t xml:space="preserve">What we do not claim.</w:t>
      </w:r>
      <w:r>
        <w:t xml:space="preserve"> </w:t>
      </w:r>
      <w:r>
        <w:t xml:space="preserve">Four limits belong with this pillar. The model is monotone and cannot represent horizon differentiation; the 15.4% of profiles whose training horizons already violate monotonicity are not a rounding error but the pedologically most interesting ones, and the profiles that violate it only in the horizon being predicted cannot be excluded in advance at all. Carbon</w:t>
      </w:r>
      <w:r>
        <w:t xml:space="preserve"> </w:t>
      </w:r>
      <w:r>
        <w:rPr>
          <w:i/>
          <w:iCs/>
        </w:rPr>
        <w:t xml:space="preserve">stock</w:t>
      </w:r>
      <w:r>
        <w:t xml:space="preserve">, not concentration, is the quantity that is conserved and mapped, and we cannot validate against it here: WoSIS bulk density covers 3.9% of these horizons and only eight profiles completely, so a stock comparison would rest on a pedotransfer function rather than on measurement.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 And the interpretation of the parameters rests, on the evidence above, on one weak directional association and one anchor that turned out to be internal.</w:t>
      </w:r>
    </w:p>
    <w:p>
      <w:pPr>
        <w:pStyle w:val="Heading3"/>
      </w:pPr>
      <w:r>
        <w:t xml:space="preserve">Four-dimensional pedometry: machinery without a soil test case</w:t>
      </w:r>
    </w:p>
    <w:p>
      <w:pPr>
        <w:pStyle w:val="FirstParagraph"/>
      </w:pPr>
      <w:r>
        <w:t xml:space="preserve">The third pillar treats a gridded environmental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BodyText"/>
      </w:pPr>
      <w:r>
        <w:t xml:space="preserve">We state at the outset what the target of the real-data demonstration is, because the machinery is general and the demonstration is not. The cube in Fig 5 is MODIS MOD13Q1 vegetation index driven by NASA POWER precipitation and temperature;</w:t>
      </w:r>
      <w:r>
        <w:t xml:space="preserve"> </w:t>
      </w:r>
      <w:r>
        <w:rPr>
          <w:b/>
          <w:bCs/>
        </w:rPr>
        <w:t xml:space="preserve">no soil quantity appears in it</w:t>
      </w:r>
      <w:r>
        <w:t xml:space="preserve">. The reason is not that the pillar was built for vegetation but that the archive cannot support the soil version: across the 1,095 Cerrado profiles, exactly six locations were sampled in more than one year, all of them a single 1981-versus-1986 pair. Six two-point series are not a space–time field. Pillar 3 is therefore a demonstrator of the forecasting and assimilation machinery on a real, densely observed cube, not a validated soil-carbon forecast, and nothing in Results rests on it.</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5 shows both halves of the pillar on a real Cerrado vegetation-index cube.</w:t>
      </w:r>
    </w:p>
    <w:p>
      <w:pPr>
        <w:pStyle w:val="BodyText"/>
      </w:pPr>
      <w:r>
        <w:drawing>
          <wp:inline>
            <wp:extent cx="5334000" cy="4312595"/>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5. Forecasting a field and assimilating observations into it.</w:t>
      </w:r>
      <w:r>
        <w:t xml:space="preserve"> </w:t>
      </w:r>
      <w:r>
        <w:t xml:space="preserve">The target throughout is MODIS vegetation index, not soil carbon. (A) Observed and forecast vegetation index at three lead times over a 10 x 10 Cerrado grid. (B) The ten-member forecast ensemble at the cell the filter corrects most, against the observed trajectory. (C) Ensemble Kalman assimilation of eight point observations: the prior field, the analysis, and the increment between them. Those eight points are</w:t>
      </w:r>
      <w:r>
        <w:t xml:space="preserve"> </w:t>
      </w:r>
      <w:r>
        <w:rPr>
          <w:b/>
          <w:bCs/>
        </w:rPr>
        <w:t xml:space="preserve">synthetic</w:t>
      </w:r>
      <w:r>
        <w:t xml:space="preserve"> </w:t>
      </w:r>
      <w:r>
        <w:t xml:space="preserve">— the withheld truth field plus Gaussian noise of 0.15 z-units — because no repeated in-situ series exists here to assimilate; panel C therefore demonstrates that the filter is exact at observed cells and correctly localised, and cannot speak to its skill against real measurements.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6 shows what the objective does and what the resulting embedding organises by.</w:t>
      </w:r>
    </w:p>
    <w:p>
      <w:pPr>
        <w:pStyle w:val="BodyText"/>
      </w:pPr>
      <w:r>
        <w:drawing>
          <wp:inline>
            <wp:extent cx="5334000" cy="4553414"/>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6.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BodyText"/>
      </w:pPr>
      <w:r>
        <w:rPr>
          <w:b/>
          <w:bCs/>
        </w:rPr>
        <w:t xml:space="preserve">The encoder is shown a prediction of its own label.</w:t>
      </w:r>
      <w:r>
        <w:t xml:space="preserve"> </w:t>
      </w:r>
      <w:r>
        <w:t xml:space="preserve">The 31-channel stack the pre-trained encoder consumes begins with SoilGrids organic carbon, alongside clay, sand, pH and bulk density, and that stack is cut into a patch centred on each profile at</w:t>
      </w:r>
      <w:r>
        <w:t xml:space="preserve"> </w:t>
      </w:r>
      <w:r>
        <w:rPr>
          <w:i/>
          <w:iCs/>
        </w:rPr>
        <w:t xml:space="preserve">inference</w:t>
      </w:r>
      <w:r>
        <w:t xml:space="preserve"> </w:t>
      </w:r>
      <w:r>
        <w:t xml:space="preserve">time as well as during pre-training. The embeddings handed to the downstream head are therefore a nonlinear function of another product’s published estimate of the quantity being predicted, evaluated at the coordinate being predicted, and SoilGrids is itself fitted partly to WoSIS. Spatial blocking does not break this path: the raster is global and fold-independent. This is feature leakage, and it must be declared for any embedding number in this paper to be read correctly.</w:t>
      </w:r>
    </w:p>
    <w:p>
      <w:pPr>
        <w:pStyle w:val="BodyText"/>
      </w:pPr>
      <w:r>
        <w:t xml:space="preserve">We measured what it is worth rather than reasoning about it. Extracting the SoilGrids 0–5 cm carbon layer at all 1,095 profile coordinates gives a correlation with the WoSIS topsoil measurement of only</w:t>
      </w:r>
      <w:r>
        <w:t xml:space="preserve"> </w:t>
      </w:r>
      <m:oMath>
        <m:r>
          <m:t>r</m:t>
        </m:r>
        <m:r>
          <m:rPr>
            <m:sty m:val="p"/>
          </m:rPr>
          <m:t>=</m:t>
        </m:r>
        <m:r>
          <m:t>0.25</m:t>
        </m:r>
      </m:oMath>
      <w:r>
        <w:t xml:space="preserve"> </w:t>
      </w:r>
      <w:r>
        <w:t xml:space="preserve">(Spearman 0.26), and a linear model using that leaked layer</w:t>
      </w:r>
      <w:r>
        <w:t xml:space="preserve"> </w:t>
      </w:r>
      <w:r>
        <w:rPr>
          <w:i/>
          <w:iCs/>
        </w:rPr>
        <w:t xml:space="preserve">alone</w:t>
      </w:r>
      <w:r>
        <w:t xml:space="preserve">, scored on the same buffered blocks, reaches an NSE of</w:t>
      </w:r>
      <w:r>
        <w:t xml:space="preserve"> </w:t>
      </w:r>
      <m:oMath>
        <m:r>
          <m:rPr>
            <m:sty m:val="p"/>
          </m:rPr>
          <m:t>−</m:t>
        </m:r>
        <m:r>
          <m:t>0.012</m:t>
        </m:r>
      </m:oMath>
      <w:r>
        <w:t xml:space="preserve"> </w:t>
      </w:r>
      <w:r>
        <w:t xml:space="preserve">— below the achievable null. The leaked channel carries essentially no skill for this label, most likely for the same reason as in the causal analysis: it is a 2020 estimate of a 1982 measurement. So the leakage cannot account for the embeddings’ position in the benchmark, and correcting it would not rescue them.</w:t>
      </w:r>
    </w:p>
    <w:p>
      <w:pPr>
        <w:pStyle w:val="BodyText"/>
      </w:pPr>
      <w:r>
        <w:t xml:space="preserve">If anything the finding runs the other way, and it is worth stating plainly: the foundation embeddings rank fourth of six</w:t>
      </w:r>
      <w:r>
        <w:t xml:space="preserve"> </w:t>
      </w:r>
      <w:r>
        <w:rPr>
          <w:i/>
          <w:iCs/>
        </w:rPr>
        <w:t xml:space="preserve">even with a prediction of the label inside their input</w:t>
      </w:r>
      <w:r>
        <w:t xml:space="preserve">, behind an ordinary least-squares fit on ten covariates that never sees it. The clean experiment — an encoder pre-trained on a stack with the carbon channel removed — requires retraining and is not reported here; we flag it as the fix rather than claim to have performed it.</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7 shows the decision the pillar exists to make.</w:t>
      </w:r>
    </w:p>
    <w:p>
      <w:pPr>
        <w:pStyle w:val="BodyText"/>
      </w:pPr>
      <w:r>
        <w:drawing>
          <wp:inline>
            <wp:extent cx="5334000" cy="4741333"/>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7.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8 contrasts the resulting similarity structure with a Gaussian kernel on the same profiles.</w:t>
      </w:r>
    </w:p>
    <w:p>
      <w:pPr>
        <w:pStyle w:val="BodyText"/>
      </w:pPr>
      <w:r>
        <w:drawing>
          <wp:inline>
            <wp:extent cx="5334000" cy="4572000"/>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8.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9 shows the surface and, more importantly, its uncertainty.</w:t>
      </w:r>
    </w:p>
    <w:p>
      <w:pPr>
        <w:pStyle w:val="BodyText"/>
      </w:pPr>
      <w:r>
        <w:drawing>
          <wp:inline>
            <wp:extent cx="5334000" cy="4174434"/>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9.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10 shows the property that distinguishes an operator from a per-depth regression.</w:t>
      </w:r>
    </w:p>
    <w:p>
      <w:pPr>
        <w:pStyle w:val="BodyText"/>
      </w:pPr>
      <w:r>
        <w:drawing>
          <wp:inline>
            <wp:extent cx="5334000" cy="4713767"/>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10.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11 shows why this pillar needs a quantitative check rather than a visual one.</w:t>
      </w:r>
    </w:p>
    <w:p>
      <w:pPr>
        <w:pStyle w:val="BodyText"/>
      </w:pPr>
      <w:r>
        <w:drawing>
          <wp:inline>
            <wp:extent cx="5334000" cy="4589720"/>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11.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 The sense here is generative-probabilistic throughout: the model draws joint realisations of a field, and it encodes no soil-forming process.</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12 shows the graph that this pillar builds before any learning happens.</w:t>
      </w:r>
    </w:p>
    <w:p>
      <w:pPr>
        <w:pStyle w:val="BodyText"/>
      </w:pPr>
      <w:r>
        <w:drawing>
          <wp:inline>
            <wp:extent cx="5334000" cy="5470769"/>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12.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mean of the rows being scored. The distinction is not pedantic, and we report both because we got it wrong ourselves. The conventional R-squared divides by the variance of the test values about</w:t>
      </w:r>
      <w:r>
        <w:t xml:space="preserve"> </w:t>
      </w:r>
      <w:r>
        <w:rPr>
          <w:i/>
          <w:iCs/>
        </w:rPr>
        <w:t xml:space="preserve">their own</w:t>
      </w:r>
      <w:r>
        <w:t xml:space="preserve"> </w:t>
      </w:r>
      <w:r>
        <w:t xml:space="preserve">mean, which is computed from the very observations being scored: a model compared against it is compared against an oracle. That is the harder bar, since the test mean is by construction the best constant predictor of the test set, and a method can clear the achievable null while failing the oracle one. Under the achievable null a method that explains nothing scores zero and a method worse than predicting the training mean scores negative; two of our six methods do, and three fall below the oracle.</w:t>
      </w:r>
      <w:r>
        <w:t xml:space="preserve"> </w:t>
      </w:r>
      <w:r>
        <w:rPr>
          <w:rStyle w:val="VerbatimChar"/>
        </w:rPr>
        <w:t xml:space="preserve">edaphos_nse()</w:t>
      </w:r>
      <w:r>
        <w:t xml:space="preserve"> </w:t>
      </w:r>
      <w:r>
        <w:t xml:space="preserve">takes the null as a required argument for exactly this reason.</w:t>
      </w:r>
    </w:p>
    <w:p>
      <w:pPr>
        <w:pStyle w:val="BodyText"/>
      </w:pPr>
      <w:r>
        <w:t xml:space="preserve">Folds are spatially blocked</w:t>
      </w:r>
      <w:r>
        <w:t xml:space="preserve"> </w:t>
      </w:r>
      <w:r>
        <w:rPr>
          <w:i/>
          <w:iCs/>
        </w:rPr>
        <w:t xml:space="preserve">with a buffer</w:t>
      </w:r>
      <w:r>
        <w:t xml:space="preserve">. Blocking alone leaves training rows immediately across the block boundary from test rows — on these coordinates the nearest was 12.3 km away, well inside the 55–68 km range at which the fitted depth-function parameters are still correlated — and blocking without a dead zone under-states generalisation error</w:t>
      </w:r>
      <w:r>
        <w:t xml:space="preserve"> </w:t>
      </w:r>
      <w:r>
        <w:t xml:space="preserve">[18]</w:t>
      </w:r>
      <w:r>
        <w:t xml:space="preserve">.</w:t>
      </w:r>
      <w:r>
        <w:t xml:space="preserve"> </w:t>
      </w:r>
      <w:r>
        <w:rPr>
          <w:rStyle w:val="VerbatimChar"/>
        </w:rPr>
        <w:t xml:space="preserve">spatial_block_folds()</w:t>
      </w:r>
      <w:r>
        <w:t xml:space="preserve"> </w:t>
      </w:r>
      <w:r>
        <w:t xml:space="preserve">discards training rows within 68 km of any test row, reports how many it discarded, and returns the realised minimum distance so the exclusion is auditable rather than implicit.</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[19]</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5 reports the matched benchmark. Read across the row rather than down the first column: accuracy (root-mean-square error, lower is better), skill against each of two nulls, calibration (coverage near the nominal 0.90 and interval width), the proper score, and wall-clock cost.</w:t>
      </w:r>
    </w:p>
    <w:p>
      <w:pPr>
        <w:pStyle w:val="BodyText"/>
      </w:pPr>
      <w:r>
        <w:t xml:space="preserve">Two columns report skill because the choice of null decides the headline, and the two are easy to conflate.</w:t>
      </w:r>
      <w:r>
        <w:t xml:space="preserve"> </w:t>
      </w:r>
      <w:r>
        <w:rPr>
          <w:b/>
          <w:bCs/>
        </w:rPr>
        <w:t xml:space="preserve">NSE</w:t>
      </w:r>
      <w:r>
        <w:t xml:space="preserve"> </w:t>
      </w:r>
      <w:r>
        <w:t xml:space="preserve">is measured against the mean of each fold’s</w:t>
      </w:r>
      <w:r>
        <w:t xml:space="preserve"> </w:t>
      </w:r>
      <w:r>
        <w:rPr>
          <w:i/>
          <w:iCs/>
        </w:rPr>
        <w:t xml:space="preserve">training</w:t>
      </w:r>
      <w:r>
        <w:t xml:space="preserve"> </w:t>
      </w:r>
      <w:r>
        <w:t xml:space="preserve">rows — a null a deployed map could actually use.</w:t>
      </w:r>
      <w:r>
        <w:t xml:space="preserve"> </w:t>
      </w:r>
      <w:r>
        <w:rPr>
          <w:b/>
          <w:bCs/>
        </w:rPr>
        <w:t xml:space="preserve">R-squared</w:t>
      </w:r>
      <w:r>
        <w:t xml:space="preserve"> </w:t>
      </w:r>
      <w:r>
        <w:t xml:space="preserve">is measured against the mean of the</w:t>
      </w:r>
      <w:r>
        <w:t xml:space="preserve"> </w:t>
      </w:r>
      <w:r>
        <w:rPr>
          <w:i/>
          <w:iCs/>
        </w:rPr>
        <w:t xml:space="preserve">test</w:t>
      </w:r>
      <w:r>
        <w:t xml:space="preserve"> </w:t>
      </w:r>
      <w:r>
        <w:t xml:space="preserve">rows, which is what the conventional formula does and which no map has access to; it is the harder bar, because the test mean is by construction the best constant predictor of the test set. An earlier version of this paper reported the second under the first’s name, and the difference is not cosmetic: three methods fall below the oracle null and two below the achievable one.</w:t>
      </w:r>
    </w:p>
    <w:p>
      <w:pPr>
        <w:pStyle w:val="BodyText"/>
      </w:pPr>
      <w:r>
        <w:rPr>
          <w:b/>
          <w:bCs/>
        </w:rPr>
        <w:t xml:space="preserve">Table 5. Matched cross-pillar benchmark on real Cerrado profiles.</w:t>
      </w:r>
      <w:r>
        <w:t xml:space="preserve"> </w:t>
      </w:r>
      <w:r>
        <w:t xml:space="preserve">Six methods on the same spatially blocked folds and the same target transform. Folds carry a 68 km buffer: training rows within that distance of any test row are discarded, which cost 88 training rows across the five folds (2.0% of the fold-wise training rows) and raised the realised minimum training-to-test distance from 15.2 to 68.5 km. Those distances are for the 1,095 benchmark profiles; the denser 3,077-profile causal extract, which is a different data set, would give 12.3 km unbuffered. RMSE and CRPS: lower is better. NSE is skill against the training-fold mean, R-squared against the test-fold mean; PICP should approach 0.90. Rows are ordered by RMSE.</w:t>
      </w:r>
    </w:p>
    <w:tbl>
      <w:tblPr>
        <w:tblStyle w:val="Table"/>
        <w:tblW w:type="pct" w:w="5000"/>
        <w:tblLayout w:type="fixed"/>
        <w:tblLook w:firstRow="1" w:lastRow="0" w:firstColumn="0" w:lastColumn="0" w:noHBand="0" w:noVBand="0" w:val="0020"/>
      </w:tblPr>
      <w:tblGrid>
        <w:gridCol w:w="3148"/>
        <w:gridCol w:w="572"/>
        <w:gridCol w:w="667"/>
        <w:gridCol w:w="954"/>
        <w:gridCol w:w="572"/>
        <w:gridCol w:w="572"/>
        <w:gridCol w:w="572"/>
        <w:gridCol w:w="858"/>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NSE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0.200</w:t>
            </w:r>
          </w:p>
        </w:tc>
        <w:tc>
          <w:tcPr/>
          <w:p>
            <w:pPr>
              <w:pStyle w:val="Compact"/>
              <w:jc w:val="right"/>
            </w:pPr>
            <w:r>
              <w:t xml:space="preserve">0.069</w:t>
            </w:r>
          </w:p>
        </w:tc>
        <w:tc>
          <w:tcPr/>
          <w:p>
            <w:pPr>
              <w:pStyle w:val="Compact"/>
              <w:jc w:val="right"/>
            </w:pPr>
            <w:r>
              <w:t xml:space="preserve">0.882</w:t>
            </w:r>
          </w:p>
        </w:tc>
        <w:tc>
          <w:tcPr/>
          <w:p>
            <w:pPr>
              <w:pStyle w:val="Compact"/>
              <w:jc w:val="right"/>
            </w:pPr>
            <w:r>
              <w:t xml:space="preserve">1.843</w:t>
            </w:r>
          </w:p>
        </w:tc>
        <w:tc>
          <w:tcPr/>
          <w:p>
            <w:pPr>
              <w:pStyle w:val="Compact"/>
              <w:jc w:val="right"/>
            </w:pPr>
            <w:r>
              <w:t xml:space="preserve">0.323</w:t>
            </w:r>
          </w:p>
        </w:tc>
        <w:tc>
          <w:tcPr/>
          <w:p>
            <w:pPr>
              <w:pStyle w:val="Compact"/>
              <w:jc w:val="right"/>
            </w:pPr>
            <w:r>
              <w:t xml:space="preserve">2.3</w:t>
            </w:r>
          </w:p>
        </w:tc>
      </w:tr>
      <w:tr>
        <w:tc>
          <w:tcPr/>
          <w:p>
            <w:pPr>
              <w:pStyle w:val="Compact"/>
              <w:jc w:val="left"/>
            </w:pPr>
            <w:r>
              <w:t xml:space="preserve">P5 QRF</w:t>
            </w:r>
          </w:p>
        </w:tc>
        <w:tc>
          <w:tcPr/>
          <w:p>
            <w:pPr>
              <w:pStyle w:val="Compact"/>
              <w:jc w:val="right"/>
            </w:pPr>
            <w:r>
              <w:t xml:space="preserve">0.592</w:t>
            </w:r>
          </w:p>
        </w:tc>
        <w:tc>
          <w:tcPr/>
          <w:p>
            <w:pPr>
              <w:pStyle w:val="Compact"/>
              <w:jc w:val="right"/>
            </w:pPr>
            <w:r>
              <w:t xml:space="preserve">0.177</w:t>
            </w:r>
          </w:p>
        </w:tc>
        <w:tc>
          <w:tcPr/>
          <w:p>
            <w:pPr>
              <w:pStyle w:val="Compact"/>
              <w:jc w:val="right"/>
            </w:pPr>
            <w:r>
              <w:t xml:space="preserve">0.044</w:t>
            </w:r>
          </w:p>
        </w:tc>
        <w:tc>
          <w:tcPr/>
          <w:p>
            <w:pPr>
              <w:pStyle w:val="Compact"/>
              <w:jc w:val="right"/>
            </w:pPr>
            <w:r>
              <w:t xml:space="preserve">0.874</w:t>
            </w:r>
          </w:p>
        </w:tc>
        <w:tc>
          <w:tcPr/>
          <w:p>
            <w:pPr>
              <w:pStyle w:val="Compact"/>
              <w:jc w:val="right"/>
            </w:pPr>
            <w:r>
              <w:t xml:space="preserve">1.871</w:t>
            </w:r>
          </w:p>
        </w:tc>
        <w:tc>
          <w:tcPr/>
          <w:p>
            <w:pPr>
              <w:pStyle w:val="Compact"/>
              <w:jc w:val="right"/>
            </w:pPr>
            <w:r>
              <w:t xml:space="preserve">0.323</w:t>
            </w:r>
          </w:p>
        </w:tc>
        <w:tc>
          <w:tcPr/>
          <w:p>
            <w:pPr>
              <w:pStyle w:val="Compact"/>
              <w:jc w:val="right"/>
            </w:pPr>
            <w:r>
              <w:t xml:space="preserve">1.7</w:t>
            </w:r>
          </w:p>
        </w:tc>
      </w:tr>
      <w:tr>
        <w:tc>
          <w:tcPr/>
          <w:p>
            <w:pPr>
              <w:pStyle w:val="Compact"/>
              <w:jc w:val="left"/>
            </w:pPr>
            <w:r>
              <w:t xml:space="preserve">P7 BHS</w:t>
            </w:r>
          </w:p>
        </w:tc>
        <w:tc>
          <w:tcPr/>
          <w:p>
            <w:pPr>
              <w:pStyle w:val="Compact"/>
              <w:jc w:val="right"/>
            </w:pPr>
            <w:r>
              <w:t xml:space="preserve">0.603</w:t>
            </w:r>
          </w:p>
        </w:tc>
        <w:tc>
          <w:tcPr/>
          <w:p>
            <w:pPr>
              <w:pStyle w:val="Compact"/>
              <w:jc w:val="right"/>
            </w:pPr>
            <w:r>
              <w:t xml:space="preserve">0.151</w:t>
            </w:r>
          </w:p>
        </w:tc>
        <w:tc>
          <w:tcPr/>
          <w:p>
            <w:pPr>
              <w:pStyle w:val="Compact"/>
              <w:jc w:val="right"/>
            </w:pPr>
            <w:r>
              <w:t xml:space="preserve">0.020</w:t>
            </w:r>
          </w:p>
        </w:tc>
        <w:tc>
          <w:tcPr/>
          <w:p>
            <w:pPr>
              <w:pStyle w:val="Compact"/>
              <w:jc w:val="right"/>
            </w:pPr>
            <w:r>
              <w:t xml:space="preserve">0.919</w:t>
            </w:r>
          </w:p>
        </w:tc>
        <w:tc>
          <w:tcPr/>
          <w:p>
            <w:pPr>
              <w:pStyle w:val="Compact"/>
              <w:jc w:val="right"/>
            </w:pPr>
            <w:r>
              <w:t xml:space="preserve">2.161</w:t>
            </w:r>
          </w:p>
        </w:tc>
        <w:tc>
          <w:tcPr/>
          <w:p>
            <w:pPr>
              <w:pStyle w:val="Compact"/>
              <w:jc w:val="right"/>
            </w:pPr>
            <w:r>
              <w:t xml:space="preserve">0.339</w:t>
            </w:r>
          </w:p>
        </w:tc>
        <w:tc>
          <w:tcPr/>
          <w:p>
            <w:pPr>
              <w:pStyle w:val="Compact"/>
              <w:jc w:val="right"/>
            </w:pPr>
            <w:r>
              <w:t xml:space="preserve">70.3</w:t>
            </w:r>
          </w:p>
        </w:tc>
      </w:tr>
      <w:tr>
        <w:tc>
          <w:tcPr/>
          <w:p>
            <w:pPr>
              <w:pStyle w:val="Compact"/>
              <w:jc w:val="left"/>
            </w:pPr>
            <w:r>
              <w:t xml:space="preserve">P4 Foundation embeddings + QRF</w:t>
            </w:r>
          </w:p>
        </w:tc>
        <w:tc>
          <w:tcPr/>
          <w:p>
            <w:pPr>
              <w:pStyle w:val="Compact"/>
              <w:jc w:val="right"/>
            </w:pPr>
            <w:r>
              <w:t xml:space="preserve">0.616</w:t>
            </w:r>
          </w:p>
        </w:tc>
        <w:tc>
          <w:tcPr/>
          <w:p>
            <w:pPr>
              <w:pStyle w:val="Compact"/>
              <w:jc w:val="right"/>
            </w:pPr>
            <w:r>
              <w:t xml:space="preserve">0.118</w:t>
            </w:r>
          </w:p>
        </w:tc>
        <w:tc>
          <w:tcPr/>
          <w:p>
            <w:pPr>
              <w:pStyle w:val="Compact"/>
              <w:jc w:val="right"/>
            </w:pPr>
            <w:r>
              <w:t xml:space="preserve">-0.013</w:t>
            </w:r>
          </w:p>
        </w:tc>
        <w:tc>
          <w:tcPr/>
          <w:p>
            <w:pPr>
              <w:pStyle w:val="Compact"/>
              <w:jc w:val="right"/>
            </w:pPr>
            <w:r>
              <w:t xml:space="preserve">0.892</w:t>
            </w:r>
          </w:p>
        </w:tc>
        <w:tc>
          <w:tcPr/>
          <w:p>
            <w:pPr>
              <w:pStyle w:val="Compact"/>
              <w:jc w:val="right"/>
            </w:pPr>
            <w:r>
              <w:t xml:space="preserve">2.179</w:t>
            </w:r>
          </w:p>
        </w:tc>
        <w:tc>
          <w:tcPr/>
          <w:p>
            <w:pPr>
              <w:pStyle w:val="Compact"/>
              <w:jc w:val="right"/>
            </w:pPr>
            <w:r>
              <w:t xml:space="preserve">0.340</w:t>
            </w:r>
          </w:p>
        </w:tc>
        <w:tc>
          <w:tcPr/>
          <w:p>
            <w:pPr>
              <w:pStyle w:val="Compact"/>
              <w:jc w:val="right"/>
            </w:pPr>
            <w:r>
              <w:t xml:space="preserve">86.5</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-0.024</w:t>
            </w:r>
          </w:p>
        </w:tc>
        <w:tc>
          <w:tcPr/>
          <w:p>
            <w:pPr>
              <w:pStyle w:val="Compact"/>
              <w:jc w:val="right"/>
            </w:pPr>
            <w:r>
              <w:t xml:space="preserve">-0.185</w:t>
            </w:r>
          </w:p>
        </w:tc>
        <w:tc>
          <w:tcPr/>
          <w:p>
            <w:pPr>
              <w:pStyle w:val="Compact"/>
              <w:jc w:val="right"/>
            </w:pPr>
            <w:r>
              <w:t xml:space="preserve">0.663</w:t>
            </w:r>
          </w:p>
        </w:tc>
        <w:tc>
          <w:tcPr/>
          <w:p>
            <w:pPr>
              <w:pStyle w:val="Compact"/>
              <w:jc w:val="right"/>
            </w:pPr>
            <w:r>
              <w:t xml:space="preserve">1.263</w:t>
            </w:r>
          </w:p>
        </w:tc>
        <w:tc>
          <w:tcPr/>
          <w:p>
            <w:pPr>
              <w:pStyle w:val="Compact"/>
              <w:jc w:val="right"/>
            </w:pPr>
            <w:r>
              <w:t xml:space="preserve">0.391</w:t>
            </w:r>
          </w:p>
        </w:tc>
        <w:tc>
          <w:tcPr/>
          <w:p>
            <w:pPr>
              <w:pStyle w:val="Compact"/>
              <w:jc w:val="right"/>
            </w:pPr>
            <w:r>
              <w:t xml:space="preserve">761.7</w:t>
            </w:r>
          </w:p>
        </w:tc>
      </w:tr>
      <w:tr>
        <w:tc>
          <w:tcPr/>
          <w:p>
            <w:pPr>
              <w:pStyle w:val="Compact"/>
              <w:jc w:val="left"/>
            </w:pPr>
            <w:r>
              <w:t xml:space="preserve">P10 GAT (trained attention)</w:t>
            </w:r>
          </w:p>
        </w:tc>
        <w:tc>
          <w:tcPr/>
          <w:p>
            <w:pPr>
              <w:pStyle w:val="Compact"/>
              <w:jc w:val="right"/>
            </w:pPr>
            <w:r>
              <w:t xml:space="preserve">0.680</w:t>
            </w:r>
          </w:p>
        </w:tc>
        <w:tc>
          <w:tcPr/>
          <w:p>
            <w:pPr>
              <w:pStyle w:val="Compact"/>
              <w:jc w:val="right"/>
            </w:pPr>
            <w:r>
              <w:t xml:space="preserve">-0.131</w:t>
            </w:r>
          </w:p>
        </w:tc>
        <w:tc>
          <w:tcPr/>
          <w:p>
            <w:pPr>
              <w:pStyle w:val="Compact"/>
              <w:jc w:val="right"/>
            </w:pPr>
            <w:r>
              <w:t xml:space="preserve">-0.346</w:t>
            </w:r>
          </w:p>
        </w:tc>
        <w:tc>
          <w:tcPr/>
          <w:p>
            <w:pPr>
              <w:pStyle w:val="Compact"/>
              <w:jc w:val="right"/>
            </w:pPr>
            <w:r>
              <w:t xml:space="preserve">0.790</w:t>
            </w:r>
          </w:p>
        </w:tc>
        <w:tc>
          <w:tcPr/>
          <w:p>
            <w:pPr>
              <w:pStyle w:val="Compact"/>
              <w:jc w:val="right"/>
            </w:pPr>
            <w:r>
              <w:t xml:space="preserve">1.846</w:t>
            </w:r>
          </w:p>
        </w:tc>
        <w:tc>
          <w:tcPr/>
          <w:p>
            <w:pPr>
              <w:pStyle w:val="Compact"/>
              <w:jc w:val="right"/>
            </w:pPr>
            <w:r>
              <w:t xml:space="preserve">0.413</w:t>
            </w:r>
          </w:p>
        </w:tc>
        <w:tc>
          <w:tcPr/>
          <w:p>
            <w:pPr>
              <w:pStyle w:val="Compact"/>
              <w:jc w:val="right"/>
            </w:pPr>
            <w:r>
              <w:t xml:space="preserve">188.8</w:t>
            </w:r>
          </w:p>
        </w:tc>
      </w:tr>
    </w:tbl>
    <w:p>
      <w:pPr>
        <w:pStyle w:val="BodyText"/>
      </w:pPr>
      <w:r>
        <w:t xml:space="preserve">Ordinary least squares restricted to the covariates in the backdoor adjustment set has the lowest error (0.583) and the highest skill against both nulls (NSE 0.200), and its coverage (0.882) is close to nominal. The quantile random forest is a close second at a comparable cost. The three methods with the greatest representational capacity — foundation-model embeddings, the graph attention network, and the quantum kernel — rank last. 3 of them fall below the oracle null and 2 below the achievable one (P6 and P10): on spatially blocked folds those two explain less of the variation than predicting each training partition’s mean. The quantum kernel is simultaneously among the least accurate and, at 762 s against 2.3 s for the baseline, several hundred times the most expensive.</w:t>
      </w:r>
    </w:p>
    <w:p>
      <w:pPr>
        <w:pStyle w:val="BodyText"/>
      </w:pPr>
      <w:r>
        <w:rPr>
          <w:b/>
          <w:bCs/>
        </w:rPr>
        <w:t xml:space="preserve">What the buffer is worth, re-measured.</w:t>
      </w:r>
      <w:r>
        <w:t xml:space="preserve"> </w:t>
      </w:r>
      <w:r>
        <w:t xml:space="preserve">An earlier version of this paper reported that the buffer changed the ranking — that the graph attention network reached RMSE 0.621 and sat fifth without it against 0.686 and last with it. That comparison was made by hand, was never scripted, and does not reproduce against the current code; it also predated the correction of the Pillar-10 graph to great-circle distance, so it compared two different models. We report the re-measurement rather than the sentence.</w:t>
      </w:r>
    </w:p>
    <w:p>
      <w:pPr>
        <w:pStyle w:val="BodyText"/>
      </w:pPr>
      <w:r>
        <w:t xml:space="preserve">Running the same harness on the same blocks with the buffer switched off (</w:t>
      </w:r>
      <w:r>
        <w:rPr>
          <w:rStyle w:val="VerbatimChar"/>
        </w:rPr>
        <w:t xml:space="preserve">data-raw/buffer_effect.R</w:t>
      </w:r>
      <w:r>
        <w:t xml:space="preserve">, 68 km, 88 training rows discarded) gives:</w:t>
      </w:r>
    </w:p>
    <w:tbl>
      <w:tblPr>
        <w:tblStyle w:val="Table"/>
        <w:tblW w:type="pct" w:w="5000"/>
        <w:tblLayout w:type="fixed"/>
        <w:tblLook w:firstRow="1" w:lastRow="0" w:firstColumn="0" w:lastColumn="0" w:noHBand="0" w:noVBand="0" w:val="0020"/>
      </w:tblPr>
      <w:tblGrid>
        <w:gridCol w:w="3350"/>
        <w:gridCol w:w="1116"/>
        <w:gridCol w:w="913"/>
        <w:gridCol w:w="609"/>
        <w:gridCol w:w="913"/>
        <w:gridCol w:w="1015"/>
      </w:tblGrid>
      <w:tr>
        <w:trPr>
          <w:tblHeader w:val="on"/>
        </w:trPr>
        <w:tc>
          <w:tcPr/>
          <w:p>
            <w:pPr>
              <w:pStyle w:val="Compact"/>
              <w:jc w:val="left"/>
            </w:pPr>
            <w:r>
              <w:t xml:space="preserve">Method</w:t>
            </w:r>
          </w:p>
        </w:tc>
        <w:tc>
          <w:tcPr/>
          <w:p>
            <w:pPr>
              <w:pStyle w:val="Compact"/>
              <w:jc w:val="right"/>
            </w:pPr>
            <w:r>
              <w:t xml:space="preserve">Unbuffered</w:t>
            </w:r>
          </w:p>
        </w:tc>
        <w:tc>
          <w:tcPr/>
          <w:p>
            <w:pPr>
              <w:pStyle w:val="Compact"/>
              <w:jc w:val="right"/>
            </w:pPr>
            <w:r>
              <w:t xml:space="preserve">Buffered</w:t>
            </w:r>
          </w:p>
        </w:tc>
        <w:tc>
          <w:tcPr/>
          <w:p>
            <w:pPr>
              <w:pStyle w:val="Compact"/>
              <w:jc w:val="right"/>
            </w:pPr>
            <w:r>
              <w:t xml:space="preserve">Delta</w:t>
            </w:r>
          </w:p>
        </w:tc>
        <w:tc>
          <w:tcPr/>
          <w:p>
            <w:pPr>
              <w:pStyle w:val="Compact"/>
              <w:jc w:val="right"/>
            </w:pPr>
            <w:r>
              <w:t xml:space="preserve">Rank un.</w:t>
            </w:r>
          </w:p>
        </w:tc>
        <w:tc>
          <w:tcPr/>
          <w:p>
            <w:pPr>
              <w:pStyle w:val="Compact"/>
              <w:jc w:val="right"/>
            </w:pPr>
            <w:r>
              <w:t xml:space="preserve">Rank buf.</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0.583</w:t>
            </w:r>
          </w:p>
        </w:tc>
        <w:tc>
          <w:tcPr/>
          <w:p>
            <w:pPr>
              <w:pStyle w:val="Compact"/>
              <w:jc w:val="right"/>
            </w:pPr>
            <w:r>
              <w:t xml:space="preserve">0.000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P5 QRF</w:t>
            </w:r>
          </w:p>
        </w:tc>
        <w:tc>
          <w:tcPr/>
          <w:p>
            <w:pPr>
              <w:pStyle w:val="Compact"/>
              <w:jc w:val="right"/>
            </w:pPr>
            <w:r>
              <w:t xml:space="preserve">0.588</w:t>
            </w:r>
          </w:p>
        </w:tc>
        <w:tc>
          <w:tcPr/>
          <w:p>
            <w:pPr>
              <w:pStyle w:val="Compact"/>
              <w:jc w:val="right"/>
            </w:pPr>
            <w:r>
              <w:t xml:space="preserve">0.592</w:t>
            </w:r>
          </w:p>
        </w:tc>
        <w:tc>
          <w:tcPr/>
          <w:p>
            <w:pPr>
              <w:pStyle w:val="Compact"/>
              <w:jc w:val="right"/>
            </w:pPr>
            <w:r>
              <w:t xml:space="preserve">0.004</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P7 BHS</w:t>
            </w:r>
          </w:p>
        </w:tc>
        <w:tc>
          <w:tcPr/>
          <w:p>
            <w:pPr>
              <w:pStyle w:val="Compact"/>
              <w:jc w:val="right"/>
            </w:pPr>
            <w:r>
              <w:t xml:space="preserve">0.599</w:t>
            </w:r>
          </w:p>
        </w:tc>
        <w:tc>
          <w:tcPr/>
          <w:p>
            <w:pPr>
              <w:pStyle w:val="Compact"/>
              <w:jc w:val="right"/>
            </w:pPr>
            <w:r>
              <w:t xml:space="preserve">0.603</w:t>
            </w:r>
          </w:p>
        </w:tc>
        <w:tc>
          <w:tcPr/>
          <w:p>
            <w:pPr>
              <w:pStyle w:val="Compact"/>
              <w:jc w:val="right"/>
            </w:pPr>
            <w:r>
              <w:t xml:space="preserve">0.004</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P6 Quantum KRR</w:t>
            </w:r>
          </w:p>
        </w:tc>
        <w:tc>
          <w:tcPr/>
          <w:p>
            <w:pPr>
              <w:pStyle w:val="Compact"/>
              <w:jc w:val="right"/>
            </w:pPr>
            <w:r>
              <w:t xml:space="preserve">0.660</w:t>
            </w:r>
          </w:p>
        </w:tc>
        <w:tc>
          <w:tcPr/>
          <w:p>
            <w:pPr>
              <w:pStyle w:val="Compact"/>
              <w:jc w:val="right"/>
            </w:pPr>
            <w:r>
              <w:t xml:space="preserve">0.663</w:t>
            </w:r>
          </w:p>
        </w:tc>
        <w:tc>
          <w:tcPr/>
          <w:p>
            <w:pPr>
              <w:pStyle w:val="Compact"/>
              <w:jc w:val="right"/>
            </w:pPr>
            <w:r>
              <w:t xml:space="preserve">0.003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P10 GAT (trained attention)</w:t>
            </w:r>
          </w:p>
        </w:tc>
        <w:tc>
          <w:tcPr/>
          <w:p>
            <w:pPr>
              <w:pStyle w:val="Compact"/>
              <w:jc w:val="right"/>
            </w:pPr>
            <w:r>
              <w:t xml:space="preserve">0.672</w:t>
            </w:r>
          </w:p>
        </w:tc>
        <w:tc>
          <w:tcPr/>
          <w:p>
            <w:pPr>
              <w:pStyle w:val="Compact"/>
              <w:jc w:val="right"/>
            </w:pPr>
            <w:r>
              <w:t xml:space="preserve">0.680</w:t>
            </w:r>
          </w:p>
        </w:tc>
        <w:tc>
          <w:tcPr/>
          <w:p>
            <w:pPr>
              <w:pStyle w:val="Compact"/>
              <w:jc w:val="right"/>
            </w:pPr>
            <w:r>
              <w:t xml:space="preserve">0.007</w:t>
            </w:r>
          </w:p>
        </w:tc>
        <w:tc>
          <w:tcPr/>
          <w:p>
            <w:pPr>
              <w:pStyle w:val="Compact"/>
              <w:jc w:val="right"/>
            </w:pPr>
            <w:r>
              <w:t xml:space="preserve">5</w:t>
            </w:r>
          </w:p>
        </w:tc>
        <w:tc>
          <w:tcPr/>
          <w:p>
            <w:pPr>
              <w:pStyle w:val="Compact"/>
              <w:jc w:val="right"/>
            </w:pPr>
            <w:r>
              <w:t xml:space="preserve">5</w:t>
            </w:r>
          </w:p>
        </w:tc>
      </w:tr>
    </w:tbl>
    <w:p>
      <w:pPr>
        <w:pStyle w:val="BodyText"/>
      </w:pPr>
      <w:r>
        <w:rPr>
          <w:b/>
          <w:bCs/>
        </w:rPr>
        <w:t xml:space="preserve">Table 6. What the 68 km buffer costs each method.</w:t>
      </w:r>
      <w:r>
        <w:t xml:space="preserve"> </w:t>
      </w:r>
      <w:r>
        <w:t xml:space="preserve">RMSE on the log1p scale, five methods on identical test blocks; the only difference is which training rows are discarded. Pillar 4 is scored in a separate harness and is not re-run here, so it is absent rather than omitted silently.</w:t>
      </w:r>
    </w:p>
    <w:p>
      <w:pPr>
        <w:pStyle w:val="BodyText"/>
      </w:pPr>
      <w:r>
        <w:t xml:space="preserve">The buffer costs every method a little and the graph attention network the most (0.007 against at most 0.004 for any other), which is the direction the mechanism predicts: a network whose representation is a graph over spatial neighbours is the method that gains most from training points immediately across a block boundary. But the effect is an order of magnitude smaller than we previously reported, and</w:t>
      </w:r>
      <w:r>
        <w:t xml:space="preserve"> </w:t>
      </w:r>
      <w:r>
        <w:rPr>
          <w:b/>
          <w:bCs/>
        </w:rPr>
        <w:t xml:space="preserve">the ranking is identical with and without it</w:t>
      </w:r>
      <w:r>
        <w:t xml:space="preserve">. The buffer is the right protocol on principle — a model must not be scored on rows it could interpolate from near-duplicates — and we keep it for that reason, not because it rescues a conclusion. On these data it does not change one.</w:t>
      </w:r>
    </w:p>
    <w:p>
      <w:pPr>
        <w:pStyle w:val="BodyText"/>
      </w:pPr>
      <w:r>
        <w:t xml:space="preserve">Fig 13 shows the same result geometrically, and makes the calibration and cost arguments that the accuracy column alone cannot.</w:t>
      </w:r>
    </w:p>
    <w:p>
      <w:pPr>
        <w:pStyle w:val="BodyText"/>
      </w:pPr>
      <w:r>
        <w:drawing>
          <wp:inline>
            <wp:extent cx="5334000" cy="4290391"/>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13. Six methods on the same buffered folds.</w:t>
      </w:r>
      <w:r>
        <w:t xml:space="preserve"> </w:t>
      </w:r>
      <w:r>
        <w:t xml:space="preserve">(A) Predictive accuracy; bars are red where the method explains less than the achievable null of the training-fold mean. (B) Skill against that null, with the oracle null shown for contrast. (C) Calibration against sharpness: the shaded band is within four points of nominal 90% coverage, and the quantum kernel is both the sharpest and the least covered, an overconfidence invisible in panel A. (D) Wall-clock cost on a log scale. The two methods that fall below the achievable null are also the two most expensive, and the most accurate method is among the cheapest at 2.3 s. The least accurate is not itself the single most expensive: that is the quantum kernel, at roughly four times the graph network’s cost.</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Coverage is a rate, not a map: does the interval know where it is extrapolating?</w:t>
      </w:r>
    </w:p>
    <w:p>
      <w:pPr>
        <w:pStyle w:val="FirstParagraph"/>
      </w:pPr>
      <w:r>
        <w:t xml:space="preserve">A single PICP is a pooled rate. It reports what fraction of test profiles fell inside their interval; it does not report whether the interval was wide in the right</w:t>
      </w:r>
      <w:r>
        <w:t xml:space="preserve"> </w:t>
      </w:r>
      <w:r>
        <w:rPr>
          <w:i/>
          <w:iCs/>
        </w:rPr>
        <w:t xml:space="preserve">places</w:t>
      </w:r>
      <w:r>
        <w:t xml:space="preserve">. On spatially blocked folds that distinction carries the whole question, because a test profile here sits anywhere from 68 to 870 km from the nearest training profile (median 304 km). A method emitting the same width at both ends is quoting a constant that happens to average out.</w:t>
      </w:r>
    </w:p>
    <w:p>
      <w:pPr>
        <w:pStyle w:val="BodyText"/>
      </w:pPr>
      <w:r>
        <w:t xml:space="preserve">We measured it. For every test profile we recorded the width of its 90% interval and the distance to its nearest training profile, and we report the rank correlation both raw and after partialling out the Mahalanobis distance of that profile’s covariates from the training covariate centroid — because a method can widen for covariate novelty while remaining blind to geography, and only the partial correlation licenses a spatial claim.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right"/>
            </w:pPr>
            <w:r>
              <w:t xml:space="preserve">Width vs distance</w:t>
            </w:r>
          </w:p>
        </w:tc>
        <w:tc>
          <w:tcPr/>
          <w:p>
            <w:pPr>
              <w:pStyle w:val="Compact"/>
              <w:jc w:val="right"/>
            </w:pPr>
            <w:r>
              <w:t xml:space="preserve">partial</w:t>
            </w:r>
          </w:p>
        </w:tc>
        <w:tc>
          <w:tcPr/>
          <w:p>
            <w:pPr>
              <w:pStyle w:val="Compact"/>
              <w:jc w:val="right"/>
            </w:pPr>
            <w:r>
              <w:t xml:space="preserve">Error vs distance</w:t>
            </w:r>
          </w:p>
        </w:tc>
        <w:tc>
          <w:tcPr/>
          <w:p>
            <w:pPr>
              <w:pStyle w:val="Compact"/>
              <w:jc w:val="right"/>
            </w:pPr>
            <w:r>
              <w:t xml:space="preserve">p</w:t>
            </w:r>
          </w:p>
        </w:tc>
      </w:tr>
      <w:tr>
        <w:tc>
          <w:tcPr/>
          <w:p>
            <w:pPr>
              <w:pStyle w:val="Compact"/>
              <w:jc w:val="left"/>
            </w:pPr>
            <w:r>
              <w:t xml:space="preserve">P7</w:t>
            </w:r>
          </w:p>
        </w:tc>
        <w:tc>
          <w:tcPr/>
          <w:p>
            <w:pPr>
              <w:pStyle w:val="Compact"/>
              <w:jc w:val="right"/>
            </w:pPr>
            <w:r>
              <w:t xml:space="preserve">0.743</w:t>
            </w:r>
          </w:p>
        </w:tc>
        <w:tc>
          <w:tcPr/>
          <w:p>
            <w:pPr>
              <w:pStyle w:val="Compact"/>
              <w:jc w:val="right"/>
            </w:pPr>
            <w:r>
              <w:t xml:space="preserve">0.716</w:t>
            </w:r>
          </w:p>
        </w:tc>
        <w:tc>
          <w:tcPr/>
          <w:p>
            <w:pPr>
              <w:pStyle w:val="Compact"/>
              <w:jc w:val="right"/>
            </w:pPr>
            <w:r>
              <w:t xml:space="preserve">0.008</w:t>
            </w:r>
          </w:p>
        </w:tc>
        <w:tc>
          <w:tcPr/>
          <w:p>
            <w:pPr>
              <w:pStyle w:val="Compact"/>
              <w:jc w:val="right"/>
            </w:pPr>
            <w:r>
              <w:t xml:space="preserve">0.79000</w:t>
            </w:r>
          </w:p>
        </w:tc>
      </w:tr>
      <w:tr>
        <w:tc>
          <w:tcPr/>
          <w:p>
            <w:pPr>
              <w:pStyle w:val="Compact"/>
              <w:jc w:val="left"/>
            </w:pPr>
            <w:r>
              <w:t xml:space="preserve">P5</w:t>
            </w:r>
          </w:p>
        </w:tc>
        <w:tc>
          <w:tcPr/>
          <w:p>
            <w:pPr>
              <w:pStyle w:val="Compact"/>
              <w:jc w:val="right"/>
            </w:pPr>
            <w:r>
              <w:t xml:space="preserve">0.224</w:t>
            </w:r>
          </w:p>
        </w:tc>
        <w:tc>
          <w:tcPr/>
          <w:p>
            <w:pPr>
              <w:pStyle w:val="Compact"/>
              <w:jc w:val="right"/>
            </w:pPr>
            <w:r>
              <w:t xml:space="preserve">0.133</w:t>
            </w:r>
          </w:p>
        </w:tc>
        <w:tc>
          <w:tcPr/>
          <w:p>
            <w:pPr>
              <w:pStyle w:val="Compact"/>
              <w:jc w:val="right"/>
            </w:pPr>
            <w:r>
              <w:t xml:space="preserve">0.015</w:t>
            </w:r>
          </w:p>
        </w:tc>
        <w:tc>
          <w:tcPr/>
          <w:p>
            <w:pPr>
              <w:pStyle w:val="Compact"/>
              <w:jc w:val="right"/>
            </w:pPr>
            <w:r>
              <w:t xml:space="preserve">0.62000</w:t>
            </w:r>
          </w:p>
        </w:tc>
      </w:tr>
      <w:tr>
        <w:tc>
          <w:tcPr/>
          <w:p>
            <w:pPr>
              <w:pStyle w:val="Compact"/>
              <w:jc w:val="left"/>
            </w:pPr>
            <w:r>
              <w:t xml:space="preserve">P10</w:t>
            </w:r>
          </w:p>
        </w:tc>
        <w:tc>
          <w:tcPr/>
          <w:p>
            <w:pPr>
              <w:pStyle w:val="Compact"/>
              <w:jc w:val="right"/>
            </w:pPr>
            <w:r>
              <w:t xml:space="preserve">-0.045</w:t>
            </w:r>
          </w:p>
        </w:tc>
        <w:tc>
          <w:tcPr/>
          <w:p>
            <w:pPr>
              <w:pStyle w:val="Compact"/>
              <w:jc w:val="right"/>
            </w:pPr>
            <w:r>
              <w:t xml:space="preserve">-0.080</w:t>
            </w:r>
          </w:p>
        </w:tc>
        <w:tc>
          <w:tcPr/>
          <w:p>
            <w:pPr>
              <w:pStyle w:val="Compact"/>
              <w:jc w:val="right"/>
            </w:pPr>
            <w:r>
              <w:t xml:space="preserve">0.106</w:t>
            </w:r>
          </w:p>
        </w:tc>
        <w:tc>
          <w:tcPr/>
          <w:p>
            <w:pPr>
              <w:pStyle w:val="Compact"/>
              <w:jc w:val="right"/>
            </w:pPr>
            <w:r>
              <w:t xml:space="preserve">0.00043</w:t>
            </w:r>
          </w:p>
        </w:tc>
      </w:tr>
    </w:tbl>
    <w:p>
      <w:pPr>
        <w:pStyle w:val="BodyText"/>
      </w:pPr>
      <w:r>
        <w:rPr>
          <w:b/>
          <w:bCs/>
        </w:rPr>
        <w:t xml:space="preserve">Table 7. Does interval width track extrapolation distance?</w:t>
      </w:r>
      <w:r>
        <w:t xml:space="preserve"> </w:t>
      </w:r>
      <w:r>
        <w:t xml:space="preserve">Spearman correlations over 1095 held-out profiles across the 5 buffered folds.</w:t>
      </w:r>
      <w:r>
        <w:t xml:space="preserve"> </w:t>
      </w:r>
      <w:r>
        <w:t xml:space="preserve">“partial”</w:t>
      </w:r>
      <w:r>
        <w:t xml:space="preserve"> </w:t>
      </w:r>
      <w:r>
        <w:t xml:space="preserve">removes covariate-space distance, so what remains is geographic.</w:t>
      </w:r>
    </w:p>
    <w:p>
      <w:pPr>
        <w:pStyle w:val="BodyText"/>
      </w:pPr>
      <w:r>
        <w:t xml:space="preserve">The three methods answer differently, and the difference is not subtle. The Bayesian hierarchical model’s width tracks distance strongly (</w:t>
      </w:r>
      <m:oMath>
        <m:r>
          <m:t>ρ</m:t>
        </m:r>
        <m:r>
          <m:rPr>
            <m:sty m:val="p"/>
          </m:rPr>
          <m:t>=</m:t>
        </m:r>
        <m:r>
          <m:t>0.743</m:t>
        </m:r>
      </m:oMath>
      <w:r>
        <w:t xml:space="preserve">), and it survives the covariate control almost intact (</w:t>
      </w:r>
      <m:oMath>
        <m:r>
          <m:t>0.716</m:t>
        </m:r>
      </m:oMath>
      <w:r>
        <w:t xml:space="preserve">) — the widening is geographic, which is what a kriging variance is built to do. The quantile forest widens weakly and mostly for covariate reasons. The graph attention network does not widen at all: its correlation is -0.045 raw and -0.080 partial — if anything slightly</w:t>
      </w:r>
      <w:r>
        <w:t xml:space="preserve"> </w:t>
      </w:r>
      <w:r>
        <w:rPr>
          <w:i/>
          <w:iCs/>
        </w:rPr>
        <w:t xml:space="preserve">narrower</w:t>
      </w:r>
      <w:r>
        <w:t xml:space="preserve"> </w:t>
      </w:r>
      <w:r>
        <w:t xml:space="preserve">further from the data.</w:t>
      </w:r>
    </w:p>
    <w:p>
      <w:pPr>
        <w:pStyle w:val="BodyText"/>
      </w:pPr>
      <w:r>
        <w:t xml:space="preserve">Its error, meanwhile, does grow (</w:t>
      </w:r>
      <m:oMath>
        <m:r>
          <m:t>ρ</m:t>
        </m:r>
        <m:r>
          <m:rPr>
            <m:sty m:val="p"/>
          </m:rPr>
          <m:t>=</m:t>
        </m:r>
        <m:r>
          <m:t>0.106</m:t>
        </m:r>
      </m:oMath>
      <w:r>
        <w:t xml:space="preserve">,</w:t>
      </w:r>
      <w:r>
        <w:t xml:space="preserve"> </w:t>
      </w:r>
      <m:oMath>
        <m:r>
          <m:t>p</m:t>
        </m:r>
        <m:r>
          <m:rPr>
            <m:sty m:val="p"/>
          </m:rPr>
          <m:t>=</m:t>
        </m:r>
        <m:r>
          <m:t>4.3</m:t>
        </m:r>
        <m:r>
          <m:rPr>
            <m:sty m:val="p"/>
          </m:rPr>
          <m:t>×</m:t>
        </m:r>
        <m:sSup>
          <m:e>
            <m:r>
              <m:t>10</m:t>
            </m:r>
          </m:e>
          <m:sup>
            <m:r>
              <m:rPr>
                <m:sty m:val="p"/>
              </m:rPr>
              <m:t>−</m:t>
            </m:r>
            <m:r>
              <m:t>4</m:t>
            </m:r>
          </m:sup>
        </m:sSup>
      </m:oMath>
      <w:r>
        <w:t xml:space="preserve">), and it is the only one of the three for which that is true. So the network’s interval is mildly anti-correlated with the quantity it exists to track. This is a sharper and more useful statement than its PICP of 0.790, and it is the reason we do not present that number as a calibration property comparable to the others: three of the six methods derive an interval from a genuine predictive distribution and three construct one from ensemble spread plus an estimated noise term, and only the geostatistical model carries a variance that is a function of where the prediction is being made.</w:t>
      </w:r>
    </w:p>
    <w:p>
      <w:pPr>
        <w:pStyle w:val="BodyText"/>
      </w:pPr>
      <w:r>
        <w:t xml:space="preserve">One caveat belongs with the P7 column rather than beneath it. The profile-MLE of the correlation rate railed at its bracket in all 5 folds, so the bracket rather than the data sets the magnitude of that widening. The</w:t>
      </w:r>
      <w:r>
        <w:t xml:space="preserve"> </w:t>
      </w:r>
      <w:r>
        <w:rPr>
          <w:i/>
          <w:iCs/>
        </w:rPr>
        <w:t xml:space="preserve">sign</w:t>
      </w:r>
      <w:r>
        <w:t xml:space="preserve"> </w:t>
      </w:r>
      <w:r>
        <w:t xml:space="preserve">is structural to the kriging expression and does not depend on the rate; the size is not interpretable until the rate is identified, which these data do not do.</w:t>
      </w:r>
    </w:p>
    <w:p>
      <w:pPr>
        <w:pStyle w:val="BodyText"/>
      </w:pPr>
      <w:r>
        <w:t xml:space="preserve">Two consequences follow for practice. First, a coverage rate should be read alongside a plot of width against distance to data, since the two can disagree completely. Second, an uncertainty that does not vary with position is not usable for the tasks maps are made for — planning where to sample next, or bounding an inventory over a region that was never surveyed.</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5, whose bundle is bound to the current code by the test suite.</w:t>
      </w:r>
    </w:p>
    <w:p>
      <w:pPr>
        <w:pStyle w:val="Heading2"/>
      </w:pPr>
      <w:r>
        <w:t xml:space="preserve">Backdoor adjustment yields robust associations, and exposes confounding</w:t>
      </w:r>
    </w:p>
    <w:p>
      <w:pPr>
        <w:pStyle w:val="FirstParagraph"/>
      </w:pPr>
      <w:r>
        <w:t xml:space="preserve">Table 8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8.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rPr>
          <w:b/>
          <w:bCs/>
        </w:rPr>
        <w:t xml:space="preserve">The exposure is measured after the outcome.</w:t>
      </w:r>
      <w:r>
        <w:t xml:space="preserve"> </w:t>
      </w:r>
      <w:r>
        <w:t xml:space="preserve">One feature of these data forecloses a causal reading independently of any confounder, and it belongs here rather than in a limitations list. The tree-cover exposure is ESA WorldCover, a 2020 product; the SoilGrids texture and bulk-density covariates are likewise 2020. The outcome is a WoSIS topsoil measurement whose median sampling year is 1982, with every one of the 1,095 profiles but five sampled before 1990 and the quartiles falling in 1981 and 1983. The land surface described by the exposure is the one that existed 38 years</w:t>
      </w:r>
      <w:r>
        <w:t xml:space="preserve"> </w:t>
      </w:r>
      <w:r>
        <w:rPr>
          <w:i/>
          <w:iCs/>
        </w:rPr>
        <w:t xml:space="preserve">after</w:t>
      </w:r>
      <w:r>
        <w:t xml:space="preserve"> </w:t>
      </w:r>
      <w:r>
        <w:t xml:space="preserve">the carbon was measured. No adjustment set repairs that ordering: whatever the estimate is, it is not the effect of tree cover on soil carbon, because the Cerrado’s conversion to cropland and pasture happened largely in between.</w:t>
      </w:r>
    </w:p>
    <w:p>
      <w:pPr>
        <w:pStyle w:val="BodyText"/>
      </w:pPr>
      <w:r>
        <w:t xml:space="preserve">We keep the analysis, reported as what it is, for two reasons. The demonstration it is used for — that an apparent association collapses under adjustment for common causes — is a demonstration about estimators and does not require the exposure to be causally prior. And the temporal inversion is itself a second, independent reason to disbelieve the naive reading, arriving at the same conclusion the adjustment does by a route that needs no assumption about unobserved confounding at all. Where we write</w:t>
      </w:r>
      <w:r>
        <w:t xml:space="preserve"> </w:t>
      </w:r>
      <w:r>
        <w:t xml:space="preserve">“effect”</w:t>
      </w:r>
      <w:r>
        <w:t xml:space="preserve"> </w:t>
      </w:r>
      <w:r>
        <w:t xml:space="preserve">below, read</w:t>
      </w:r>
      <w:r>
        <w:t xml:space="preserve"> </w:t>
      </w:r>
      <w:r>
        <w:t xml:space="preserve">“backdoor-adjusted association between a 2020 land-cover product and a 1982 soil measurement”</w:t>
      </w:r>
      <w:r>
        <w:t xml:space="preserve">. The framework cannot fix a data set in which the cause postdates the effect; what it can do is make that visible instead of reporting a coefficient.</w:t>
      </w:r>
    </w:p>
    <w:p>
      <w:pPr>
        <w:pStyle w:val="BodyText"/>
      </w:pPr>
      <w:r>
        <w:t xml:space="preserve">Fig 14 shows the four exposures before and after adjustment, together with the confounding each estimate could withstand.</w:t>
      </w:r>
    </w:p>
    <w:p>
      <w:pPr>
        <w:pStyle w:val="BodyText"/>
      </w:pPr>
      <w:r>
        <w:drawing>
          <wp:inline>
            <wp:extent cx="5334000" cy="5053263"/>
            <wp:effectExtent b="0" l="0" r="0" t="0"/>
            <wp:docPr descr="" title="" id="50" name="Picture"/>
            <a:graphic>
              <a:graphicData uri="http://schemas.openxmlformats.org/drawingml/2006/picture">
                <pic:pic>
                  <pic:nvPicPr>
                    <pic:cNvPr descr="plos-manuscript_files/figures/Fig14.png" id="51" name="Picture"/>
                    <pic:cNvPicPr>
                      <a:picLocks noChangeArrowheads="1" noChangeAspect="1"/>
                    </pic:cNvPicPr>
                  </pic:nvPicPr>
                  <pic:blipFill>
                    <a:blip r:embed="rId49"/>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14.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8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w:t>
      </w:r>
    </w:p>
    <w:p>
      <w:pPr>
        <w:pStyle w:val="BodyText"/>
      </w:pPr>
      <w:r>
        <w:t xml:space="preserve">That pooled test has an obvious objection, and it is worth answering rather than leaving open. Soil profiles are spatially autocorrelated, so treating 3,077 of them as independent observations overstates the effective sample size and will reject independencies a spatially aware test would not. Residualising every variable on a thin-plate spline of position before testing — and charging the smoother its degrees of freedom — reduces the count to</w:t>
      </w:r>
      <w:r>
        <w:t xml:space="preserve"> </w:t>
      </w:r>
      <w:r>
        <w:rPr>
          <w:b/>
          <w:bCs/>
        </w:rPr>
        <w:t xml:space="preserve">28 of 37</w:t>
      </w:r>
      <w:r>
        <w:t xml:space="preserve">. Nine individual independencies change verdict in one direction or the other. The conclusion is unchanged in kind: the graph, as drawn from published pedogenetic knowledge, is not compatible with the covariance structure of the data it is applied to, on either test. But the</w:t>
      </w:r>
      <w:r>
        <w:t xml:space="preserve"> </w:t>
      </w:r>
      <w:r>
        <w:rPr>
          <w:i/>
          <w:iCs/>
        </w:rPr>
        <w:t xml:space="preserve">count</w:t>
      </w:r>
      <w:r>
        <w:t xml:space="preserve"> </w:t>
      </w:r>
      <w:r>
        <w:t xml:space="preserve">moves with the treatment of spatial structure, and we report both rather than the more striking one.</w:t>
      </w:r>
      <w:r>
        <w:t xml:space="preserve"> </w:t>
      </w:r>
      <w:r>
        <w:rPr>
          <w:rStyle w:val="VerbatimChar"/>
        </w:rPr>
        <w:t xml:space="preserve">causal_dag_test()</w:t>
      </w:r>
      <w:r>
        <w:t xml:space="preserve"> </w:t>
      </w:r>
      <w:r>
        <w:t xml:space="preserve">runs both on any graph and data frame.</w:t>
      </w:r>
    </w:p>
    <w:p>
      <w:pPr>
        <w:pStyle w:val="BodyText"/>
      </w:pPr>
      <w:r>
        <w:t xml:space="preserve">This is a substantive negative result, and it propagates: an adjustment set is only minimal-and-sufficient relative to a graph, so a falsified graph undermines the identification argument for every estimate in Table 8,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two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surfaced a 38-year inversion between the epoch of the exposure product and the sampling year of the outcome that no adjustment set can repair,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bookmarkStart w:id="90" w:name="refs"/>
    <w:bookmarkStart w:id="53" w:name="ref-McBratney2003"/>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bookmarkEnd w:id="53"/>
    <w:bookmarkStart w:id="55" w:name="ref-Wadoux2020"/>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bookmarkEnd w:id="55"/>
    <w:bookmarkStart w:id="57" w:name="ref-Zhang2026causal"/>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bookmarkEnd w:id="57"/>
    <w:bookmarkStart w:id="59" w:name="ref-Batjes2024wosis"/>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bookmarkEnd w:id="59"/>
    <w:bookmarkStart w:id="61" w:name="ref-Fick2017worldclim"/>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bookmarkEnd w:id="61"/>
    <w:bookmarkStart w:id="63" w:name="ref-Hengl2017soilgrids"/>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bookmarkEnd w:id="63"/>
    <w:bookmarkStart w:id="65" w:name="ref-Bishop1999"/>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4">
        <w:r>
          <w:rPr>
            <w:rStyle w:val="Hyperlink"/>
          </w:rPr>
          <w:t xml:space="preserve">10.1016/S0016-7061(99)00003-8</w:t>
        </w:r>
      </w:hyperlink>
    </w:p>
    <w:bookmarkEnd w:id="65"/>
    <w:bookmarkStart w:id="67" w:name="ref-Malone2009"/>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6">
        <w:r>
          <w:rPr>
            <w:rStyle w:val="Hyperlink"/>
          </w:rPr>
          <w:t xml:space="preserve">10.1016/j.geoderma.2009.10.007</w:t>
        </w:r>
      </w:hyperlink>
    </w:p>
    <w:bookmarkEnd w:id="67"/>
    <w:bookmarkStart w:id="69" w:name="ref-MontielOlea2019"/>
    <w:p>
      <w:pPr>
        <w:pStyle w:val="Bibliography"/>
      </w:pPr>
      <w:r>
        <w:t xml:space="preserve">9.</w:t>
      </w:r>
      <w:r>
        <w:t xml:space="preserve"> </w:t>
      </w:r>
      <w:r>
        <w:t xml:space="preserve">	</w:t>
      </w:r>
      <w:r>
        <w:t xml:space="preserve">Montiel Olea JL, Plagborg-Møller M. Simultaneous confidence bands: Theory, implementation, and an application to</w:t>
      </w:r>
      <w:r>
        <w:t xml:space="preserve"> </w:t>
      </w:r>
      <w:r>
        <w:t xml:space="preserve">SVAR</w:t>
      </w:r>
      <w:r>
        <w:t xml:space="preserve">s. Journal of Applied Econometrics. 2019;34: 1–17. doi:</w:t>
      </w:r>
      <w:hyperlink r:id="rId68">
        <w:r>
          <w:rPr>
            <w:rStyle w:val="Hyperlink"/>
          </w:rPr>
          <w:t xml:space="preserve">10.1002/jae.2656</w:t>
        </w:r>
      </w:hyperlink>
    </w:p>
    <w:bookmarkEnd w:id="69"/>
    <w:bookmarkStart w:id="71" w:name="ref-Minasny2016"/>
    <w:p>
      <w:pPr>
        <w:pStyle w:val="Bibliography"/>
      </w:pPr>
      <w:r>
        <w:t xml:space="preserve">10.</w:t>
      </w:r>
      <w:r>
        <w:t xml:space="preserve"> </w:t>
      </w:r>
      <w:r>
        <w:t xml:space="preserve">	</w:t>
      </w:r>
      <w:r>
        <w:t xml:space="preserve">Minasny B, McBratney AB. Digital soil mapping: A brief history and some lessons learned. Geoderma. 2016;264: 301–311. doi:</w:t>
      </w:r>
      <w:hyperlink r:id="rId70">
        <w:r>
          <w:rPr>
            <w:rStyle w:val="Hyperlink"/>
          </w:rPr>
          <w:t xml:space="preserve">10.1016/j.geoderma.2015.07.017</w:t>
        </w:r>
      </w:hyperlink>
    </w:p>
    <w:bookmarkEnd w:id="71"/>
    <w:bookmarkStart w:id="73" w:name="ref-Elzein1995"/>
    <w:p>
      <w:pPr>
        <w:pStyle w:val="Bibliography"/>
      </w:pPr>
      <w:r>
        <w:t xml:space="preserve">11.</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72">
        <w:r>
          <w:rPr>
            <w:rStyle w:val="Hyperlink"/>
          </w:rPr>
          <w:t xml:space="preserve">10.2136/sssaj1995.03615995005900050019x</w:t>
        </w:r>
      </w:hyperlink>
    </w:p>
    <w:bookmarkEnd w:id="73"/>
    <w:bookmarkStart w:id="75" w:name="ref-Braakhekke2011"/>
    <w:p>
      <w:pPr>
        <w:pStyle w:val="Bibliography"/>
      </w:pPr>
      <w:r>
        <w:t xml:space="preserve">12.</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74">
        <w:r>
          <w:rPr>
            <w:rStyle w:val="Hyperlink"/>
          </w:rPr>
          <w:t xml:space="preserve">10.1016/j.ecolmodel.2011.02.015</w:t>
        </w:r>
      </w:hyperlink>
    </w:p>
    <w:bookmarkEnd w:id="75"/>
    <w:bookmarkStart w:id="77" w:name="ref-Gale1987"/>
    <w:p>
      <w:pPr>
        <w:pStyle w:val="Bibliography"/>
      </w:pPr>
      <w:r>
        <w:t xml:space="preserve">13.</w:t>
      </w:r>
      <w:r>
        <w:t xml:space="preserve"> </w:t>
      </w:r>
      <w:r>
        <w:t xml:space="preserve">	</w:t>
      </w:r>
      <w:r>
        <w:t xml:space="preserve">Gale MR, Grigal DF. Vertical root distributions of northern tree species in relation to successional status. Canadian Journal of Forest Research. 1987;17: 829–834. doi:</w:t>
      </w:r>
      <w:hyperlink r:id="rId76">
        <w:r>
          <w:rPr>
            <w:rStyle w:val="Hyperlink"/>
          </w:rPr>
          <w:t xml:space="preserve">10.1139/x87-131</w:t>
        </w:r>
      </w:hyperlink>
    </w:p>
    <w:bookmarkEnd w:id="77"/>
    <w:bookmarkStart w:id="79" w:name="ref-Jackson1996"/>
    <w:p>
      <w:pPr>
        <w:pStyle w:val="Bibliography"/>
      </w:pPr>
      <w:r>
        <w:t xml:space="preserve">14.</w:t>
      </w:r>
      <w:r>
        <w:t xml:space="preserve"> </w:t>
      </w:r>
      <w:r>
        <w:t xml:space="preserve">	</w:t>
      </w:r>
      <w:r>
        <w:t xml:space="preserve">Jackson RB, Canadell J, Ehleringer JR, Mooney HA, Sala OE, Schulze ED. A global analysis of root distributions for terrestrial biomes. Oecologia. 1996;108: 389–411. doi:</w:t>
      </w:r>
      <w:hyperlink r:id="rId78">
        <w:r>
          <w:rPr>
            <w:rStyle w:val="Hyperlink"/>
          </w:rPr>
          <w:t xml:space="preserve">10.1007/BF00333714</w:t>
        </w:r>
      </w:hyperlink>
    </w:p>
    <w:bookmarkEnd w:id="79"/>
    <w:bookmarkStart w:id="81" w:name="ref-Cambardella1994"/>
    <w:p>
      <w:pPr>
        <w:pStyle w:val="Bibliography"/>
      </w:pPr>
      <w:r>
        <w:t xml:space="preserve">15.</w:t>
      </w:r>
      <w:r>
        <w:t xml:space="preserve"> </w:t>
      </w:r>
      <w:r>
        <w:t xml:space="preserve">	</w:t>
      </w:r>
      <w:r>
        <w:t xml:space="preserve">Cambardella CA, Moorman TB, Novak JM, Parkin TB, Karlen DL, Turco RF, et al. Field-scale variability of soil properties in central iowa soils. Soil Science Society of America Journal. 1994;58: 1501–1511. doi:</w:t>
      </w:r>
      <w:hyperlink r:id="rId80">
        <w:r>
          <w:rPr>
            <w:rStyle w:val="Hyperlink"/>
          </w:rPr>
          <w:t xml:space="preserve">10.2136/sssaj1994.03615995005800050033x</w:t>
        </w:r>
      </w:hyperlink>
    </w:p>
    <w:bookmarkEnd w:id="81"/>
    <w:bookmarkStart w:id="83" w:name="ref-Hassink1997"/>
    <w:p>
      <w:pPr>
        <w:pStyle w:val="Bibliography"/>
      </w:pPr>
      <w:r>
        <w:t xml:space="preserve">16.</w:t>
      </w:r>
      <w:r>
        <w:t xml:space="preserve"> </w:t>
      </w:r>
      <w:r>
        <w:t xml:space="preserve">	</w:t>
      </w:r>
      <w:r>
        <w:t xml:space="preserve">Hassink J. The capacity of soils to preserve organic c and n by their association with clay and silt particles. Plant and Soil. 1997;191: 77–87. doi:</w:t>
      </w:r>
      <w:hyperlink r:id="rId82">
        <w:r>
          <w:rPr>
            <w:rStyle w:val="Hyperlink"/>
          </w:rPr>
          <w:t xml:space="preserve">10.1023/A:1004213929699</w:t>
        </w:r>
      </w:hyperlink>
    </w:p>
    <w:bookmarkEnd w:id="83"/>
    <w:bookmarkStart w:id="85" w:name="ref-Jobbagy2000"/>
    <w:p>
      <w:pPr>
        <w:pStyle w:val="Bibliography"/>
      </w:pPr>
      <w:r>
        <w:t xml:space="preserve">17.</w:t>
      </w:r>
      <w:r>
        <w:t xml:space="preserve"> </w:t>
      </w:r>
      <w:r>
        <w:t xml:space="preserve">	</w:t>
      </w:r>
      <w:r>
        <w:t xml:space="preserve">Jobbágy EG, Jackson RB. The vertical distribution of soil organic carbon and its relation to climate and vegetation. Ecological Applications. 2000;10: 423–436. doi:</w:t>
      </w:r>
      <w:hyperlink r:id="rId84">
        <w:r>
          <w:rPr>
            <w:rStyle w:val="Hyperlink"/>
          </w:rPr>
          <w:t xml:space="preserve">10.1890/1051-0761(2000)010[0423:TVDOSO]2.0.CO;2</w:t>
        </w:r>
      </w:hyperlink>
    </w:p>
    <w:bookmarkEnd w:id="85"/>
    <w:bookmarkStart w:id="87" w:name="ref-Roberts2017"/>
    <w:p>
      <w:pPr>
        <w:pStyle w:val="Bibliography"/>
      </w:pPr>
      <w:r>
        <w:t xml:space="preserve">18.</w:t>
      </w:r>
      <w:r>
        <w:t xml:space="preserve"> </w:t>
      </w:r>
      <w:r>
        <w:t xml:space="preserve">	</w:t>
      </w:r>
      <w:r>
        <w:t xml:space="preserve">Roberts DR, Bahn V, Ciuti S, Boyce MS, Elith J, Guillera-Arroita G, et al. Cross-validation strategies for data with temporal, spatial, hierarchical, or phylogenetic structure. Ecography. 2017;40: 913–929. doi:</w:t>
      </w:r>
      <w:hyperlink r:id="rId86">
        <w:r>
          <w:rPr>
            <w:rStyle w:val="Hyperlink"/>
          </w:rPr>
          <w:t xml:space="preserve">10.1111/ecog.02881</w:t>
        </w:r>
      </w:hyperlink>
    </w:p>
    <w:bookmarkEnd w:id="87"/>
    <w:bookmarkStart w:id="89" w:name="ref-CinelliHazlett2020"/>
    <w:p>
      <w:pPr>
        <w:pStyle w:val="Bibliography"/>
      </w:pPr>
      <w:r>
        <w:t xml:space="preserve">19.</w:t>
      </w:r>
      <w:r>
        <w:t xml:space="preserve"> </w:t>
      </w:r>
      <w:r>
        <w:t xml:space="preserve">	</w:t>
      </w:r>
      <w:r>
        <w:t xml:space="preserve">Cinelli C, Hazlett C. Making sense of sensitivity: Extending omitted variable bias. Journal of the Royal Statistical Society: Series B. 2020;82: 39–67. doi:</w:t>
      </w:r>
      <w:hyperlink r:id="rId88">
        <w:r>
          <w:rPr>
            <w:rStyle w:val="Hyperlink"/>
          </w:rPr>
          <w:t xml:space="preserve">10.1111/rssb.12348</w:t>
        </w:r>
      </w:hyperlink>
    </w:p>
    <w:bookmarkEnd w:id="89"/>
    <w:bookmarkEnd w:id="90"/>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78"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4"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0" Target="https://doi.org/10.1016/j.geoderma.2015.07.017" TargetMode="External" /><Relationship Type="http://schemas.openxmlformats.org/officeDocument/2006/relationships/hyperlink" Id="rId82" Target="https://doi.org/10.1023/A:1004213929699" TargetMode="External" /><Relationship Type="http://schemas.openxmlformats.org/officeDocument/2006/relationships/hyperlink" Id="rId86"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88" Target="https://doi.org/10.1111/rssb.12348" TargetMode="External" /><Relationship Type="http://schemas.openxmlformats.org/officeDocument/2006/relationships/hyperlink" Id="rId76"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84" Target="https://doi.org/10.1890/1051-0761(2000)010[0423:TVDOSO]2.0.CO;2" TargetMode="External" /><Relationship Type="http://schemas.openxmlformats.org/officeDocument/2006/relationships/hyperlink" Id="rId80" Target="https://doi.org/10.2136/sssaj1994.03615995005800050033x" TargetMode="External" /><Relationship Type="http://schemas.openxmlformats.org/officeDocument/2006/relationships/hyperlink" Id="rId72"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78"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4"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0" Target="https://doi.org/10.1016/j.geoderma.2015.07.017" TargetMode="External" /><Relationship Type="http://schemas.openxmlformats.org/officeDocument/2006/relationships/hyperlink" Id="rId82" Target="https://doi.org/10.1023/A:1004213929699" TargetMode="External" /><Relationship Type="http://schemas.openxmlformats.org/officeDocument/2006/relationships/hyperlink" Id="rId86"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88" Target="https://doi.org/10.1111/rssb.12348" TargetMode="External" /><Relationship Type="http://schemas.openxmlformats.org/officeDocument/2006/relationships/hyperlink" Id="rId76"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84" Target="https://doi.org/10.1890/1051-0761(2000)010[0423:TVDOSO]2.0.CO;2" TargetMode="External" /><Relationship Type="http://schemas.openxmlformats.org/officeDocument/2006/relationships/hyperlink" Id="rId80" Target="https://doi.org/10.2136/sssaj1994.03615995005800050033x" TargetMode="External" /><Relationship Type="http://schemas.openxmlformats.org/officeDocument/2006/relationships/hyperlink" Id="rId72"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2026-08-05T19:27:37Z</dcterms:created>
  <dcterms:modified xsi:type="dcterms:W3CDTF">2026-08-05T19:27:37Z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