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chosen as the longest identified variogram range in these data; without the buffer the graph attention network scores half a rank higher, which is what a method built on a spatial neighbour graph would be expected to gain from training points immediately across a block boundary.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with a lognormal likelihood.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0.0105</w:t>
            </w:r>
          </w:p>
        </w:tc>
        <w:tc>
          <w:tcPr/>
          <w:p>
            <w:pPr>
              <w:pStyle w:val="Compact"/>
              <w:jc w:val="right"/>
            </w:pPr>
            <w:r>
              <w:t xml:space="preserve">0.0036</w:t>
            </w:r>
          </w:p>
        </w:tc>
        <w:tc>
          <w:tcPr/>
          <w:p>
            <w:pPr>
              <w:pStyle w:val="Compact"/>
              <w:jc w:val="right"/>
            </w:pPr>
            <w:r>
              <w:t xml:space="preserve">0.005</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0.0048</w:t>
            </w:r>
          </w:p>
        </w:tc>
        <w:tc>
          <w:tcPr/>
          <w:p>
            <w:pPr>
              <w:pStyle w:val="Compact"/>
              <w:jc w:val="right"/>
            </w:pPr>
            <w:r>
              <w:t xml:space="preserve">0.0029</w:t>
            </w:r>
          </w:p>
        </w:tc>
        <w:tc>
          <w:tcPr/>
          <w:p>
            <w:pPr>
              <w:pStyle w:val="Compact"/>
              <w:jc w:val="right"/>
            </w:pPr>
            <w:r>
              <w:t xml:space="preserve">0.001</w:t>
            </w:r>
          </w:p>
        </w:tc>
        <w:tc>
          <w:tcPr/>
          <w:p>
            <w:pPr>
              <w:pStyle w:val="Compact"/>
              <w:jc w:val="right"/>
            </w:pPr>
            <w:r>
              <w:t xml:space="preserve">0.013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-2.2916</w:t>
            </w:r>
          </w:p>
        </w:tc>
        <w:tc>
          <w:tcPr/>
          <w:p>
            <w:pPr>
              <w:pStyle w:val="Compact"/>
              <w:jc w:val="right"/>
            </w:pPr>
            <w:r>
              <w:t xml:space="preserve">6.0867</w:t>
            </w:r>
          </w:p>
        </w:tc>
        <w:tc>
          <w:tcPr/>
          <w:p>
            <w:pPr>
              <w:pStyle w:val="Compact"/>
              <w:jc w:val="right"/>
            </w:pPr>
            <w:r>
              <w:t xml:space="preserve">-20.460</w:t>
            </w:r>
          </w:p>
        </w:tc>
        <w:tc>
          <w:tcPr/>
          <w:p>
            <w:pPr>
              <w:pStyle w:val="Compact"/>
              <w:jc w:val="right"/>
            </w:pPr>
            <w:r>
              <w:t xml:space="preserve">3.243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24.2147</w:t>
            </w:r>
          </w:p>
        </w:tc>
        <w:tc>
          <w:tcPr/>
          <w:p>
            <w:pPr>
              <w:pStyle w:val="Compact"/>
              <w:jc w:val="right"/>
            </w:pPr>
            <w:r>
              <w:t xml:space="preserve">3.1968</w:t>
            </w:r>
          </w:p>
        </w:tc>
        <w:tc>
          <w:tcPr/>
          <w:p>
            <w:pPr>
              <w:pStyle w:val="Compact"/>
              <w:jc w:val="right"/>
            </w:pPr>
            <w:r>
              <w:t xml:space="preserve">18.516</w:t>
            </w:r>
          </w:p>
        </w:tc>
        <w:tc>
          <w:tcPr/>
          <w:p>
            <w:pPr>
              <w:pStyle w:val="Compact"/>
              <w:jc w:val="right"/>
            </w:pPr>
            <w:r>
              <w:t xml:space="preserve">31.096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3.0343</w:t>
            </w:r>
          </w:p>
        </w:tc>
        <w:tc>
          <w:tcPr/>
          <w:p>
            <w:pPr>
              <w:pStyle w:val="Compact"/>
              <w:jc w:val="right"/>
            </w:pPr>
            <w:r>
              <w:t xml:space="preserve">2.3539</w:t>
            </w:r>
          </w:p>
        </w:tc>
        <w:tc>
          <w:tcPr/>
          <w:p>
            <w:pPr>
              <w:pStyle w:val="Compact"/>
              <w:jc w:val="right"/>
            </w:pPr>
            <w:r>
              <w:t xml:space="preserve">0.677</w:t>
            </w:r>
          </w:p>
        </w:tc>
        <w:tc>
          <w:tcPr/>
          <w:p>
            <w:pPr>
              <w:pStyle w:val="Compact"/>
              <w:jc w:val="right"/>
            </w:pPr>
            <w:r>
              <w:t xml:space="preserve">9.453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2.2205</w:t>
            </w:r>
          </w:p>
        </w:tc>
        <w:tc>
          <w:tcPr/>
          <w:p>
            <w:pPr>
              <w:pStyle w:val="Compact"/>
              <w:jc w:val="right"/>
            </w:pPr>
            <w:r>
              <w:t xml:space="preserve">0.9058</w:t>
            </w:r>
          </w:p>
        </w:tc>
        <w:tc>
          <w:tcPr/>
          <w:p>
            <w:pPr>
              <w:pStyle w:val="Compact"/>
              <w:jc w:val="right"/>
            </w:pPr>
            <w:r>
              <w:t xml:space="preserve">0.945</w:t>
            </w:r>
          </w:p>
        </w:tc>
        <w:tc>
          <w:tcPr/>
          <w:p>
            <w:pPr>
              <w:pStyle w:val="Compact"/>
              <w:jc w:val="right"/>
            </w:pPr>
            <w:r>
              <w:t xml:space="preserve">4.478</w:t>
            </w:r>
          </w:p>
        </w:tc>
      </w:tr>
      <w:tr>
        <w:tc>
          <w:tcPr/>
          <w:p>
            <w:pPr>
              <w:pStyle w:val="Compact"/>
              <w:jc w:val="left"/>
            </w:pPr>
            <w:r>
              <w:t xml:space="preserve">sigma</w:t>
            </w:r>
          </w:p>
        </w:tc>
        <w:tc>
          <w:tcPr/>
          <w:p>
            <w:pPr>
              <w:pStyle w:val="Compact"/>
              <w:jc w:val="left"/>
            </w:pPr>
            <w:r>
              <w:t xml:space="preserve">Observation noise, coefficient of variation (lognormal family)</w:t>
            </w:r>
          </w:p>
        </w:tc>
        <w:tc>
          <w:tcPr/>
          <w:p>
            <w:pPr>
              <w:pStyle w:val="Compact"/>
              <w:jc w:val="right"/>
            </w:pPr>
            <w:r>
              <w:t xml:space="preserve">0.1684</w:t>
            </w:r>
          </w:p>
        </w:tc>
        <w:tc>
          <w:tcPr/>
          <w:p>
            <w:pPr>
              <w:pStyle w:val="Compact"/>
              <w:jc w:val="right"/>
            </w:pPr>
            <w:r>
              <w:t xml:space="preserve">0.0412</w:t>
            </w:r>
          </w:p>
        </w:tc>
        <w:tc>
          <w:tcPr/>
          <w:p>
            <w:pPr>
              <w:pStyle w:val="Compact"/>
              <w:jc w:val="right"/>
            </w:pPr>
            <w:r>
              <w:t xml:space="preserve">0.100</w:t>
            </w:r>
          </w:p>
        </w:tc>
        <w:tc>
          <w:tcPr/>
          <w:p>
            <w:pPr>
              <w:pStyle w:val="Compact"/>
              <w:jc w:val="right"/>
            </w:pPr>
            <w:r>
              <w:t xml:space="preserve">0.257</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24.2 g/kg with an interval 12.6 g/kg wide, and the attainable deep value is identified and admissible at 2.22 g/kg, interval [0.95, 4.48]. The coordinate</w:t>
      </w:r>
      <w:r>
        <w:t xml:space="preserve"> </w:t>
      </w:r>
      <m:oMath>
        <m:sSub>
          <m:e>
            <m:r>
              <m:t>y</m:t>
            </m:r>
          </m:e>
          <m:sub>
            <m:r>
              <m:rPr>
                <m:sty m:val="p"/>
              </m:rPr>
              <m:t>∞</m:t>
            </m:r>
          </m:sub>
        </m:sSub>
      </m:oMath>
      <w:r>
        <w:t xml:space="preserve"> </w:t>
      </w:r>
      <w:r>
        <w:t xml:space="preserve">is not identified: its interval, [−20.5, 3.2], is 6.7 times wider and reaches into negative carbon. Nine horizons to 550 cm do constrain where the profile is heading; what they cannot do is locate a coordinate the profile never visits. The last row is the observation noise, a coefficient of variation of 0.17 — a 17% relative error, which is the right order for laboratory organic carbon and would have been an uninterpretable 1.5 g/kg under the Gaussian.</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3).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3.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Two of the four parameters have an identified variogram. The attainable deep value reaches a sill with a nugget-to-sill ratio of 0.63 at a range of 68 km, and the depth attenuation 0.56 at 55 km — moderate spatial dependence in the sense of Cambardella et al.</w:t>
      </w:r>
      <w:r>
        <w:t xml:space="preserve"> </w:t>
      </w:r>
      <w:r>
        <w:t xml:space="preserve">[14]</w:t>
      </w:r>
      <w:r>
        <w:t xml:space="preserve">. The other two, the surface value and the total relaxation, fit ranges of 12 and 9 km, which lie</w:t>
      </w:r>
      <w:r>
        <w:t xml:space="preserve"> </w:t>
      </w:r>
      <w:r>
        <w:rPr>
          <w:i/>
          <w:iCs/>
        </w:rPr>
        <w:t xml:space="preserve">below the closest pair of profiles in the archive</w:t>
      </w:r>
      <w:r>
        <w:t xml:space="preserve">: the nearest lag these 1,105 profiles support is 35 km, so a range shorter than that is interpolated through empty space rather than measured. Their spatial structure, whatever it is, operates at a scale this survey cannot see.</w:t>
      </w:r>
    </w:p>
    <w:p>
      <w:pPr>
        <w:pStyle w:val="BodyText"/>
      </w:pPr>
      <w:r>
        <w:t xml:space="preserve">The consequence for mapping is the same in both cases and it is unfavourable. Even the two identified ranges, 55 and 68 km, are far shorter than the median separation between profiles in this archive, so kriging the parameters would be extrapolating almost everywhere. Regressing each on climate and terrain first does not rescue the situation: those covariates explain between 1.4% and 8.1%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1,105 profiles, 386,729 point pairs, with fitted exponential models. Two parameters reach a sill within the observed separations at ranges of 55 and 68 km; the other two fit ranges shorter than the 35 km nearest lag the archive supports, and are therefore not identified. Point size is the number of pairs in each lag.</w:t>
      </w:r>
    </w:p>
    <w:p>
      <w:pPr>
        <w:pStyle w:val="BodyText"/>
      </w:pPr>
      <w:r>
        <w:rPr>
          <w:b/>
          <w:bCs/>
        </w:rPr>
        <w:t xml:space="preserve">What we do not claim.</w:t>
      </w:r>
      <w:r>
        <w:t xml:space="preserve"> </w:t>
      </w:r>
      <w:r>
        <w:t xml:space="preserve">Three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And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[15]</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[16]</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of 3,077 rows and raised the realised minimum training-to-test distance from 12.3 to 68.3 km.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2.1</w:t>
            </w:r>
          </w:p>
        </w:tc>
      </w:tr>
      <w:tr>
        <w:tc>
          <w:tcPr/>
          <w:p>
            <w:pPr>
              <w:pStyle w:val="Compact"/>
              <w:jc w:val="left"/>
            </w:pPr>
            <w:r>
              <w:t xml:space="preserve">P7 BHS</w:t>
            </w:r>
          </w:p>
        </w:tc>
        <w:tc>
          <w:tcPr/>
          <w:p>
            <w:pPr>
              <w:pStyle w:val="Compact"/>
              <w:jc w:val="right"/>
            </w:pPr>
            <w:r>
              <w:t xml:space="preserve">0.603</w:t>
            </w:r>
          </w:p>
        </w:tc>
        <w:tc>
          <w:tcPr/>
          <w:p>
            <w:pPr>
              <w:pStyle w:val="Compact"/>
              <w:jc w:val="right"/>
            </w:pPr>
            <w:r>
              <w:t xml:space="preserve">0.151</w:t>
            </w:r>
          </w:p>
        </w:tc>
        <w:tc>
          <w:tcPr/>
          <w:p>
            <w:pPr>
              <w:pStyle w:val="Compact"/>
              <w:jc w:val="right"/>
            </w:pPr>
            <w:r>
              <w:t xml:space="preserve">0.020</w:t>
            </w:r>
          </w:p>
        </w:tc>
        <w:tc>
          <w:tcPr/>
          <w:p>
            <w:pPr>
              <w:pStyle w:val="Compact"/>
              <w:jc w:val="right"/>
            </w:pPr>
            <w:r>
              <w:t xml:space="preserve">0.919</w:t>
            </w:r>
          </w:p>
        </w:tc>
        <w:tc>
          <w:tcPr/>
          <w:p>
            <w:pPr>
              <w:pStyle w:val="Compact"/>
              <w:jc w:val="right"/>
            </w:pPr>
            <w:r>
              <w:t xml:space="preserve">2.161</w:t>
            </w:r>
          </w:p>
        </w:tc>
        <w:tc>
          <w:tcPr/>
          <w:p>
            <w:pPr>
              <w:pStyle w:val="Compact"/>
              <w:jc w:val="right"/>
            </w:pPr>
            <w:r>
              <w:t xml:space="preserve">0.339</w:t>
            </w:r>
          </w:p>
        </w:tc>
        <w:tc>
          <w:tcPr/>
          <w:p>
            <w:pPr>
              <w:pStyle w:val="Compact"/>
              <w:jc w:val="right"/>
            </w:pPr>
            <w:r>
              <w:t xml:space="preserve">77.5</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8.2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0.471</w:t>
            </w:r>
          </w:p>
        </w:tc>
        <w:tc>
          <w:tcPr/>
          <w:p>
            <w:pPr>
              <w:pStyle w:val="Compact"/>
              <w:jc w:val="right"/>
            </w:pPr>
            <w:r>
              <w:t xml:space="preserve">0.858</w:t>
            </w:r>
          </w:p>
        </w:tc>
        <w:tc>
          <w:tcPr/>
          <w:p>
            <w:pPr>
              <w:pStyle w:val="Compact"/>
              <w:jc w:val="right"/>
            </w:pPr>
            <w:r>
              <w:t xml:space="preserve">0.417</w:t>
            </w:r>
          </w:p>
        </w:tc>
        <w:tc>
          <w:tcPr/>
          <w:p>
            <w:pPr>
              <w:pStyle w:val="Compact"/>
              <w:jc w:val="right"/>
            </w:pPr>
            <w:r>
              <w:t xml:space="preserve">770.6</w:t>
            </w:r>
          </w:p>
        </w:tc>
      </w:tr>
      <w:tr>
        <w:tc>
          <w:tcPr/>
          <w:p>
            <w:pPr>
              <w:pStyle w:val="Compact"/>
              <w:jc w:val="left"/>
            </w:pPr>
            <w:r>
              <w:t xml:space="preserve">P10 GAT (trained attention)</w:t>
            </w:r>
          </w:p>
        </w:tc>
        <w:tc>
          <w:tcPr/>
          <w:p>
            <w:pPr>
              <w:pStyle w:val="Compact"/>
              <w:jc w:val="right"/>
            </w:pPr>
            <w:r>
              <w:t xml:space="preserve">0.686</w:t>
            </w:r>
          </w:p>
        </w:tc>
        <w:tc>
          <w:tcPr/>
          <w:p>
            <w:pPr>
              <w:pStyle w:val="Compact"/>
              <w:jc w:val="right"/>
            </w:pPr>
            <w:r>
              <w:t xml:space="preserve">-0.149</w:t>
            </w:r>
          </w:p>
        </w:tc>
        <w:tc>
          <w:tcPr/>
          <w:p>
            <w:pPr>
              <w:pStyle w:val="Compact"/>
              <w:jc w:val="right"/>
            </w:pPr>
            <w:r>
              <w:t xml:space="preserve">-0.368</w:t>
            </w:r>
          </w:p>
        </w:tc>
        <w:tc>
          <w:tcPr/>
          <w:p>
            <w:pPr>
              <w:pStyle w:val="Compact"/>
              <w:jc w:val="right"/>
            </w:pPr>
            <w:r>
              <w:t xml:space="preserve">0.729</w:t>
            </w:r>
          </w:p>
        </w:tc>
        <w:tc>
          <w:tcPr/>
          <w:p>
            <w:pPr>
              <w:pStyle w:val="Compact"/>
              <w:jc w:val="right"/>
            </w:pPr>
            <w:r>
              <w:t xml:space="preserve">1.515</w:t>
            </w:r>
          </w:p>
        </w:tc>
        <w:tc>
          <w:tcPr/>
          <w:p>
            <w:pPr>
              <w:pStyle w:val="Compact"/>
              <w:jc w:val="right"/>
            </w:pPr>
            <w:r>
              <w:t xml:space="preserve">0.407</w:t>
            </w:r>
          </w:p>
        </w:tc>
        <w:tc>
          <w:tcPr/>
          <w:p>
            <w:pPr>
              <w:pStyle w:val="Compact"/>
              <w:jc w:val="right"/>
            </w:pPr>
            <w:r>
              <w:t xml:space="preserve">63.4</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771 s against 2.5 s for the baseline, several hundred times the most expensive.</w:t>
      </w:r>
    </w:p>
    <w:p>
      <w:pPr>
        <w:pStyle w:val="BodyText"/>
      </w:pPr>
      <w:r>
        <w:t xml:space="preserve">The buffer earns its place in that ranking. Without it the graph attention network reaches RMSE 0.621 and sits fifth; with it, 0.686 and last. A network whose representation is a graph over spatial neighbours is precisely the method that gains most from training points immediately across a block boundary, and the unbuffered comparison flattered it by half a rank. None of the other five moved by more than 0.01.</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8">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0">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2">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4">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6">
        <w:r>
          <w:rPr>
            <w:rStyle w:val="Hyperlink"/>
          </w:rPr>
          <w:t xml:space="preserve">10.1007/BF00333714</w:t>
        </w:r>
      </w:hyperlink>
    </w:p>
    <w:p>
      <w:pPr>
        <w:pStyle w:val="Bibliography"/>
      </w:pPr>
      <w:r>
        <w:t xml:space="preserve">14.</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78">
        <w:r>
          <w:rPr>
            <w:rStyle w:val="Hyperlink"/>
          </w:rPr>
          <w:t xml:space="preserve">10.2136/sssaj1994.03615995005800050033x</w:t>
        </w:r>
      </w:hyperlink>
    </w:p>
    <w:p>
      <w:pPr>
        <w:pStyle w:val="Bibliography"/>
      </w:pPr>
      <w:r>
        <w:t xml:space="preserve">15.</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0">
        <w:r>
          <w:rPr>
            <w:rStyle w:val="Hyperlink"/>
          </w:rPr>
          <w:t xml:space="preserve">10.1111/ecog.02881</w:t>
        </w:r>
      </w:hyperlink>
    </w:p>
    <w:p>
      <w:pPr>
        <w:pStyle w:val="Bibliography"/>
      </w:pPr>
      <w:r>
        <w:t xml:space="preserve">16.</w:t>
      </w:r>
      <w:r>
        <w:t xml:space="preserve"> </w:t>
      </w:r>
      <w:r>
        <w:t xml:space="preserve">	</w:t>
      </w:r>
      <w:r>
        <w:t xml:space="preserve">Cinelli C, Hazlett C. Making sense of sensitivity: Extending omitted variable bias. Journal of the Royal Statistical Society: Series B. 2020;82: 39–67. doi:</w:t>
      </w:r>
      <w:hyperlink r:id="rId82">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80"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2"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76"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2"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68" Target="https://doi.org/10.1016/j.geoderma.2015.07.017" TargetMode="External" /><Relationship Type="http://schemas.openxmlformats.org/officeDocument/2006/relationships/hyperlink" Id="rId80"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2" Target="https://doi.org/10.1111/rssb.12348" TargetMode="External" /><Relationship Type="http://schemas.openxmlformats.org/officeDocument/2006/relationships/hyperlink" Id="rId74"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78" Target="https://doi.org/10.2136/sssaj1994.03615995005800050033x" TargetMode="External" /><Relationship Type="http://schemas.openxmlformats.org/officeDocument/2006/relationships/hyperlink" Id="rId70"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2026-08-05T15:13:11Z</dcterms:created>
  <dcterms:modified xsi:type="dcterms:W3CDTF">2026-08-05T15:13:11Z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