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edaphos: a reproducible R framework for frontier digital soil mapping methods with unified uncertainty calibration</w:t>
      </w:r>
    </w:p>
    <w:p>
      <w:pPr>
        <w:pStyle w:val="FirstParagraph"/>
      </w:pPr>
      <w:r>
        <w:t xml:space="preserve">Hugo Machado Rodrigues</w:t>
      </w:r>
      <w:r>
        <w:rPr>
          <w:vertAlign w:val="superscript"/>
        </w:rPr>
        <w:t xml:space="preserve">1</w:t>
      </w:r>
      <w:r>
        <w:t xml:space="preserve">*</w:t>
      </w:r>
    </w:p>
    <w:p>
      <w:pPr>
        <w:pStyle w:val="BodyText"/>
      </w:pPr>
      <w:r>
        <w:rPr>
          <w:vertAlign w:val="superscript"/>
        </w:rPr>
        <w:t xml:space="preserve">1</w:t>
      </w:r>
      <w:r>
        <w:t xml:space="preserve"> </w:t>
      </w:r>
      <w:r>
        <w:t xml:space="preserve">Range Cattle Research and Education Center, Institute of Food and Agricultural Sciences, University of Florida, Ona, Florida, United States of America</w:t>
      </w:r>
    </w:p>
    <w:p>
      <w:pPr>
        <w:pStyle w:val="BodyText"/>
      </w:pPr>
      <w:r>
        <w:t xml:space="preserve">* Corresponding author</w:t>
      </w:r>
    </w:p>
    <w:p>
      <w:pPr>
        <w:pStyle w:val="BodyText"/>
      </w:pPr>
      <w:r>
        <w:t xml:space="preserve">E-mail:</w:t>
      </w:r>
      <w:r>
        <w:t xml:space="preserve"> </w:t>
      </w:r>
      <w:hyperlink r:id="rId9">
        <w:r>
          <w:rPr>
            <w:rStyle w:val="Hyperlink"/>
          </w:rPr>
          <w:t xml:space="preserve">rodrigues.machado.hugo@gmail.com</w:t>
        </w:r>
      </w:hyperlink>
      <w:r>
        <w:t xml:space="preserve"> </w:t>
      </w:r>
      <w:r>
        <w:t xml:space="preserve">(HR)</w:t>
      </w:r>
    </w:p>
    <w:p>
      <w:pPr>
        <w:pStyle w:val="Heading1"/>
      </w:pPr>
      <w:r>
        <w:t xml:space="preserve">Abstract</w:t>
      </w:r>
    </w:p>
    <w:p>
      <w:pPr>
        <w:pStyle w:val="FirstParagraph"/>
      </w:pPr>
      <w:r>
        <w:t xml:space="preserve">Digital soil mapping has moved well beyond regression trees. Causal inference, physics-informed and generative deep learning, graph neural networks and quantum kernels have all been proposed for soil prediction, yet they are rarely compared under a common protocol, their predictive uncertainty is rarely calibrated, and the software that implements them is rarely reproducible end to end. We present edaphos, an R framework that implements ten families of such methods behind a single predictive-posterior class, so that any of them can be scored with the same proper and diagnostic measures, and whose every published figure is regenerated from data bundled with the package. We use the framework to run a matched, spatially blocked benchmark of six methods on real topsoil organic-carbon profiles from the World Soil Information Service over the Brazilian Cerrado, and to conduct a causal analysis on a larger draw of profiles from the same region. Four results follow. First, a mechanistic depth model helps on the typical profile and fails without warning on a small minority, and no scope statement available at fit time separates the two: over 1,105 real multi-horizon profiles the pedogenetic equation dy/dz = −λ₀e^(−μz)(y − y∞) predicts a held-out deepest horizon with a median absolute error of 0.76 g/kg and beats every baseline tested on paired comparison, while ten profiles carrying buried organic horizons — 1.1% of the set — account for 99% of its squared error, and the size of that failure correlates with nothing measurable in the horizons above it (|r| &lt; 0.03). We also show that the equation’s own solution does not converge to y∞ — the attainable deep value is y∞ + (y₀ − y∞)e^(−λ₀/μ), which the data identify while y∞ itself is unidentified and reaches into negative carbon — that a Gaussian likelihood on g/kg is the wrong observation model for a positive skewed concentration and costs real predictive accuracy, since replacing it wins on 720 of 1,105 profiles; and that an alternative derived from a steady-state carbon balance, in which the depth-dependence sits in the asymptote rather than in the rate, is mechanistically defensible at no cost in accuracy, the two being statistically indistinguishable once both are correctly specified. Second, the benchmark is deflationary: an ordinary-least-squares model restricted to a covariate set selected by an explicit pedogenetic directed acyclic graph is the most accurate and among the best calibrated of the six methods, and none of the five more elaborate methods beats it; two of them fall below the achievable null of the training-fold mean. That comparison is made on spatially blocked folds carrying a 68 km buffer, set from the longest identified variogram range in these data (69 km on the current fits); removing the buffer improves every method slightly and the graph attention network most, as a method built on a spatial neighbour graph should be, but it does not change the ranking. We further show that a pooled coverage rate hides where an interval is wrong: over held-out profiles lying 68 to 870 km from the nearest training profile, the geostatistical model’s interval width tracks that distance (Spearman 0.80, and 0.78 after removing covariate-space distance) while the graph network’s does not (-0.05, and -0.08 partial) even though its error does (0.11, p = 0.0004) – so the only method whose predictive variance is a function of where the prediction is being made is the only one that widens where it should. Third, backdoor adjustment yields robust associations with explicit sensitivity bounds rather than identified causal effects, and adjustment collapses an apparent tree-cover association to near zero, demonstrating confounding directly; we also report that in these data the exposure postdates the outcome by a median of 38 years, which forecloses a causal reading on temporal grounds alone and which no adjustment set can repair. Fourth, instrumenting soil carbon with the embedding of a trained contrastive foundation encoder yields extremely relevant but invalid instruments: a first-stage F statistic in the thousands alongside a decisive rejection of the over-identification test, showing empirically that a learned representation does not manufacture a valid instrument. We argue that the contribution of a framework such as edaphos is not a new best predictor but a reproducible, calibration-consistent apparatus for asking which method helps, and for reporting honestly when none does.</w:t>
      </w:r>
    </w:p>
    <w:p>
      <w:pPr>
        <w:pStyle w:val="Heading1"/>
      </w:pPr>
      <w:r>
        <w:t xml:space="preserve">Introduction</w:t>
      </w:r>
    </w:p>
    <w:p>
      <w:pPr>
        <w:pStyle w:val="FirstParagraph"/>
      </w:pPr>
      <w:r>
        <w:t xml:space="preserve">Digital soil mapping predicts soil properties at unvisited locations from spatially exhaustive covariates that proxy the soil-forming factors of the scorpan framework</w:t>
      </w:r>
      <w:r>
        <w:t xml:space="preserve"> </w:t>
      </w:r>
      <w:r>
        <w:t xml:space="preserve">[1]</w:t>
      </w:r>
      <w:r>
        <w:t xml:space="preserve">. Its workhorse — the random forest and its quantile variants — is accurate, fast, and well understood, and an expanding literature proposes to improve on it with methods borrowed from causal inference, deep learning, and quantum machine learning. That expansion has outrun the infrastructure needed to evaluate it.</w:t>
      </w:r>
    </w:p>
    <w:p>
      <w:pPr>
        <w:pStyle w:val="BodyText"/>
      </w:pPr>
      <w:r>
        <w:t xml:space="preserve">Three problems recur. First, new methods are seldom compared under a common protocol. Differences in cross-validation scheme, in target transform, in ensemble budget and in the null against which skill is measured make published gains hard to attribute to the method rather than to the harness that surrounds it. A spatially blocked fold and a randomly assigned fold do not measure the same quantity; an R-squared computed against the global mean of the very rows being scored is an oracle, not a baseline. Second, point accuracy is reported far more often than calibrated uncertainty, even though a soil map is used to make decisions under that uncertainty, and even though a method can be simultaneously more accurate and badly overconfident. Third, the software that implements these methods is frequently not reproducible: results are reported from bundles whose inputs are not distributed, or from code paths whose defaults differ from the ones described.</w:t>
      </w:r>
    </w:p>
    <w:p>
      <w:pPr>
        <w:pStyle w:val="BodyText"/>
      </w:pPr>
      <w:r>
        <w:t xml:space="preserve">A fourth problem is conceptual rather than infrastructural, and concerns causality. It is common in digital soil mapping to read a covariate’s importance in a predictive model as evidence that the covariate causes the soil property</w:t>
      </w:r>
      <w:r>
        <w:t xml:space="preserve"> </w:t>
      </w:r>
      <w:r>
        <w:t xml:space="preserve">[2]</w:t>
      </w:r>
      <w:r>
        <w:t xml:space="preserve">. Zhang and Wadoux</w:t>
      </w:r>
      <w:r>
        <w:t xml:space="preserve"> </w:t>
      </w:r>
      <w:r>
        <w:t xml:space="preserve">[3]</w:t>
      </w:r>
      <w:r>
        <w:t xml:space="preserve"> </w:t>
      </w:r>
      <w:r>
        <w:t xml:space="preserve">argue that causal inference from observational soil data is possible only under conditions — an explicit causal model, causal sufficiency, and faithfulness — that such data rarely satisfy, and that the generative, process-informed view of causation is the one most compatible with those conditions. They caution in particular that causal sufficiency, the absence of unobserved confounding, is seldom achievable in practice.</w:t>
      </w:r>
    </w:p>
    <w:p>
      <w:pPr>
        <w:pStyle w:val="BodyText"/>
      </w:pPr>
      <w:r>
        <w:t xml:space="preserve">A note on one word, because this paper uses it in two unrelated senses and they sit close together.</w:t>
      </w:r>
      <w:r>
        <w:t xml:space="preserve"> </w:t>
      </w:r>
      <w:r>
        <w:rPr>
          <w:i/>
          <w:iCs/>
        </w:rPr>
        <w:t xml:space="preserve">Generative</w:t>
      </w:r>
      <w:r>
        <w:t xml:space="preserve"> </w:t>
      </w:r>
      <w:r>
        <w:t xml:space="preserve">in the causal sense above means that the mechanism producing the soil property is written down explicitly, so the model asserts how the world works; that is what Pillar 2’s differential equation attempts.</w:t>
      </w:r>
      <w:r>
        <w:t xml:space="preserve"> </w:t>
      </w:r>
      <w:r>
        <w:rPr>
          <w:i/>
          <w:iCs/>
        </w:rPr>
        <w:t xml:space="preserve">Generative</w:t>
      </w:r>
      <w:r>
        <w:t xml:space="preserve"> </w:t>
      </w:r>
      <w:r>
        <w:t xml:space="preserve">in the machine-learning sense means a model of the joint distribution from which whole realisations can be drawn; that is what Pillar 9’s denoising diffusion model does. The second does not imply the first. A diffusion model can reproduce the spatial statistics of a soil map perfectly while encoding no process at all, and nothing in this paper should be read as claiming that Pillar 9 supports causal inference. Where the distinction matters below we say</w:t>
      </w:r>
      <w:r>
        <w:t xml:space="preserve"> </w:t>
      </w:r>
      <w:r>
        <w:rPr>
          <w:i/>
          <w:iCs/>
        </w:rPr>
        <w:t xml:space="preserve">generative-mechanistic</w:t>
      </w:r>
      <w:r>
        <w:t xml:space="preserve"> </w:t>
      </w:r>
      <w:r>
        <w:t xml:space="preserve">or</w:t>
      </w:r>
      <w:r>
        <w:t xml:space="preserve"> </w:t>
      </w:r>
      <w:r>
        <w:rPr>
          <w:i/>
          <w:iCs/>
        </w:rPr>
        <w:t xml:space="preserve">generative-probabilistic</w:t>
      </w:r>
      <w:r>
        <w:t xml:space="preserve">.</w:t>
      </w:r>
    </w:p>
    <w:p>
      <w:pPr>
        <w:pStyle w:val="BodyText"/>
      </w:pPr>
      <w:r>
        <w:t xml:space="preserve">This article presents edaphos, an R framework built around the position that these four problems are one problem. If ten method families are made to return the same kind of object, they can be scored by the same diagnostics; if the benchmark that scores them ships with its data, it can be re-run; and if the causal machinery reports sensitivity bounds rather than point effects, it states its own reliance on an assumption it cannot verify. We make three contributions, each reproducible from data bundled with the package.</w:t>
      </w:r>
    </w:p>
    <w:p>
      <w:pPr>
        <w:pStyle w:val="Compact"/>
        <w:numPr>
          <w:ilvl w:val="0"/>
          <w:numId w:val="1001"/>
        </w:numPr>
      </w:pPr>
      <w:r>
        <w:t xml:space="preserve">A unified predictive-posterior and calibration interface (Materials and methods) that reduces the output of otherwise incompatible method families — quantile forests, Gibbs samplers, bootstrap ensembles, kernel ridge, contrastive encoders — to a common currency, so that accuracy, coverage and proper scores are comparable across them. Seven of the ten pillars carry a coercion into that class. Three do not, and we say which and why rather than implying completeness: the neural-operator and diffusion pillars return field-valued objects for which a per-site scalar posterior is the wrong shape, and the graph attention network exposes only the spread between ensemble members that differ in their random seed, which is initialisation variance rather than a predictive distribution. Coercing the last of these would make a coverage number computable without making it meaningful, and the benchmark instead constructs its interval explicitly and reports how it was built.</w:t>
      </w:r>
    </w:p>
    <w:p>
      <w:pPr>
        <w:pStyle w:val="Compact"/>
        <w:numPr>
          <w:ilvl w:val="0"/>
          <w:numId w:val="1001"/>
        </w:numPr>
      </w:pPr>
      <w:r>
        <w:t xml:space="preserve">A matched, spatially blocked, uncertainty-aware benchmark of six methods on real profiles (Results), whose honest conclusion is that a directed-acyclic-graph-informed ordinary least squares is the strongest method in the comparison.</w:t>
      </w:r>
    </w:p>
    <w:p>
      <w:pPr>
        <w:pStyle w:val="Compact"/>
        <w:numPr>
          <w:ilvl w:val="0"/>
          <w:numId w:val="1001"/>
        </w:numPr>
      </w:pPr>
      <w:r>
        <w:t xml:space="preserve">A causal analysis (Results) that reports backdoor-adjusted associations paired with Cinelli–Hazlett robustness values, demonstrates confounding directly by adjustment, and reports a negative instrumental-variable result obtained with a real trained foundation encoder.</w:t>
      </w:r>
    </w:p>
    <w:p>
      <w:pPr>
        <w:pStyle w:val="FirstParagraph"/>
      </w:pPr>
      <w:r>
        <w:t xml:space="preserve">We deliberately foreground the negative findings. A framework that makes it easy to run a dozen methods is useful only if it makes it equally easy to see when they do not help.</w:t>
      </w:r>
    </w:p>
    <w:p>
      <w:pPr>
        <w:pStyle w:val="Heading1"/>
      </w:pPr>
      <w:r>
        <w:t xml:space="preserve">Materials and methods</w:t>
      </w:r>
    </w:p>
    <w:p>
      <w:pPr>
        <w:pStyle w:val="Heading2"/>
      </w:pPr>
      <w:r>
        <w:t xml:space="preserve">Origin and design principles</w:t>
      </w:r>
    </w:p>
    <w:p>
      <w:pPr>
        <w:pStyle w:val="FirstParagraph"/>
      </w:pPr>
      <w:r>
        <w:t xml:space="preserve">edaphos began as an attempt to reproduce, in one place, a set of methods that the digital soil mapping literature had proposed separately. That attempt surfaced a recurring obstacle: each method returned a different kind of object. A quantile random forest returns quantiles; a Gibbs sampler returns draws; a diffusion model returns whole simulated fields; a neural operator returns a function of depth. None of them could be scored against the others without first deciding, case by case, what</w:t>
      </w:r>
      <w:r>
        <w:t xml:space="preserve"> </w:t>
      </w:r>
      <w:r>
        <w:t xml:space="preserve">“the uncertainty”</w:t>
      </w:r>
      <w:r>
        <w:t xml:space="preserve"> </w:t>
      </w:r>
      <w:r>
        <w:t xml:space="preserve">meant. The comparisons that did exist in the literature had made those decisions implicitly and differently, which is one reason their conclusions were hard to reconcile.</w:t>
      </w:r>
    </w:p>
    <w:p>
      <w:pPr>
        <w:pStyle w:val="BodyText"/>
      </w:pPr>
      <w:r>
        <w:t xml:space="preserve">The framework is organised around three design commitments that follow from that observation.</w:t>
      </w:r>
    </w:p>
    <w:p>
      <w:pPr>
        <w:pStyle w:val="BodyText"/>
      </w:pPr>
      <w:r>
        <w:rPr>
          <w:b/>
          <w:bCs/>
        </w:rPr>
        <w:t xml:space="preserve">One posterior, many methods.</w:t>
      </w:r>
      <w:r>
        <w:t xml:space="preserve"> </w:t>
      </w:r>
      <w:r>
        <w:t xml:space="preserve">Every predictive method returns, or can be coerced to, a single class,</w:t>
      </w:r>
      <w:r>
        <w:t xml:space="preserve"> </w:t>
      </w:r>
      <w:r>
        <w:rPr>
          <w:rStyle w:val="VerbatimChar"/>
        </w:rPr>
        <w:t xml:space="preserve">edaphos_posterior</w:t>
      </w:r>
      <w:r>
        <w:t xml:space="preserve">, that carries either a predictive sample or a mean and standard deviation for each target. Scoring is then a property of the class, not of the method, and a single routine applies the same measures to all of them. This is the framework’s load-bearing abstraction: without it there is no honest cross-method benchmark.</w:t>
      </w:r>
    </w:p>
    <w:p>
      <w:pPr>
        <w:pStyle w:val="BodyText"/>
      </w:pPr>
      <w:r>
        <w:rPr>
          <w:b/>
          <w:bCs/>
        </w:rPr>
        <w:t xml:space="preserve">Honest defaults.</w:t>
      </w:r>
      <w:r>
        <w:t xml:space="preserve"> </w:t>
      </w:r>
      <w:r>
        <w:t xml:space="preserve">Several pillars ship two computational backends: a dependency-free implementation in pure R, and one built on</w:t>
      </w:r>
      <w:r>
        <w:t xml:space="preserve"> </w:t>
      </w:r>
      <w:r>
        <w:rPr>
          <w:rStyle w:val="VerbatimChar"/>
        </w:rPr>
        <w:t xml:space="preserve">torch</w:t>
      </w:r>
      <w:r>
        <w:t xml:space="preserve">. Where the pure-R path is a reference implementation rather than the trained architecture its function name implies, the package says so at run time and in the documentation, and the default resolves to the real implementation when its dependency is available. A user who calls a function named after a Fourier neural operator should either get a Fourier neural operator or be told plainly that they did not.</w:t>
      </w:r>
    </w:p>
    <w:p>
      <w:pPr>
        <w:pStyle w:val="BodyText"/>
      </w:pPr>
      <w:r>
        <w:rPr>
          <w:b/>
          <w:bCs/>
        </w:rPr>
        <w:t xml:space="preserve">Measured, not asserted.</w:t>
      </w:r>
      <w:r>
        <w:t xml:space="preserve"> </w:t>
      </w:r>
      <w:r>
        <w:t xml:space="preserve">Every quantitative claim in the package’s own documentation is generated from a live measurement rather than transcribed. The benchmark tables, the check status and the test counts in the repository’s status document are rendered from a machine-readable snapshot; the figures in this article are computed from bundled data at compile time. This is a deliberate response to a failure mode we encountered in our own earlier development, in which published tables and shipped result bundles drifted apart without any test noticing.</w:t>
      </w:r>
    </w:p>
    <w:p>
      <w:pPr>
        <w:pStyle w:val="Heading2"/>
      </w:pPr>
      <w:r>
        <w:t xml:space="preserve">The unified predictive posterior and calibration interface</w:t>
      </w:r>
    </w:p>
    <w:p>
      <w:pPr>
        <w:pStyle w:val="FirstParagraph"/>
      </w:pPr>
      <w:r>
        <w:t xml:space="preserve">An</w:t>
      </w:r>
      <w:r>
        <w:t xml:space="preserve"> </w:t>
      </w:r>
      <w:r>
        <w:rPr>
          <w:rStyle w:val="VerbatimChar"/>
        </w:rPr>
        <w:t xml:space="preserve">edaphos_posterior</w:t>
      </w:r>
      <w:r>
        <w:t xml:space="preserve"> </w:t>
      </w:r>
      <w:r>
        <w:t xml:space="preserve">records, for a set of target locations, either a matrix of posterior draws or a mean-and-standard-deviation summary, together with metadata describing the query type.</w:t>
      </w:r>
      <w:r>
        <w:t xml:space="preserve"> </w:t>
      </w:r>
      <w:r>
        <w:rPr>
          <w:rStyle w:val="VerbatimChar"/>
        </w:rPr>
        <w:t xml:space="preserve">uncertainty_calibrate()</w:t>
      </w:r>
      <w:r>
        <w:t xml:space="preserve"> </w:t>
      </w:r>
      <w:r>
        <w:t xml:space="preserve">scores any such object with measures that are meaningful for all of them: the continuous ranked probability score (CRPS), a strictly proper score that rewards sharp and calibrated predictive distributions together; the prediction-interval coverage probability (PICP) at a nominal level, which should approach that level; the mean prediction-interval width (MPIW), which measures sharpness and is only interpretable alongside coverage; and a reliability curve relating nominal to empirical coverage.</w:t>
      </w:r>
    </w:p>
    <w:p>
      <w:pPr>
        <w:pStyle w:val="BodyText"/>
      </w:pPr>
      <w:r>
        <w:t xml:space="preserve">The value of forcing every method through this interface is that it makes overconfidence visible. A method can win on root-mean-square error while producing intervals that contain the truth far less often than they claim, and a table reporting accuracy alone will rank it first. Both behaviours appear in our benchmark.</w:t>
      </w:r>
    </w:p>
    <w:p>
      <w:pPr>
        <w:pStyle w:val="Heading2"/>
      </w:pPr>
      <w:r>
        <w:t xml:space="preserve">Backend resolution</w:t>
      </w:r>
    </w:p>
    <w:p>
      <w:pPr>
        <w:pStyle w:val="FirstParagraph"/>
      </w:pPr>
      <w:r>
        <w:t xml:space="preserve">Pillars whose methods are neural in nature accept a</w:t>
      </w:r>
      <w:r>
        <w:t xml:space="preserve"> </w:t>
      </w:r>
      <w:r>
        <w:rPr>
          <w:rStyle w:val="VerbatimChar"/>
        </w:rPr>
        <w:t xml:space="preserve">backend</w:t>
      </w:r>
      <w:r>
        <w:t xml:space="preserve"> </w:t>
      </w:r>
      <w:r>
        <w:t xml:space="preserve">argument that resolves in three ways.</w:t>
      </w:r>
      <w:r>
        <w:t xml:space="preserve"> </w:t>
      </w:r>
      <w:r>
        <w:rPr>
          <w:rStyle w:val="VerbatimChar"/>
        </w:rPr>
        <w:t xml:space="preserve">"auto"</w:t>
      </w:r>
      <w:r>
        <w:t xml:space="preserve">, the default, selects the</w:t>
      </w:r>
      <w:r>
        <w:t xml:space="preserve"> </w:t>
      </w:r>
      <w:r>
        <w:rPr>
          <w:rStyle w:val="VerbatimChar"/>
        </w:rPr>
        <w:t xml:space="preserve">torch</w:t>
      </w:r>
      <w:r>
        <w:t xml:space="preserve"> </w:t>
      </w:r>
      <w:r>
        <w:t xml:space="preserve">implementation when a working</w:t>
      </w:r>
      <w:r>
        <w:t xml:space="preserve"> </w:t>
      </w:r>
      <w:r>
        <w:rPr>
          <w:rStyle w:val="VerbatimChar"/>
        </w:rPr>
        <w:t xml:space="preserve">libtorch</w:t>
      </w:r>
      <w:r>
        <w:t xml:space="preserve"> </w:t>
      </w:r>
      <w:r>
        <w:t xml:space="preserve">is present and otherwise falls back to the pure-R path, so that the package remains installable and checkable on machines without a deep-learning toolchain.</w:t>
      </w:r>
      <w:r>
        <w:t xml:space="preserve"> </w:t>
      </w:r>
      <w:r>
        <w:rPr>
          <w:rStyle w:val="VerbatimChar"/>
        </w:rPr>
        <w:t xml:space="preserve">"torch"</w:t>
      </w:r>
      <w:r>
        <w:t xml:space="preserve"> </w:t>
      </w:r>
      <w:r>
        <w:t xml:space="preserve">requests the trained implementation and fails with an explicit message if its dependency is absent.</w:t>
      </w:r>
      <w:r>
        <w:t xml:space="preserve"> </w:t>
      </w:r>
      <w:r>
        <w:rPr>
          <w:rStyle w:val="VerbatimChar"/>
        </w:rPr>
        <w:t xml:space="preserve">"r"</w:t>
      </w:r>
      <w:r>
        <w:t xml:space="preserve"> </w:t>
      </w:r>
      <w:r>
        <w:t xml:space="preserve">forces the reference path and emits a one-time note describing what that path actually computes. This arrangement keeps a continuous-integration machine and a reviewer’s laptop able to run the package while ensuring that a scientific result is never silently produced by a scaffold.</w:t>
      </w:r>
    </w:p>
    <w:p>
      <w:pPr>
        <w:pStyle w:val="Heading2"/>
      </w:pPr>
      <w:r>
        <w:t xml:space="preserve">Data</w:t>
      </w:r>
    </w:p>
    <w:p>
      <w:pPr>
        <w:pStyle w:val="FirstParagraph"/>
      </w:pPr>
      <w:r>
        <w:t xml:space="preserve">All analyses use real soil profiles, not simulated ones. Topsoil organic-carbon observations were retrieved from the World Soil Information Service</w:t>
      </w:r>
      <w:r>
        <w:t xml:space="preserve"> </w:t>
      </w:r>
      <w:r>
        <w:t xml:space="preserve">[4]</w:t>
      </w:r>
      <w:r>
        <w:t xml:space="preserve"> </w:t>
      </w:r>
      <w:r>
        <w:t xml:space="preserve">through the public Web Feature Service of the International Soil Reference and Information Centre, restricted to the Brazilian Cerrado and to horizons whose upper boundary lies within the topsoil, and reduced to one shallowest horizon per profile. Covariates were extracted at each profile location from WorldClim version 2.1</w:t>
      </w:r>
      <w:r>
        <w:t xml:space="preserve"> </w:t>
      </w:r>
      <w:r>
        <w:t xml:space="preserve">[5]</w:t>
      </w:r>
      <w:r>
        <w:t xml:space="preserve"> </w:t>
      </w:r>
      <w:r>
        <w:t xml:space="preserve">for mean annual temperature, mean annual precipitation and elevation; from SoilGrids</w:t>
      </w:r>
      <w:r>
        <w:t xml:space="preserve"> </w:t>
      </w:r>
      <w:r>
        <w:t xml:space="preserve">[6]</w:t>
      </w:r>
      <w:r>
        <w:t xml:space="preserve"> </w:t>
      </w:r>
      <w:r>
        <w:t xml:space="preserve">for clay, sand and bulk density in the surface layer; and from a Copernicus fractional tree-cover product. Slope was derived from the elevation surface.</w:t>
      </w:r>
    </w:p>
    <w:p>
      <w:pPr>
        <w:pStyle w:val="BodyText"/>
      </w:pPr>
      <w:r>
        <w:t xml:space="preserve">The study area and the data are shown in Fig 1.</w:t>
      </w:r>
    </w:p>
    <w:p>
      <w:pPr>
        <w:pStyle w:val="BodyText"/>
      </w:pPr>
      <w:r>
        <w:drawing>
          <wp:inline>
            <wp:extent cx="5334000" cy="4638260"/>
            <wp:effectExtent b="0" l="0" r="0" t="0"/>
            <wp:docPr descr="" title="" id="11" name="Picture"/>
            <a:graphic>
              <a:graphicData uri="http://schemas.openxmlformats.org/drawingml/2006/picture">
                <pic:pic>
                  <pic:nvPicPr>
                    <pic:cNvPr descr="plos-manuscript_files/figures/Fig1.png" id="12" name="Picture"/>
                    <pic:cNvPicPr>
                      <a:picLocks noChangeArrowheads="1" noChangeAspect="1"/>
                    </pic:cNvPicPr>
                  </pic:nvPicPr>
                  <pic:blipFill>
                    <a:blip r:embed="rId10"/>
                    <a:stretch>
                      <a:fillRect/>
                    </a:stretch>
                  </pic:blipFill>
                  <pic:spPr bwMode="auto">
                    <a:xfrm>
                      <a:off x="0" y="0"/>
                      <a:ext cx="5334000" cy="4638260"/>
                    </a:xfrm>
                    <a:prstGeom prst="rect">
                      <a:avLst/>
                    </a:prstGeom>
                    <a:noFill/>
                    <a:ln w="9525">
                      <a:noFill/>
                      <a:headEnd/>
                      <a:tailEnd/>
                    </a:ln>
                  </pic:spPr>
                </pic:pic>
              </a:graphicData>
            </a:graphic>
          </wp:inline>
        </w:drawing>
      </w:r>
    </w:p>
    <w:p>
      <w:pPr>
        <w:pStyle w:val="BodyText"/>
      </w:pPr>
      <w:r>
        <w:rPr>
          <w:b/>
          <w:bCs/>
        </w:rPr>
        <w:t xml:space="preserve">Fig 1. Study area, response and covariates.</w:t>
      </w:r>
      <w:r>
        <w:t xml:space="preserve"> </w:t>
      </w:r>
      <w:r>
        <w:t xml:space="preserve">(A) The Cerrado biome (shaded) within Brazil, with the WoSIS topsoil profiles used in the causal analysis coloured by organic carbon on a square-root scale. (B) The response is strongly right-skewed, which is why the benchmark models a log transform. (C) Marginal distributions of the four covariates that appear in the causal analysis, extracted at the profile locations.</w:t>
      </w:r>
    </w:p>
    <w:p>
      <w:pPr>
        <w:pStyle w:val="BodyText"/>
      </w:pPr>
      <w:r>
        <w:t xml:space="preserve">Two draws are used. The benchmark uses 1095 profiles, the sample on which the cross-pillar comparison and all method-tuning work were carried out. The causal analysis uses a larger and more recent retrieval of 3077 profiles over the same region and the same covariate stack, assembled after the pipeline was rewritten to fetch every covariate from its public source. Every covariate is open-licensed and retrieved from a public endpoint, so the entire dataset is regenerable from profile coordinates alone by the scripts in the repository’s</w:t>
      </w:r>
      <w:r>
        <w:t xml:space="preserve"> </w:t>
      </w:r>
      <w:r>
        <w:rPr>
          <w:rStyle w:val="VerbatimChar"/>
        </w:rPr>
        <w:t xml:space="preserve">data-raw/</w:t>
      </w:r>
      <w:r>
        <w:t xml:space="preserve"> </w:t>
      </w:r>
      <w:r>
        <w:t xml:space="preserve">directory. Those scripts are part of the repository and of S2 File, not of the installed package:</w:t>
      </w:r>
      <w:r>
        <w:t xml:space="preserve"> </w:t>
      </w:r>
      <w:r>
        <w:rPr>
          <w:rStyle w:val="VerbatimChar"/>
        </w:rPr>
        <w:t xml:space="preserve">.Rbuildignore</w:t>
      </w:r>
      <w:r>
        <w:t xml:space="preserve"> </w:t>
      </w:r>
      <w:r>
        <w:t xml:space="preserve">excludes</w:t>
      </w:r>
      <w:r>
        <w:t xml:space="preserve"> </w:t>
      </w:r>
      <w:r>
        <w:rPr>
          <w:rStyle w:val="VerbatimChar"/>
        </w:rPr>
        <w:t xml:space="preserve">data-raw</w:t>
      </w:r>
      <w:r>
        <w:t xml:space="preserve"> </w:t>
      </w:r>
      <w:r>
        <w:t xml:space="preserve">from the tarball, so a user who installs edaphos from CRAN gets the bundles and not the code that built them.</w:t>
      </w:r>
    </w:p>
    <w:p>
      <w:pPr>
        <w:pStyle w:val="Heading2"/>
      </w:pPr>
      <w:r>
        <w:t xml:space="preserve">The ten method families</w:t>
      </w:r>
    </w:p>
    <w:p>
      <w:pPr>
        <w:pStyle w:val="FirstParagraph"/>
      </w:pPr>
      <w:r>
        <w:t xml:space="preserve">Table 1 lists the ten pillars, the method each implements, and the object each returns. The subsections that follow give, for each, a minimal example that runs against data distributed with the package together with its real output, so that a reader can see what the interface looks like before deciding whether the method is worth their data. Every example below was executed to produce the output shown.</w:t>
      </w:r>
    </w:p>
    <w:p>
      <w:pPr>
        <w:pStyle w:val="BodyText"/>
      </w:pPr>
      <w:r>
        <w:rPr>
          <w:b/>
          <w:bCs/>
        </w:rPr>
        <w:t xml:space="preserve">Table 1. The ten method families implemented in edaphos.</w:t>
      </w:r>
      <w:r>
        <w:t xml:space="preserve"> </w:t>
      </w:r>
      <w:r>
        <w:t xml:space="preserve">“Returns”</w:t>
      </w:r>
      <w:r>
        <w:t xml:space="preserve"> </w:t>
      </w:r>
      <w:r>
        <w:t xml:space="preserve">names the object a user receives. Seven of the ten can be coerced to the common predictive-posterior class; Pillars 8, 9 and 10 have no such method, which is why they are absent from the calibration comparison rather than scoring badly in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Method</w:t>
            </w:r>
          </w:p>
        </w:tc>
        <w:tc>
          <w:tcPr/>
          <w:p>
            <w:pPr>
              <w:pStyle w:val="Compact"/>
              <w:jc w:val="left"/>
            </w:pPr>
            <w:r>
              <w:t xml:space="preserve">Principal entry points</w:t>
            </w:r>
          </w:p>
        </w:tc>
        <w:tc>
          <w:tcPr/>
          <w:p>
            <w:pPr>
              <w:pStyle w:val="Compact"/>
              <w:jc w:val="left"/>
            </w:pPr>
            <w:r>
              <w:t xml:space="preserve">Returns</w:t>
            </w:r>
          </w:p>
        </w:tc>
      </w:tr>
      <w:tr>
        <w:tc>
          <w:tcPr/>
          <w:p>
            <w:pPr>
              <w:pStyle w:val="Compact"/>
              <w:jc w:val="left"/>
            </w:pPr>
            <w:r>
              <w:t xml:space="preserve">1</w:t>
            </w:r>
          </w:p>
        </w:tc>
        <w:tc>
          <w:tcPr/>
          <w:p>
            <w:pPr>
              <w:pStyle w:val="Compact"/>
              <w:jc w:val="left"/>
            </w:pPr>
            <w:r>
              <w:t xml:space="preserve">Causal inference: backdoor adjustment on a pedogenetic graph, sensitivity analysis, instrumental variables</w:t>
            </w:r>
          </w:p>
        </w:tc>
        <w:tc>
          <w:tcPr/>
          <w:p>
            <w:pPr>
              <w:pStyle w:val="Compact"/>
              <w:jc w:val="left"/>
            </w:pPr>
            <w:r>
              <w:rPr>
                <w:rStyle w:val="VerbatimChar"/>
              </w:rPr>
              <w:t xml:space="preserve">causal_adjustment_set</w:t>
            </w:r>
            <w:r>
              <w:t xml:space="preserve">,</w:t>
            </w:r>
            <w:r>
              <w:t xml:space="preserve"> </w:t>
            </w:r>
            <w:r>
              <w:rPr>
                <w:rStyle w:val="VerbatimChar"/>
              </w:rPr>
              <w:t xml:space="preserve">causal_estimate_effect</w:t>
            </w:r>
            <w:r>
              <w:t xml:space="preserve">,</w:t>
            </w:r>
            <w:r>
              <w:t xml:space="preserve"> </w:t>
            </w:r>
            <w:r>
              <w:rPr>
                <w:rStyle w:val="VerbatimChar"/>
              </w:rPr>
              <w:t xml:space="preserve">causal_sensitivity_from_lm</w:t>
            </w:r>
            <w:r>
              <w:t xml:space="preserve">,</w:t>
            </w:r>
            <w:r>
              <w:t xml:space="preserve"> </w:t>
            </w:r>
            <w:r>
              <w:rPr>
                <w:rStyle w:val="VerbatimChar"/>
              </w:rPr>
              <w:t xml:space="preserve">causal_iv_fit_2sls</w:t>
            </w:r>
          </w:p>
        </w:tc>
        <w:tc>
          <w:tcPr/>
          <w:p>
            <w:pPr>
              <w:pStyle w:val="Compact"/>
              <w:jc w:val="left"/>
            </w:pPr>
            <w:r>
              <w:t xml:space="preserve">adjusted association, robustness value</w:t>
            </w:r>
          </w:p>
        </w:tc>
      </w:tr>
      <w:tr>
        <w:tc>
          <w:tcPr/>
          <w:p>
            <w:pPr>
              <w:pStyle w:val="Compact"/>
              <w:jc w:val="left"/>
            </w:pPr>
            <w:r>
              <w:t xml:space="preserve">2</w:t>
            </w:r>
          </w:p>
        </w:tc>
        <w:tc>
          <w:tcPr/>
          <w:p>
            <w:pPr>
              <w:pStyle w:val="Compact"/>
              <w:jc w:val="left"/>
            </w:pPr>
            <w:r>
              <w:t xml:space="preserve">Physics-informed: a pedogenetic ordinary differential equation for the depth profile, and a neural variant</w:t>
            </w:r>
          </w:p>
        </w:tc>
        <w:tc>
          <w:tcPr/>
          <w:p>
            <w:pPr>
              <w:pStyle w:val="Compact"/>
              <w:jc w:val="left"/>
            </w:pPr>
            <w:r>
              <w:rPr>
                <w:rStyle w:val="VerbatimChar"/>
              </w:rPr>
              <w:t xml:space="preserve">piml_profile_fit</w:t>
            </w:r>
            <w:r>
              <w:t xml:space="preserve">,</w:t>
            </w:r>
            <w:r>
              <w:t xml:space="preserve"> </w:t>
            </w:r>
            <w:r>
              <w:rPr>
                <w:rStyle w:val="VerbatimChar"/>
              </w:rPr>
              <w:t xml:space="preserve">piml_profile_fit_bayesian</w:t>
            </w:r>
            <w:r>
              <w:t xml:space="preserve">,</w:t>
            </w:r>
            <w:r>
              <w:t xml:space="preserve"> </w:t>
            </w:r>
            <w:r>
              <w:rPr>
                <w:rStyle w:val="VerbatimChar"/>
              </w:rPr>
              <w:t xml:space="preserve">piml_neural_ode_fit</w:t>
            </w:r>
          </w:p>
        </w:tc>
        <w:tc>
          <w:tcPr/>
          <w:p>
            <w:pPr>
              <w:pStyle w:val="Compact"/>
              <w:jc w:val="left"/>
            </w:pPr>
            <w:r>
              <w:t xml:space="preserve">attainable deep value, ODE parameters, posterior profile</w:t>
            </w:r>
          </w:p>
        </w:tc>
      </w:tr>
      <w:tr>
        <w:tc>
          <w:tcPr/>
          <w:p>
            <w:pPr>
              <w:pStyle w:val="Compact"/>
              <w:jc w:val="left"/>
            </w:pPr>
            <w:r>
              <w:t xml:space="preserve">3</w:t>
            </w:r>
          </w:p>
        </w:tc>
        <w:tc>
          <w:tcPr/>
          <w:p>
            <w:pPr>
              <w:pStyle w:val="Compact"/>
              <w:jc w:val="left"/>
            </w:pPr>
            <w:r>
              <w:t xml:space="preserve">Four-dimensional pedometry: convolutional recurrent forecasting and ensemble Kalman assimilation.</w:t>
            </w:r>
            <w:r>
              <w:t xml:space="preserve"> </w:t>
            </w:r>
            <w:r>
              <w:rPr>
                <w:i/>
                <w:iCs/>
              </w:rPr>
              <w:t xml:space="preserve">Demonstrated on a vegetation-index cube; no repeated soil series exists here</w:t>
            </w:r>
          </w:p>
        </w:tc>
        <w:tc>
          <w:tcPr/>
          <w:p>
            <w:pPr>
              <w:pStyle w:val="Compact"/>
              <w:jc w:val="left"/>
            </w:pPr>
            <w:r>
              <w:rPr>
                <w:rStyle w:val="VerbatimChar"/>
              </w:rPr>
              <w:t xml:space="preserve">temporal_convlstm_fit</w:t>
            </w:r>
            <w:r>
              <w:t xml:space="preserve">,</w:t>
            </w:r>
            <w:r>
              <w:t xml:space="preserve"> </w:t>
            </w:r>
            <w:r>
              <w:rPr>
                <w:rStyle w:val="VerbatimChar"/>
              </w:rPr>
              <w:t xml:space="preserve">temporal_convlstm_rollout</w:t>
            </w:r>
            <w:r>
              <w:t xml:space="preserve">,</w:t>
            </w:r>
            <w:r>
              <w:t xml:space="preserve"> </w:t>
            </w:r>
            <w:r>
              <w:rPr>
                <w:rStyle w:val="VerbatimChar"/>
              </w:rPr>
              <w:t xml:space="preserve">temporal_kalman_update</w:t>
            </w:r>
          </w:p>
        </w:tc>
        <w:tc>
          <w:tcPr/>
          <w:p>
            <w:pPr>
              <w:pStyle w:val="Compact"/>
              <w:jc w:val="left"/>
            </w:pPr>
            <w:r>
              <w:t xml:space="preserve">forecast ensemble, analysis field</w:t>
            </w:r>
          </w:p>
        </w:tc>
      </w:tr>
      <w:tr>
        <w:tc>
          <w:tcPr/>
          <w:p>
            <w:pPr>
              <w:pStyle w:val="Compact"/>
              <w:jc w:val="left"/>
            </w:pPr>
            <w:r>
              <w:t xml:space="preserve">4</w:t>
            </w:r>
          </w:p>
        </w:tc>
        <w:tc>
          <w:tcPr/>
          <w:p>
            <w:pPr>
              <w:pStyle w:val="Compact"/>
              <w:jc w:val="left"/>
            </w:pPr>
            <w:r>
              <w:t xml:space="preserve">Foundation models: momentum-contrastive pre-training on unlabelled raster patches</w:t>
            </w:r>
          </w:p>
        </w:tc>
        <w:tc>
          <w:tcPr/>
          <w:p>
            <w:pPr>
              <w:pStyle w:val="Compact"/>
              <w:jc w:val="left"/>
            </w:pPr>
            <w:r>
              <w:rPr>
                <w:rStyle w:val="VerbatimChar"/>
              </w:rPr>
              <w:t xml:space="preserve">foundation_tile_dataset</w:t>
            </w:r>
            <w:r>
              <w:t xml:space="preserve">,</w:t>
            </w:r>
            <w:r>
              <w:t xml:space="preserve"> </w:t>
            </w:r>
            <w:r>
              <w:rPr>
                <w:rStyle w:val="VerbatimChar"/>
              </w:rPr>
              <w:t xml:space="preserve">foundation_moco_pretrain_tiles</w:t>
            </w:r>
            <w:r>
              <w:t xml:space="preserve">,</w:t>
            </w:r>
            <w:r>
              <w:t xml:space="preserve"> </w:t>
            </w:r>
            <w:r>
              <w:rPr>
                <w:rStyle w:val="VerbatimChar"/>
              </w:rPr>
              <w:t xml:space="preserve">foundation_embed_at_coords</w:t>
            </w:r>
          </w:p>
        </w:tc>
        <w:tc>
          <w:tcPr/>
          <w:p>
            <w:pPr>
              <w:pStyle w:val="Compact"/>
              <w:jc w:val="left"/>
            </w:pPr>
            <w:r>
              <w:t xml:space="preserve">encoder, per-site embedding</w:t>
            </w:r>
          </w:p>
        </w:tc>
      </w:tr>
      <w:tr>
        <w:tc>
          <w:tcPr/>
          <w:p>
            <w:pPr>
              <w:pStyle w:val="Compact"/>
              <w:jc w:val="left"/>
            </w:pPr>
            <w:r>
              <w:t xml:space="preserve">5</w:t>
            </w:r>
          </w:p>
        </w:tc>
        <w:tc>
          <w:tcPr/>
          <w:p>
            <w:pPr>
              <w:pStyle w:val="Compact"/>
              <w:jc w:val="left"/>
            </w:pPr>
            <w:r>
              <w:t xml:space="preserve">Active learning: hypercube seeding plus uncertainty-and-diversity batch selection</w:t>
            </w:r>
          </w:p>
        </w:tc>
        <w:tc>
          <w:tcPr/>
          <w:p>
            <w:pPr>
              <w:pStyle w:val="Compact"/>
              <w:jc w:val="left"/>
            </w:pPr>
            <w:r>
              <w:rPr>
                <w:rStyle w:val="VerbatimChar"/>
              </w:rPr>
              <w:t xml:space="preserve">al_initial_design</w:t>
            </w:r>
            <w:r>
              <w:t xml:space="preserve">,</w:t>
            </w:r>
            <w:r>
              <w:t xml:space="preserve"> </w:t>
            </w:r>
            <w:r>
              <w:rPr>
                <w:rStyle w:val="VerbatimChar"/>
              </w:rPr>
              <w:t xml:space="preserve">al_fit</w:t>
            </w:r>
            <w:r>
              <w:t xml:space="preserve">,</w:t>
            </w:r>
            <w:r>
              <w:t xml:space="preserve"> </w:t>
            </w:r>
            <w:r>
              <w:rPr>
                <w:rStyle w:val="VerbatimChar"/>
              </w:rPr>
              <w:t xml:space="preserve">al_query</w:t>
            </w:r>
            <w:r>
              <w:t xml:space="preserve">,</w:t>
            </w:r>
            <w:r>
              <w:t xml:space="preserve"> </w:t>
            </w:r>
            <w:r>
              <w:rPr>
                <w:rStyle w:val="VerbatimChar"/>
              </w:rPr>
              <w:t xml:space="preserve">al_update</w:t>
            </w:r>
          </w:p>
        </w:tc>
        <w:tc>
          <w:tcPr/>
          <w:p>
            <w:pPr>
              <w:pStyle w:val="Compact"/>
              <w:jc w:val="left"/>
            </w:pPr>
            <w:r>
              <w:t xml:space="preserve">ranked sampling sites</w:t>
            </w:r>
          </w:p>
        </w:tc>
      </w:tr>
      <w:tr>
        <w:tc>
          <w:tcPr/>
          <w:p>
            <w:pPr>
              <w:pStyle w:val="Compact"/>
              <w:jc w:val="left"/>
            </w:pPr>
            <w:r>
              <w:t xml:space="preserve">6</w:t>
            </w:r>
          </w:p>
        </w:tc>
        <w:tc>
          <w:tcPr/>
          <w:p>
            <w:pPr>
              <w:pStyle w:val="Compact"/>
              <w:jc w:val="left"/>
            </w:pPr>
            <w:r>
              <w:t xml:space="preserve">Quantum machine learning: a simulated feature-map kernel and its ridge regressor</w:t>
            </w:r>
          </w:p>
        </w:tc>
        <w:tc>
          <w:tcPr/>
          <w:p>
            <w:pPr>
              <w:pStyle w:val="Compact"/>
              <w:jc w:val="left"/>
            </w:pPr>
            <w:r>
              <w:rPr>
                <w:rStyle w:val="VerbatimChar"/>
              </w:rPr>
              <w:t xml:space="preserve">quantum_feature_map</w:t>
            </w:r>
            <w:r>
              <w:t xml:space="preserve">,</w:t>
            </w:r>
            <w:r>
              <w:t xml:space="preserve"> </w:t>
            </w:r>
            <w:r>
              <w:rPr>
                <w:rStyle w:val="VerbatimChar"/>
              </w:rPr>
              <w:t xml:space="preserve">quantum_kernel</w:t>
            </w:r>
            <w:r>
              <w:t xml:space="preserve">,</w:t>
            </w:r>
            <w:r>
              <w:t xml:space="preserve"> </w:t>
            </w:r>
            <w:r>
              <w:rPr>
                <w:rStyle w:val="VerbatimChar"/>
              </w:rPr>
              <w:t xml:space="preserve">quantum_krr_posterior</w:t>
            </w:r>
          </w:p>
        </w:tc>
        <w:tc>
          <w:tcPr/>
          <w:p>
            <w:pPr>
              <w:pStyle w:val="Compact"/>
              <w:jc w:val="left"/>
            </w:pPr>
            <w:r>
              <w:t xml:space="preserve">Gram matrix, predictive posterior</w:t>
            </w:r>
          </w:p>
        </w:tc>
      </w:tr>
      <w:tr>
        <w:tc>
          <w:tcPr/>
          <w:p>
            <w:pPr>
              <w:pStyle w:val="Compact"/>
              <w:jc w:val="left"/>
            </w:pPr>
            <w:r>
              <w:t xml:space="preserve">7</w:t>
            </w:r>
          </w:p>
        </w:tc>
        <w:tc>
          <w:tcPr/>
          <w:p>
            <w:pPr>
              <w:pStyle w:val="Compact"/>
              <w:jc w:val="left"/>
            </w:pPr>
            <w:r>
              <w:t xml:space="preserve">Bayesian hierarchical spatial model with a Gibbs sampler and exact kriging prediction</w:t>
            </w:r>
          </w:p>
        </w:tc>
        <w:tc>
          <w:tcPr/>
          <w:p>
            <w:pPr>
              <w:pStyle w:val="Compact"/>
              <w:jc w:val="left"/>
            </w:pPr>
            <w:r>
              <w:rPr>
                <w:rStyle w:val="VerbatimChar"/>
              </w:rPr>
              <w:t xml:space="preserve">bhs_fit</w:t>
            </w:r>
            <w:r>
              <w:t xml:space="preserve">,</w:t>
            </w:r>
            <w:r>
              <w:t xml:space="preserve"> </w:t>
            </w:r>
            <w:r>
              <w:rPr>
                <w:rStyle w:val="VerbatimChar"/>
              </w:rPr>
              <w:t xml:space="preserve">predict.edaphos_bhs</w:t>
            </w:r>
          </w:p>
        </w:tc>
        <w:tc>
          <w:tcPr/>
          <w:p>
            <w:pPr>
              <w:pStyle w:val="Compact"/>
              <w:jc w:val="left"/>
            </w:pPr>
            <w:r>
              <w:t xml:space="preserve">posterior draws, kriged surface</w:t>
            </w:r>
          </w:p>
        </w:tc>
      </w:tr>
      <w:tr>
        <w:tc>
          <w:tcPr/>
          <w:p>
            <w:pPr>
              <w:pStyle w:val="Compact"/>
              <w:jc w:val="left"/>
            </w:pPr>
            <w:r>
              <w:t xml:space="preserve">8</w:t>
            </w:r>
          </w:p>
        </w:tc>
        <w:tc>
          <w:tcPr/>
          <w:p>
            <w:pPr>
              <w:pStyle w:val="Compact"/>
              <w:jc w:val="left"/>
            </w:pPr>
            <w:r>
              <w:t xml:space="preserve">Neural operators over depth-function space</w:t>
            </w:r>
          </w:p>
        </w:tc>
        <w:tc>
          <w:tcPr/>
          <w:p>
            <w:pPr>
              <w:pStyle w:val="Compact"/>
              <w:jc w:val="left"/>
            </w:pPr>
            <w:r>
              <w:rPr>
                <w:rStyle w:val="VerbatimChar"/>
              </w:rPr>
              <w:t xml:space="preserve">no_deeponet_fit</w:t>
            </w:r>
            <w:r>
              <w:t xml:space="preserve">,</w:t>
            </w:r>
            <w:r>
              <w:t xml:space="preserve"> </w:t>
            </w:r>
            <w:r>
              <w:rPr>
                <w:rStyle w:val="VerbatimChar"/>
              </w:rPr>
              <w:t xml:space="preserve">no_fno_fit</w:t>
            </w:r>
          </w:p>
        </w:tc>
        <w:tc>
          <w:tcPr/>
          <w:p>
            <w:pPr>
              <w:pStyle w:val="Compact"/>
              <w:jc w:val="left"/>
            </w:pPr>
            <w:r>
              <w:t xml:space="preserve">operator mapping covariates to a profile</w:t>
            </w:r>
          </w:p>
        </w:tc>
      </w:tr>
      <w:tr>
        <w:tc>
          <w:tcPr/>
          <w:p>
            <w:pPr>
              <w:pStyle w:val="Compact"/>
              <w:jc w:val="left"/>
            </w:pPr>
            <w:r>
              <w:t xml:space="preserve">9</w:t>
            </w:r>
          </w:p>
        </w:tc>
        <w:tc>
          <w:tcPr/>
          <w:p>
            <w:pPr>
              <w:pStyle w:val="Compact"/>
              <w:jc w:val="left"/>
            </w:pPr>
            <w:r>
              <w:t xml:space="preserve">Diffusion models generating whole map patches</w:t>
            </w:r>
          </w:p>
        </w:tc>
        <w:tc>
          <w:tcPr/>
          <w:p>
            <w:pPr>
              <w:pStyle w:val="Compact"/>
              <w:jc w:val="left"/>
            </w:pPr>
            <w:r>
              <w:rPr>
                <w:rStyle w:val="VerbatimChar"/>
              </w:rPr>
              <w:t xml:space="preserve">dm_cosine_schedule</w:t>
            </w:r>
            <w:r>
              <w:t xml:space="preserve">,</w:t>
            </w:r>
            <w:r>
              <w:t xml:space="preserve"> </w:t>
            </w:r>
            <w:r>
              <w:rPr>
                <w:rStyle w:val="VerbatimChar"/>
              </w:rPr>
              <w:t xml:space="preserve">dm_fit</w:t>
            </w:r>
            <w:r>
              <w:t xml:space="preserve">,</w:t>
            </w:r>
            <w:r>
              <w:t xml:space="preserve"> </w:t>
            </w:r>
            <w:r>
              <w:rPr>
                <w:rStyle w:val="VerbatimChar"/>
              </w:rPr>
              <w:t xml:space="preserve">dm_sample</w:t>
            </w:r>
          </w:p>
        </w:tc>
        <w:tc>
          <w:tcPr/>
          <w:p>
            <w:pPr>
              <w:pStyle w:val="Compact"/>
              <w:jc w:val="left"/>
            </w:pPr>
            <w:r>
              <w:t xml:space="preserve">joint spatial realisations</w:t>
            </w:r>
          </w:p>
        </w:tc>
      </w:tr>
      <w:tr>
        <w:tc>
          <w:tcPr/>
          <w:p>
            <w:pPr>
              <w:pStyle w:val="Compact"/>
              <w:jc w:val="left"/>
            </w:pPr>
            <w:r>
              <w:t xml:space="preserve">10</w:t>
            </w:r>
          </w:p>
        </w:tc>
        <w:tc>
          <w:tcPr/>
          <w:p>
            <w:pPr>
              <w:pStyle w:val="Compact"/>
              <w:jc w:val="left"/>
            </w:pPr>
            <w:r>
              <w:t xml:space="preserve">Graph attention over profile co-location graphs</w:t>
            </w:r>
          </w:p>
        </w:tc>
        <w:tc>
          <w:tcPr/>
          <w:p>
            <w:pPr>
              <w:pStyle w:val="Compact"/>
              <w:jc w:val="left"/>
            </w:pPr>
            <w:r>
              <w:rPr>
                <w:rStyle w:val="VerbatimChar"/>
              </w:rPr>
              <w:t xml:space="preserve">gnn_build_graph</w:t>
            </w:r>
            <w:r>
              <w:t xml:space="preserve">,</w:t>
            </w:r>
            <w:r>
              <w:t xml:space="preserve"> </w:t>
            </w:r>
            <w:r>
              <w:rPr>
                <w:rStyle w:val="VerbatimChar"/>
              </w:rPr>
              <w:t xml:space="preserve">gnn_fit</w:t>
            </w:r>
            <w:r>
              <w:t xml:space="preserve">,</w:t>
            </w:r>
            <w:r>
              <w:t xml:space="preserve"> </w:t>
            </w:r>
            <w:r>
              <w:rPr>
                <w:rStyle w:val="VerbatimChar"/>
              </w:rPr>
              <w:t xml:space="preserve">gnn_embed</w:t>
            </w:r>
          </w:p>
        </w:tc>
        <w:tc>
          <w:tcPr/>
          <w:p>
            <w:pPr>
              <w:pStyle w:val="Compact"/>
              <w:jc w:val="left"/>
            </w:pPr>
            <w:r>
              <w:t xml:space="preserve">node predictions, embeddings</w:t>
            </w:r>
          </w:p>
        </w:tc>
      </w:tr>
    </w:tbl>
    <w:p>
      <w:pPr>
        <w:pStyle w:val="Heading3"/>
      </w:pPr>
      <w:r>
        <w:t xml:space="preserve">Causal inference</w:t>
      </w:r>
    </w:p>
    <w:p>
      <w:pPr>
        <w:pStyle w:val="FirstParagraph"/>
      </w:pPr>
      <w:r>
        <w:t xml:space="preserve">The first pillar converts a pedologist’s hand-drawn structural model into a machine-checked identification step. Given a graph and an exposure–outcome pair, it derives the minimal backdoor adjustment set, fits the adjusted model, and returns the adjusted estimate alongside the unadjusted one and a robustness value.</w:t>
      </w:r>
    </w:p>
    <w:p>
      <w:pPr>
        <w:pStyle w:val="SourceCode"/>
      </w:pPr>
      <w:r>
        <w:rPr>
          <w:rStyle w:val="NormalTok"/>
        </w:rPr>
        <w:t xml:space="preserve">b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system.file</w:t>
      </w:r>
      <w:r>
        <w:rPr>
          <w:rStyle w:val="NormalTok"/>
        </w:rPr>
        <w:t xml:space="preserve">(</w:t>
      </w:r>
      <w:r>
        <w:rPr>
          <w:rStyle w:val="StringTok"/>
        </w:rPr>
        <w:t xml:space="preserve">"extdata"</w:t>
      </w:r>
      <w:r>
        <w:rPr>
          <w:rStyle w:val="NormalTok"/>
        </w:rPr>
        <w:t xml:space="preserve">, </w:t>
      </w:r>
      <w:r>
        <w:rPr>
          <w:rStyle w:val="StringTok"/>
        </w:rPr>
        <w:t xml:space="preserve">"causal_cerrado_real_v2.rds"</w:t>
      </w:r>
      <w:r>
        <w:rPr>
          <w:rStyle w:val="NormalTok"/>
        </w:rPr>
        <w:t xml:space="preserve">, </w:t>
      </w:r>
      <w:r>
        <w:rPr>
          <w:rStyle w:val="AttributeTok"/>
        </w:rPr>
        <w:t xml:space="preserve">package =</w:t>
      </w:r>
      <w:r>
        <w:rPr>
          <w:rStyle w:val="NormalTok"/>
        </w:rPr>
        <w:t xml:space="preserve"> </w:t>
      </w:r>
      <w:r>
        <w:rPr>
          <w:rStyle w:val="StringTok"/>
        </w:rPr>
        <w:t xml:space="preserve">"edaphos"</w:t>
      </w:r>
      <w:r>
        <w:rPr>
          <w:rStyle w:val="NormalTok"/>
        </w:rPr>
        <w:t xml:space="preserve">))</w:t>
      </w:r>
      <w:r>
        <w:br/>
      </w:r>
      <w:r>
        <w:rPr>
          <w:rStyle w:val="NormalTok"/>
        </w:rPr>
        <w:t xml:space="preserve">d   </w:t>
      </w:r>
      <w:r>
        <w:rPr>
          <w:rStyle w:val="OtherTok"/>
        </w:rPr>
        <w:t xml:space="preserve">&lt;-</w:t>
      </w:r>
      <w:r>
        <w:rPr>
          <w:rStyle w:val="NormalTok"/>
        </w:rPr>
        <w:t xml:space="preserve"> b</w:t>
      </w:r>
      <w:r>
        <w:rPr>
          <w:rStyle w:val="SpecialCharTok"/>
        </w:rPr>
        <w:t xml:space="preserve">$</w:t>
      </w:r>
      <w:r>
        <w:rPr>
          <w:rStyle w:val="NormalTok"/>
        </w:rPr>
        <w:t xml:space="preserve">profiles                       </w:t>
      </w:r>
      <w:r>
        <w:rPr>
          <w:rStyle w:val="CommentTok"/>
        </w:rPr>
        <w:t xml:space="preserve"># 3077 WoSIS topsoil profiles, Cerrado</w:t>
      </w:r>
      <w:r>
        <w:br/>
      </w:r>
      <w:r>
        <w:rPr>
          <w:rStyle w:val="NormalTok"/>
        </w:rPr>
        <w:t xml:space="preserve">dag </w:t>
      </w:r>
      <w:r>
        <w:rPr>
          <w:rStyle w:val="OtherTok"/>
        </w:rPr>
        <w:t xml:space="preserve">&lt;-</w:t>
      </w:r>
      <w:r>
        <w:rPr>
          <w:rStyle w:val="NormalTok"/>
        </w:rPr>
        <w:t xml:space="preserve"> </w:t>
      </w:r>
      <w:r>
        <w:rPr>
          <w:rStyle w:val="FunctionTok"/>
        </w:rPr>
        <w:t xml:space="preserve">causal_cerrado_real_dag</w:t>
      </w:r>
      <w:r>
        <w:rPr>
          <w:rStyle w:val="NormalTok"/>
        </w:rPr>
        <w:t xml:space="preserve">()        </w:t>
      </w:r>
      <w:r>
        <w:rPr>
          <w:rStyle w:val="CommentTok"/>
        </w:rPr>
        <w:t xml:space="preserve"># 11-node pedogenetic graph</w:t>
      </w:r>
      <w:r>
        <w:br/>
      </w:r>
      <w:r>
        <w:br/>
      </w:r>
      <w:r>
        <w:rPr>
          <w:rStyle w:val="CommentTok"/>
        </w:rPr>
        <w:t xml:space="preserve"># The bundle stores short column names; the graph names its nodes after the</w:t>
      </w:r>
      <w:r>
        <w:br/>
      </w:r>
      <w:r>
        <w:rPr>
          <w:rStyle w:val="CommentTok"/>
        </w:rPr>
        <w:t xml:space="preserve"># source products, so the two are joined explicitly rather than by position.</w:t>
      </w:r>
      <w:r>
        <w:br/>
      </w:r>
      <w:r>
        <w:rPr>
          <w:rStyle w:val="NormalTok"/>
        </w:rPr>
        <w:t xml:space="preserve">d</w:t>
      </w:r>
      <w:r>
        <w:rPr>
          <w:rStyle w:val="SpecialCharTok"/>
        </w:rPr>
        <w:t xml:space="preserve">$</w:t>
      </w:r>
      <w:r>
        <w:rPr>
          <w:rStyle w:val="NormalTok"/>
        </w:rPr>
        <w:t xml:space="preserve">soc_topsoil_gkg   </w:t>
      </w:r>
      <w:r>
        <w:rPr>
          <w:rStyle w:val="OtherTok"/>
        </w:rPr>
        <w:t xml:space="preserve">&lt;-</w:t>
      </w:r>
      <w:r>
        <w:rPr>
          <w:rStyle w:val="NormalTok"/>
        </w:rPr>
        <w:t xml:space="preserve"> d</w:t>
      </w:r>
      <w:r>
        <w:rPr>
          <w:rStyle w:val="SpecialCharTok"/>
        </w:rPr>
        <w:t xml:space="preserve">$</w:t>
      </w:r>
      <w:r>
        <w:rPr>
          <w:rStyle w:val="NormalTok"/>
        </w:rPr>
        <w:t xml:space="preserve">soc</w:t>
      </w:r>
      <w:r>
        <w:br/>
      </w:r>
      <w:r>
        <w:rPr>
          <w:rStyle w:val="NormalTok"/>
        </w:rPr>
        <w:t xml:space="preserve">d</w:t>
      </w:r>
      <w:r>
        <w:rPr>
          <w:rStyle w:val="SpecialCharTok"/>
        </w:rPr>
        <w:t xml:space="preserve">$</w:t>
      </w:r>
      <w:r>
        <w:rPr>
          <w:rStyle w:val="NormalTok"/>
        </w:rPr>
        <w:t xml:space="preserve">wc_bio_01         </w:t>
      </w:r>
      <w:r>
        <w:rPr>
          <w:rStyle w:val="OtherTok"/>
        </w:rPr>
        <w:t xml:space="preserve">&lt;-</w:t>
      </w:r>
      <w:r>
        <w:rPr>
          <w:rStyle w:val="NormalTok"/>
        </w:rPr>
        <w:t xml:space="preserve"> d</w:t>
      </w:r>
      <w:r>
        <w:rPr>
          <w:rStyle w:val="SpecialCharTok"/>
        </w:rPr>
        <w:t xml:space="preserve">$</w:t>
      </w:r>
      <w:r>
        <w:rPr>
          <w:rStyle w:val="NormalTok"/>
        </w:rPr>
        <w:t xml:space="preserve">mat</w:t>
      </w:r>
      <w:r>
        <w:br/>
      </w:r>
      <w:r>
        <w:rPr>
          <w:rStyle w:val="NormalTok"/>
        </w:rPr>
        <w:t xml:space="preserve">d</w:t>
      </w:r>
      <w:r>
        <w:rPr>
          <w:rStyle w:val="SpecialCharTok"/>
        </w:rPr>
        <w:t xml:space="preserve">$</w:t>
      </w:r>
      <w:r>
        <w:rPr>
          <w:rStyle w:val="NormalTok"/>
        </w:rPr>
        <w:t xml:space="preserve">wc_bio_12         </w:t>
      </w:r>
      <w:r>
        <w:rPr>
          <w:rStyle w:val="OtherTok"/>
        </w:rPr>
        <w:t xml:space="preserve">&lt;-</w:t>
      </w:r>
      <w:r>
        <w:rPr>
          <w:rStyle w:val="NormalTok"/>
        </w:rPr>
        <w:t xml:space="preserve"> d</w:t>
      </w:r>
      <w:r>
        <w:rPr>
          <w:rStyle w:val="SpecialCharTok"/>
        </w:rPr>
        <w:t xml:space="preserve">$</w:t>
      </w:r>
      <w:r>
        <w:rPr>
          <w:rStyle w:val="NormalTok"/>
        </w:rPr>
        <w:t xml:space="preserve">map</w:t>
      </w:r>
      <w:r>
        <w:br/>
      </w:r>
      <w:r>
        <w:rPr>
          <w:rStyle w:val="NormalTok"/>
        </w:rPr>
        <w:t xml:space="preserve">d</w:t>
      </w:r>
      <w:r>
        <w:rPr>
          <w:rStyle w:val="SpecialCharTok"/>
        </w:rPr>
        <w:t xml:space="preserve">$</w:t>
      </w:r>
      <w:r>
        <w:rPr>
          <w:rStyle w:val="NormalTok"/>
        </w:rPr>
        <w:t xml:space="preserve">wc_landcover_trees </w:t>
      </w:r>
      <w:r>
        <w:rPr>
          <w:rStyle w:val="OtherTok"/>
        </w:rPr>
        <w:t xml:space="preserve">&lt;-</w:t>
      </w:r>
      <w:r>
        <w:rPr>
          <w:rStyle w:val="NormalTok"/>
        </w:rPr>
        <w:t xml:space="preserve"> d</w:t>
      </w:r>
      <w:r>
        <w:rPr>
          <w:rStyle w:val="SpecialCharTok"/>
        </w:rPr>
        <w:t xml:space="preserve">$</w:t>
      </w:r>
      <w:r>
        <w:rPr>
          <w:rStyle w:val="NormalTok"/>
        </w:rPr>
        <w:t xml:space="preserve">trees</w:t>
      </w:r>
      <w:r>
        <w:br/>
      </w:r>
      <w:r>
        <w:rPr>
          <w:rStyle w:val="FunctionTok"/>
        </w:rPr>
        <w:t xml:space="preserve">causal_adjustment_set</w:t>
      </w:r>
      <w:r>
        <w:rPr>
          <w:rStyle w:val="NormalTok"/>
        </w:rPr>
        <w:t xml:space="preserve">(dag, </w:t>
      </w:r>
      <w:r>
        <w:rPr>
          <w:rStyle w:val="StringTok"/>
        </w:rPr>
        <w:t xml:space="preserve">"wc_landcover_trees"</w:t>
      </w:r>
      <w:r>
        <w:rPr>
          <w:rStyle w:val="NormalTok"/>
        </w:rPr>
        <w:t xml:space="preserve">, </w:t>
      </w:r>
      <w:r>
        <w:rPr>
          <w:rStyle w:val="StringTok"/>
        </w:rPr>
        <w:t xml:space="preserve">"soc_topsoil_gkg"</w:t>
      </w:r>
      <w:r>
        <w:rPr>
          <w:rStyle w:val="NormalTok"/>
        </w:rPr>
        <w:t xml:space="preserve">, </w:t>
      </w:r>
      <w:r>
        <w:rPr>
          <w:rStyle w:val="AttributeTok"/>
        </w:rPr>
        <w:t xml:space="preserve">effect =</w:t>
      </w:r>
      <w:r>
        <w:rPr>
          <w:rStyle w:val="NormalTok"/>
        </w:rPr>
        <w:t xml:space="preserve"> </w:t>
      </w:r>
      <w:r>
        <w:rPr>
          <w:rStyle w:val="StringTok"/>
        </w:rPr>
        <w:t xml:space="preserve">"total"</w:t>
      </w:r>
      <w:r>
        <w:rPr>
          <w:rStyle w:val="NormalTok"/>
        </w:rPr>
        <w:t xml:space="preserve">)</w:t>
      </w:r>
      <w:r>
        <w:br/>
      </w:r>
      <w:r>
        <w:rPr>
          <w:rStyle w:val="CommentTok"/>
        </w:rPr>
        <w:t xml:space="preserve">#&gt; [1] "wc_bio_01" "wc_bio_12"</w:t>
      </w:r>
      <w:r>
        <w:br/>
      </w:r>
      <w:r>
        <w:rPr>
          <w:rStyle w:val="FunctionTok"/>
        </w:rPr>
        <w:t xml:space="preserve">causal_estimate_effect</w:t>
      </w:r>
      <w:r>
        <w:rPr>
          <w:rStyle w:val="NormalTok"/>
        </w:rPr>
        <w:t xml:space="preserve">(d, dag, </w:t>
      </w:r>
      <w:r>
        <w:rPr>
          <w:rStyle w:val="StringTok"/>
        </w:rPr>
        <w:t xml:space="preserve">"wc_landcover_trees"</w:t>
      </w:r>
      <w:r>
        <w:rPr>
          <w:rStyle w:val="NormalTok"/>
        </w:rPr>
        <w:t xml:space="preserve">, </w:t>
      </w:r>
      <w:r>
        <w:rPr>
          <w:rStyle w:val="StringTok"/>
        </w:rPr>
        <w:t xml:space="preserve">"soc_topsoil_gkg"</w:t>
      </w:r>
      <w:r>
        <w:rPr>
          <w:rStyle w:val="NormalTok"/>
        </w:rPr>
        <w:t xml:space="preserve">, </w:t>
      </w:r>
      <w:r>
        <w:rPr>
          <w:rStyle w:val="AttributeTok"/>
        </w:rPr>
        <w:t xml:space="preserve">effect =</w:t>
      </w:r>
      <w:r>
        <w:rPr>
          <w:rStyle w:val="NormalTok"/>
        </w:rPr>
        <w:t xml:space="preserve"> </w:t>
      </w:r>
      <w:r>
        <w:rPr>
          <w:rStyle w:val="StringTok"/>
        </w:rPr>
        <w:t xml:space="preserve">"total"</w:t>
      </w:r>
      <w:r>
        <w:rPr>
          <w:rStyle w:val="NormalTok"/>
        </w:rPr>
        <w:t xml:space="preserve">)</w:t>
      </w:r>
      <w:r>
        <w:br/>
      </w:r>
      <w:r>
        <w:rPr>
          <w:rStyle w:val="CommentTok"/>
        </w:rPr>
        <w:t xml:space="preserve">#&gt; &lt;edaphos_causal_effect&gt;</w:t>
      </w:r>
      <w:r>
        <w:br/>
      </w:r>
      <w:r>
        <w:rPr>
          <w:rStyle w:val="CommentTok"/>
        </w:rPr>
        <w:t xml:space="preserve">#&gt;   wc_landcover_trees -&gt; soc_topsoil_gkg   (estimator: lm)</w:t>
      </w:r>
      <w:r>
        <w:br/>
      </w:r>
      <w:r>
        <w:rPr>
          <w:rStyle w:val="CommentTok"/>
        </w:rPr>
        <w:t xml:space="preserve">#&gt;   adjustment set : {wc_bio_01, wc_bio_12}</w:t>
      </w:r>
      <w:r>
        <w:br/>
      </w:r>
      <w:r>
        <w:rPr>
          <w:rStyle w:val="CommentTok"/>
        </w:rPr>
        <w:t xml:space="preserve">#&gt;   total effect   : 0.3469   (95% CI: -1.79, 2.484)</w:t>
      </w:r>
      <w:r>
        <w:br/>
      </w:r>
      <w:r>
        <w:rPr>
          <w:rStyle w:val="CommentTok"/>
        </w:rPr>
        <w:t xml:space="preserve">#&gt;   naive effect   : 2.864   (un-adjusted, likely confounded)</w:t>
      </w:r>
    </w:p>
    <w:p>
      <w:pPr>
        <w:pStyle w:val="FirstParagraph"/>
      </w:pPr>
      <w:r>
        <w:t xml:space="preserve">Fig 2 renders the graph, the adjustment set the criterion returns, and the graph’s own falsification test.</w:t>
      </w:r>
    </w:p>
    <w:p>
      <w:pPr>
        <w:pStyle w:val="BodyText"/>
      </w:pPr>
      <w:r>
        <w:drawing>
          <wp:inline>
            <wp:extent cx="5334000" cy="5334000"/>
            <wp:effectExtent b="0" l="0" r="0" t="0"/>
            <wp:docPr descr="" title="" id="14" name="Picture"/>
            <a:graphic>
              <a:graphicData uri="http://schemas.openxmlformats.org/drawingml/2006/picture">
                <pic:pic>
                  <pic:nvPicPr>
                    <pic:cNvPr descr="plos-manuscript_files/figures/Fig2.png" id="15" name="Picture"/>
                    <pic:cNvPicPr>
                      <a:picLocks noChangeArrowheads="1" noChangeAspect="1"/>
                    </pic:cNvPicPr>
                  </pic:nvPicPr>
                  <pic:blipFill>
                    <a:blip r:embed="rId1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Fig 2. A pedogenetic graph and its test.</w:t>
      </w:r>
      <w:r>
        <w:t xml:space="preserve"> </w:t>
      </w:r>
      <w:r>
        <w:t xml:space="preserve">(A) The shipped Cerrado graph, with the exposure, the outcome, and the adjustment set the backdoor criterion returns for the total effect of tree cover highlighted. (B) Every conditional independence the graph implies, tested against the profiles: most are rejected, so the graph as drawn is not compatible with the data it is applied to.</w:t>
      </w:r>
    </w:p>
    <w:p>
      <w:pPr>
        <w:pStyle w:val="BodyText"/>
      </w:pPr>
      <w:r>
        <w:t xml:space="preserve">The adjustment set is derived, not chosen by the analyst, and the eightfold collapse from the unadjusted to the adjusted estimate is the pillar’s central demonstration. Reported alongside it, the robustness value states that a confounder explaining 18.2% of residual variance in both exposure and outcome would be needed to nullify the clay association, and under 1% to nullify the tree-cover one.</w:t>
      </w:r>
    </w:p>
    <w:p>
      <w:pPr>
        <w:pStyle w:val="BodyText"/>
      </w:pPr>
      <w:r>
        <w:t xml:space="preserve">The printed label names the estimand that was requested, which matters more than it may appear: on these data the total effect of clay on carbon is 0.449 g/kg per percent while its direct effect, additionally blocking the texture and bulk-density mediators, is 0.044 with an interval covering zero. The two differ by an order of magnitude, and reporting one under the other’s name would misstate the finding.</w:t>
      </w:r>
    </w:p>
    <w:p>
      <w:pPr>
        <w:pStyle w:val="Heading3"/>
      </w:pPr>
      <w:r>
        <w:t xml:space="preserve">Physics-informed machine learning</w:t>
      </w:r>
    </w:p>
    <w:p>
      <w:pPr>
        <w:pStyle w:val="FirstParagraph"/>
      </w:pPr>
      <w:r>
        <w:t xml:space="preserve">The second pillar represents a depth profile not as a regression on depth but as the solution of a pedogenetic differential equation. This is the pillar closest to the generative, process-informed view of causation that Zhang and Wadoux</w:t>
      </w:r>
      <w:r>
        <w:t xml:space="preserve"> </w:t>
      </w:r>
      <w:r>
        <w:t xml:space="preserve">[3]</w:t>
      </w:r>
      <w:r>
        <w:t xml:space="preserve"> </w:t>
      </w:r>
      <w:r>
        <w:t xml:space="preserve">advocate: the mechanism is written down, and the data inform its parameters. It is also where writing a mechanism down turns out to make three separate claims checkable, and where two of them fail.</w:t>
      </w:r>
    </w:p>
    <w:p>
      <w:pPr>
        <w:pStyle w:val="BodyText"/>
      </w:pPr>
      <w:r>
        <w:rPr>
          <w:b/>
          <w:bCs/>
        </w:rPr>
        <w:t xml:space="preserve">The data.</w:t>
      </w:r>
      <w:r>
        <w:t xml:space="preserve"> </w:t>
      </w:r>
      <w:r>
        <w:t xml:space="preserve">The pillar is fitted to 1,105 real multi-horizon soil profiles from the World Soil Information Service over the Brazilian Cerrado — 5,853 horizons, reaching a median of 150 cm and a maximum of 740 cm. This matters enough to state plainly: earlier versions of this software illustrated the pillar on a seven-point profile with no provenance, while these profiles sat unused in the same repository because the preparation scripts kept only the shallowest horizon of each. Every result below is on the real profiles.</w:t>
      </w:r>
    </w:p>
    <w:p>
      <w:pPr>
        <w:pStyle w:val="BodyText"/>
      </w:pPr>
      <w:r>
        <w:rPr>
          <w:b/>
          <w:bCs/>
        </w:rPr>
        <w:t xml:space="preserve">The equation, and what its parameters mean.</w:t>
      </w:r>
      <w:r>
        <w:t xml:space="preserve"> </w:t>
      </w:r>
      <w:r>
        <w:t xml:space="preserve">The model is</w:t>
      </w:r>
    </w:p>
    <w:p>
      <w:pPr>
        <w:pStyle w:val="BodyText"/>
      </w:pPr>
      <m:oMathPara>
        <m:oMathParaPr>
          <m:jc m:val="center"/>
        </m:oMathParaPr>
        <m:oMath>
          <m:f>
            <m:fPr>
              <m:type m:val="bar"/>
            </m:fPr>
            <m:num>
              <m:r>
                <m:t>d</m:t>
              </m:r>
              <m:r>
                <m:t>y</m:t>
              </m:r>
            </m:num>
            <m:den>
              <m:r>
                <m:t>d</m:t>
              </m:r>
              <m:r>
                <m:t>z</m:t>
              </m:r>
            </m:den>
          </m:f>
          <m:r>
            <m:rPr>
              <m:sty m:val="p"/>
            </m:rPr>
            <m:t>=</m:t>
          </m:r>
          <m:r>
            <m:rPr>
              <m:sty m:val="p"/>
            </m:rPr>
            <m:t>−</m:t>
          </m:r>
          <m:sSub>
            <m:e>
              <m:r>
                <m:t>λ</m:t>
              </m:r>
            </m:e>
            <m:sub>
              <m:r>
                <m:t>0</m:t>
              </m:r>
            </m:sub>
          </m:sSub>
          <m:sSup>
            <m:e>
              <m:r>
                <m:t>e</m:t>
              </m:r>
            </m:e>
            <m:sup>
              <m:r>
                <m:rPr>
                  <m:sty m:val="p"/>
                </m:rPr>
                <m:t>−</m:t>
              </m:r>
              <m:r>
                <m:t>μ</m:t>
              </m:r>
              <m:r>
                <m:t>z</m:t>
              </m:r>
            </m:sup>
          </m:sSup>
          <m:r>
            <m:t> </m:t>
          </m:r>
          <m:r>
            <m:rPr>
              <m:sty m:val="p"/>
            </m:rPr>
            <m:t>(</m:t>
          </m:r>
          <m:r>
            <m:t>y</m:t>
          </m:r>
          <m:r>
            <m:rPr>
              <m:sty m:val="p"/>
            </m:rPr>
            <m:t>−</m:t>
          </m:r>
          <m:sSub>
            <m:e>
              <m:r>
                <m:t>y</m:t>
              </m:r>
            </m:e>
            <m:sub>
              <m:r>
                <m:rPr>
                  <m:sty m:val="p"/>
                </m:rPr>
                <m:t>∞</m:t>
              </m:r>
            </m:sub>
          </m:sSub>
          <m:r>
            <m:rPr>
              <m:sty m:val="p"/>
            </m:rPr>
            <m:t>)</m:t>
          </m:r>
          <m:r>
            <m:rPr>
              <m:sty m:val="p"/>
            </m:rPr>
            <m:t>,</m:t>
          </m:r>
        </m:oMath>
      </m:oMathPara>
    </w:p>
    <w:p>
      <w:pPr>
        <w:pStyle w:val="FirstParagraph"/>
      </w:pPr>
      <w:r>
        <w:t xml:space="preserve">a relaxation whose rate decays with depth. It is separable, and integrating gives</w:t>
      </w:r>
    </w:p>
    <w:p>
      <w:pPr>
        <w:pStyle w:val="BodyText"/>
      </w:pPr>
      <m:oMathPara>
        <m:oMathParaPr>
          <m:jc m:val="center"/>
        </m:oMathParaPr>
        <m:oMath>
          <m:r>
            <m:t>y</m:t>
          </m:r>
          <m:r>
            <m:rPr>
              <m:sty m:val="p"/>
            </m:rPr>
            <m:t>(</m:t>
          </m:r>
          <m:r>
            <m:t>z</m:t>
          </m:r>
          <m:r>
            <m:rPr>
              <m:sty m:val="p"/>
            </m:rPr>
            <m:t>)</m:t>
          </m:r>
          <m:r>
            <m:rPr>
              <m:sty m:val="p"/>
            </m:rPr>
            <m:t>=</m:t>
          </m:r>
          <m:sSub>
            <m:e>
              <m:r>
                <m:t>y</m:t>
              </m:r>
            </m:e>
            <m:sub>
              <m:r>
                <m:rPr>
                  <m:sty m:val="p"/>
                </m:rPr>
                <m:t>∞</m:t>
              </m:r>
            </m:sub>
          </m:sSub>
          <m:r>
            <m:rPr>
              <m:sty m:val="p"/>
            </m:rPr>
            <m:t>+</m:t>
          </m:r>
          <m:r>
            <m:rPr>
              <m:sty m:val="p"/>
            </m:rPr>
            <m:t>(</m:t>
          </m:r>
          <m:sSub>
            <m:e>
              <m:r>
                <m:t>y</m:t>
              </m:r>
            </m:e>
            <m:sub>
              <m:r>
                <m:t>0</m:t>
              </m:r>
            </m:sub>
          </m:sSub>
          <m:r>
            <m:rPr>
              <m:sty m:val="p"/>
            </m:rPr>
            <m:t>−</m:t>
          </m:r>
          <m:sSub>
            <m:e>
              <m:r>
                <m:t>y</m:t>
              </m:r>
            </m:e>
            <m:sub>
              <m:r>
                <m:rPr>
                  <m:sty m:val="p"/>
                </m:rPr>
                <m:t>∞</m:t>
              </m:r>
            </m:sub>
          </m:sSub>
          <m:r>
            <m:rPr>
              <m:sty m:val="p"/>
            </m:rPr>
            <m:t>)</m:t>
          </m:r>
          <m:r>
            <m:rPr>
              <m:sty m:val="p"/>
            </m:rPr>
            <m:t>exp</m:t>
          </m:r>
          <m:r>
            <m:t>​</m:t>
          </m:r>
          <m:d>
            <m:dPr>
              <m:begChr m:val="["/>
              <m:sepChr m:val=""/>
              <m:endChr m:val="]"/>
              <m:grow/>
            </m:dPr>
            <m:e>
              <m:r>
                <m:rPr>
                  <m:sty m:val="p"/>
                </m:rPr>
                <m:t>−</m:t>
              </m:r>
              <m:r>
                <m:t>κ</m:t>
              </m:r>
              <m:d>
                <m:dPr>
                  <m:begChr m:val="("/>
                  <m:sepChr m:val=""/>
                  <m:endChr m:val=")"/>
                  <m:grow/>
                </m:dPr>
                <m:e>
                  <m:r>
                    <m:t>1</m:t>
                  </m:r>
                  <m:r>
                    <m:rPr>
                      <m:sty m:val="p"/>
                    </m:rPr>
                    <m:t>−</m:t>
                  </m:r>
                  <m:sSup>
                    <m:e>
                      <m:r>
                        <m:t>e</m:t>
                      </m:r>
                    </m:e>
                    <m:sup>
                      <m:r>
                        <m:rPr>
                          <m:sty m:val="p"/>
                        </m:rPr>
                        <m:t>−</m:t>
                      </m:r>
                      <m:r>
                        <m:t>μ</m:t>
                      </m:r>
                      <m:r>
                        <m:t>z</m:t>
                      </m:r>
                    </m:sup>
                  </m:sSup>
                </m:e>
              </m:d>
            </m:e>
          </m:d>
          <m:r>
            <m:rPr>
              <m:sty m:val="p"/>
            </m:rPr>
            <m:t>,</m:t>
          </m:r>
          <m:r>
            <m:t>  </m:t>
          </m:r>
          <m:r>
            <m:t>κ</m:t>
          </m:r>
          <m:r>
            <m:rPr>
              <m:sty m:val="p"/>
            </m:rPr>
            <m:t>=</m:t>
          </m:r>
          <m:sSub>
            <m:e>
              <m:r>
                <m:t>λ</m:t>
              </m:r>
            </m:e>
            <m:sub>
              <m:r>
                <m:t>0</m:t>
              </m:r>
            </m:sub>
          </m:sSub>
          <m:r>
            <m:rPr>
              <m:sty m:val="p"/>
            </m:rPr>
            <m:t>/</m:t>
          </m:r>
          <m:r>
            <m:t>μ</m:t>
          </m:r>
          <m:r>
            <m:rPr>
              <m:sty m:val="p"/>
            </m:rPr>
            <m:t>,</m:t>
          </m:r>
        </m:oMath>
      </m:oMathPara>
    </w:p>
    <w:p>
      <w:pPr>
        <w:pStyle w:val="FirstParagraph"/>
      </w:pPr>
      <w:r>
        <w:t xml:space="preserve">so that</w:t>
      </w:r>
      <w:r>
        <w:t xml:space="preserve"> </w:t>
      </w:r>
      <m:oMath>
        <m:r>
          <m:t>y</m:t>
        </m:r>
        <m:r>
          <m:rPr>
            <m:sty m:val="p"/>
          </m:rPr>
          <m:t>(</m:t>
        </m:r>
        <m:r>
          <m:rPr>
            <m:sty m:val="p"/>
          </m:rPr>
          <m:t>∞</m:t>
        </m:r>
        <m:r>
          <m:rPr>
            <m:sty m:val="p"/>
          </m:rPr>
          <m:t>)</m:t>
        </m:r>
        <m:r>
          <m:rPr>
            <m:sty m:val="p"/>
          </m:rPr>
          <m:t>=</m:t>
        </m:r>
        <m:sSub>
          <m:e>
            <m:r>
              <m:t>y</m:t>
            </m:r>
          </m:e>
          <m:sub>
            <m:r>
              <m:rPr>
                <m:sty m:val="p"/>
              </m:rPr>
              <m:t>∞</m:t>
            </m:r>
          </m:sub>
        </m:sSub>
        <m:r>
          <m:rPr>
            <m:sty m:val="p"/>
          </m:rPr>
          <m:t>+</m:t>
        </m:r>
        <m:r>
          <m:rPr>
            <m:sty m:val="p"/>
          </m:rPr>
          <m:t>(</m:t>
        </m:r>
        <m:sSub>
          <m:e>
            <m:r>
              <m:t>y</m:t>
            </m:r>
          </m:e>
          <m:sub>
            <m:r>
              <m:t>0</m:t>
            </m:r>
          </m:sub>
        </m:sSub>
        <m:r>
          <m:rPr>
            <m:sty m:val="p"/>
          </m:rPr>
          <m:t>−</m:t>
        </m:r>
        <m:sSub>
          <m:e>
            <m:r>
              <m:t>y</m:t>
            </m:r>
          </m:e>
          <m:sub>
            <m:r>
              <m:rPr>
                <m:sty m:val="p"/>
              </m:rPr>
              <m:t>∞</m:t>
            </m:r>
          </m:sub>
        </m:sSub>
        <m:r>
          <m:rPr>
            <m:sty m:val="p"/>
          </m:rPr>
          <m:t>)</m:t>
        </m:r>
        <m:sSup>
          <m:e>
            <m:r>
              <m:t>e</m:t>
            </m:r>
          </m:e>
          <m:sup>
            <m:r>
              <m:rPr>
                <m:sty m:val="p"/>
              </m:rPr>
              <m:t>−</m:t>
            </m:r>
            <m:r>
              <m:t>κ</m:t>
            </m:r>
          </m:sup>
        </m:sSup>
      </m:oMath>
      <w:r>
        <w:t xml:space="preserve">.</w:t>
      </w:r>
    </w:p>
    <w:p>
      <w:pPr>
        <w:pStyle w:val="BodyText"/>
      </w:pPr>
      <w:r>
        <w:rPr>
          <w:b/>
          <w:bCs/>
        </w:rPr>
        <w:t xml:space="preserve">The profile does not reach</w:t>
      </w:r>
      <w:r>
        <w:rPr>
          <w:b/>
          <w:bCs/>
        </w:rPr>
        <w:t xml:space="preserve"> </w:t>
      </w:r>
      <m:oMath>
        <m:sSub>
          <m:e>
            <m:r>
              <m:t>y</m:t>
            </m:r>
          </m:e>
          <m:sub>
            <m:r>
              <m:rPr>
                <m:sty m:val="p"/>
              </m:rPr>
              <m:t>∞</m:t>
            </m:r>
          </m:sub>
        </m:sSub>
      </m:oMath>
      <w:r>
        <w:rPr>
          <w:b/>
          <w:bCs/>
        </w:rPr>
        <w:t xml:space="preserve">.</w:t>
      </w:r>
      <w:r>
        <w:t xml:space="preserve"> </w:t>
      </w:r>
      <w:r>
        <w:t xml:space="preserve">Because the rate decays, the exponent saturates and the profile traverses only a fraction</w:t>
      </w:r>
      <w:r>
        <w:t xml:space="preserve"> </w:t>
      </w:r>
      <m:oMath>
        <m:r>
          <m:t>1</m:t>
        </m:r>
        <m:r>
          <m:rPr>
            <m:sty m:val="p"/>
          </m:rPr>
          <m:t>−</m:t>
        </m:r>
        <m:sSup>
          <m:e>
            <m:r>
              <m:t>e</m:t>
            </m:r>
          </m:e>
          <m:sup>
            <m:r>
              <m:rPr>
                <m:sty m:val="p"/>
              </m:rPr>
              <m:t>−</m:t>
            </m:r>
            <m:r>
              <m:t>κ</m:t>
            </m:r>
          </m:sup>
        </m:sSup>
      </m:oMath>
      <w:r>
        <w:t xml:space="preserve"> </w:t>
      </w:r>
      <w:r>
        <w:t xml:space="preserve">of the</w:t>
      </w:r>
      <w:r>
        <w:t xml:space="preserve"> </w:t>
      </w:r>
      <m:oMath>
        <m:sSub>
          <m:e>
            <m:r>
              <m:t>y</m:t>
            </m:r>
          </m:e>
          <m:sub>
            <m:r>
              <m:t>0</m:t>
            </m:r>
          </m:sub>
        </m:sSub>
        <m:r>
          <m:rPr>
            <m:sty m:val="p"/>
          </m:rPr>
          <m:t>→</m:t>
        </m:r>
        <m:sSub>
          <m:e>
            <m:r>
              <m:t>y</m:t>
            </m:r>
          </m:e>
          <m:sub>
            <m:r>
              <m:rPr>
                <m:sty m:val="p"/>
              </m:rPr>
              <m:t>∞</m:t>
            </m:r>
          </m:sub>
        </m:sSub>
      </m:oMath>
      <w:r>
        <w:t xml:space="preserve"> </w:t>
      </w:r>
      <w:r>
        <w:t xml:space="preserve">gap before the dynamics run out.</w:t>
      </w:r>
      <w:r>
        <w:t xml:space="preserve"> </w:t>
      </w:r>
      <m:oMath>
        <m:sSub>
          <m:e>
            <m:r>
              <m:t>y</m:t>
            </m:r>
          </m:e>
          <m:sub>
            <m:r>
              <m:rPr>
                <m:sty m:val="p"/>
              </m:rPr>
              <m:t>∞</m:t>
            </m:r>
          </m:sub>
        </m:sSub>
      </m:oMath>
      <w:r>
        <w:t xml:space="preserve"> </w:t>
      </w:r>
      <w:r>
        <w:t xml:space="preserve">is an equilibrium coordinate of the differential equation, not a soil property; the attainable deep value is</w:t>
      </w:r>
      <w:r>
        <w:t xml:space="preserve"> </w:t>
      </w:r>
      <m:oMath>
        <m:r>
          <m:t>y</m:t>
        </m:r>
        <m:r>
          <m:rPr>
            <m:sty m:val="p"/>
          </m:rPr>
          <m:t>(</m:t>
        </m:r>
        <m:r>
          <m:rPr>
            <m:sty m:val="p"/>
          </m:rPr>
          <m:t>∞</m:t>
        </m:r>
        <m:r>
          <m:rPr>
            <m:sty m:val="p"/>
          </m:rPr>
          <m:t>)</m:t>
        </m:r>
      </m:oMath>
      <w:r>
        <w:t xml:space="preserve">. The distinction is not cosmetic. Across the 1,105 profiles the median</w:t>
      </w:r>
      <w:r>
        <w:t xml:space="preserve"> </w:t>
      </w:r>
      <m:oMath>
        <m:r>
          <m:t>κ</m:t>
        </m:r>
      </m:oMath>
      <w:r>
        <w:t xml:space="preserve"> </w:t>
      </w:r>
      <w:r>
        <w:t xml:space="preserve">is 1.6, so the median profile closes 80% of its gap and stops, and on shallow profiles the two quantities routinely differ in sign.</w:t>
      </w:r>
    </w:p>
    <w:p>
      <w:pPr>
        <w:pStyle w:val="BodyText"/>
      </w:pPr>
      <w:r>
        <w:t xml:space="preserve">Three consequences follow, and the implementation is built around them. First,</w:t>
      </w:r>
      <w:r>
        <w:t xml:space="preserve"> </w:t>
      </w:r>
      <m:oMath>
        <m:sSub>
          <m:e>
            <m:r>
              <m:t>λ</m:t>
            </m:r>
          </m:e>
          <m:sub>
            <m:r>
              <m:t>0</m:t>
            </m:r>
          </m:sub>
        </m:sSub>
      </m:oMath>
      <w:r>
        <w:t xml:space="preserve"> </w:t>
      </w:r>
      <w:r>
        <w:t xml:space="preserve">and</w:t>
      </w:r>
      <w:r>
        <w:t xml:space="preserve"> </w:t>
      </w:r>
      <m:oMath>
        <m:r>
          <m:t>μ</m:t>
        </m:r>
      </m:oMath>
      <w:r>
        <w:t xml:space="preserve"> </w:t>
      </w:r>
      <w:r>
        <w:t xml:space="preserve">are near-collinear: the likelihood constrains their ratio</w:t>
      </w:r>
      <w:r>
        <w:t xml:space="preserve"> </w:t>
      </w:r>
      <m:oMath>
        <m:r>
          <m:t>κ</m:t>
        </m:r>
      </m:oMath>
      <w:r>
        <w:t xml:space="preserve"> </w:t>
      </w:r>
      <w:r>
        <w:t xml:space="preserve">far better than either alone. Second, a prior on</w:t>
      </w:r>
      <w:r>
        <w:t xml:space="preserve"> </w:t>
      </w:r>
      <m:oMath>
        <m:sSub>
          <m:e>
            <m:r>
              <m:t>y</m:t>
            </m:r>
          </m:e>
          <m:sub>
            <m:r>
              <m:rPr>
                <m:sty m:val="p"/>
              </m:rPr>
              <m:t>∞</m:t>
            </m:r>
          </m:sub>
        </m:sSub>
      </m:oMath>
      <w:r>
        <w:t xml:space="preserve"> </w:t>
      </w:r>
      <w:r>
        <w:t xml:space="preserve">is a prior on an unattained quantity that enters the fit through a ratio the data barely determine. Third, nothing in a free-sign parameterisation keeps</w:t>
      </w:r>
      <w:r>
        <w:t xml:space="preserve"> </w:t>
      </w:r>
      <m:oMath>
        <m:r>
          <m:t>μ</m:t>
        </m:r>
        <m:r>
          <m:rPr>
            <m:sty m:val="p"/>
          </m:rPr>
          <m:t>≥</m:t>
        </m:r>
        <m:r>
          <m:t>0</m:t>
        </m:r>
      </m:oMath>
      <w:r>
        <w:t xml:space="preserve"> </w:t>
      </w:r>
      <w:r>
        <w:t xml:space="preserve">or the concentrations positive. We therefore estimate the model in the coordinates</w:t>
      </w:r>
      <w:r>
        <w:t xml:space="preserve"> </w:t>
      </w:r>
      <m:oMath>
        <m:r>
          <m:rPr>
            <m:sty m:val="p"/>
          </m:rPr>
          <m:t>(</m:t>
        </m:r>
        <m:sSub>
          <m:e>
            <m:r>
              <m:t>y</m:t>
            </m:r>
          </m:e>
          <m:sub>
            <m:r>
              <m:t>0</m:t>
            </m:r>
          </m:sub>
        </m:sSub>
        <m:r>
          <m:rPr>
            <m:sty m:val="p"/>
          </m:rPr>
          <m:t>,</m:t>
        </m:r>
        <m:r>
          <m:t>A</m:t>
        </m:r>
        <m:r>
          <m:rPr>
            <m:sty m:val="p"/>
          </m:rPr>
          <m:t>,</m:t>
        </m:r>
        <m:r>
          <m:t>κ</m:t>
        </m:r>
        <m:r>
          <m:rPr>
            <m:sty m:val="p"/>
          </m:rPr>
          <m:t>,</m:t>
        </m:r>
        <m:r>
          <m:t>μ</m:t>
        </m:r>
        <m:r>
          <m:rPr>
            <m:sty m:val="p"/>
          </m:rPr>
          <m:t>)</m:t>
        </m:r>
      </m:oMath>
      <w:r>
        <w:t xml:space="preserve"> </w:t>
      </w:r>
      <w:r>
        <w:t xml:space="preserve">with</w:t>
      </w:r>
      <w:r>
        <w:t xml:space="preserve"> </w:t>
      </w:r>
      <m:oMath>
        <m:r>
          <m:t>A</m:t>
        </m:r>
        <m:r>
          <m:rPr>
            <m:sty m:val="p"/>
          </m:rPr>
          <m:t>=</m:t>
        </m:r>
        <m:r>
          <m:t>y</m:t>
        </m:r>
        <m:r>
          <m:rPr>
            <m:sty m:val="p"/>
          </m:rPr>
          <m:t>(</m:t>
        </m:r>
        <m:r>
          <m:rPr>
            <m:sty m:val="p"/>
          </m:rPr>
          <m:t>∞</m:t>
        </m:r>
        <m:r>
          <m:rPr>
            <m:sty m:val="p"/>
          </m:rPr>
          <m:t>)</m:t>
        </m:r>
      </m:oMath>
      <w:r>
        <w:t xml:space="preserve">, all exponentiated, and recover</w:t>
      </w:r>
      <w:r>
        <w:t xml:space="preserve"> </w:t>
      </w:r>
      <m:oMath>
        <m:sSub>
          <m:e>
            <m:r>
              <m:t>λ</m:t>
            </m:r>
          </m:e>
          <m:sub>
            <m:r>
              <m:t>0</m:t>
            </m:r>
          </m:sub>
        </m:sSub>
      </m:oMath>
      <w:r>
        <w:t xml:space="preserve"> </w:t>
      </w:r>
      <w:r>
        <w:t xml:space="preserve">and</w:t>
      </w:r>
      <w:r>
        <w:t xml:space="preserve"> </w:t>
      </w:r>
      <m:oMath>
        <m:sSub>
          <m:e>
            <m:r>
              <m:t>y</m:t>
            </m:r>
          </m:e>
          <m:sub>
            <m:r>
              <m:rPr>
                <m:sty m:val="p"/>
              </m:rPr>
              <m:t>∞</m:t>
            </m:r>
          </m:sub>
        </m:sSub>
      </m:oMath>
      <w:r>
        <w:t xml:space="preserve"> </w:t>
      </w:r>
      <w:r>
        <w:t xml:space="preserve">for reporting. Refitting all 1,105 profiles under both parameterisations, the original returned a physically inadmissible fit for 56% of them — 113 of 207 in a matched subset had</w:t>
      </w:r>
      <w:r>
        <w:t xml:space="preserve"> </w:t>
      </w:r>
      <m:oMath>
        <m:r>
          <m:t>μ</m:t>
        </m:r>
        <m:r>
          <m:rPr>
            <m:sty m:val="p"/>
          </m:rPr>
          <m:t>&lt;</m:t>
        </m:r>
        <m:r>
          <m:t>0</m:t>
        </m:r>
      </m:oMath>
      <w:r>
        <w:t xml:space="preserve">, a decay rate that</w:t>
      </w:r>
      <w:r>
        <w:t xml:space="preserve"> </w:t>
      </w:r>
      <w:r>
        <w:rPr>
          <w:i/>
          <w:iCs/>
        </w:rPr>
        <w:t xml:space="preserve">grows</w:t>
      </w:r>
      <w:r>
        <w:t xml:space="preserve"> </w:t>
      </w:r>
      <w:r>
        <w:t xml:space="preserve">exponentially with depth — against none under the positive coordinates.</w:t>
      </w:r>
    </w:p>
    <w:p>
      <w:pPr>
        <w:pStyle w:val="BodyText"/>
      </w:pPr>
      <w:r>
        <w:t xml:space="preserve">Three further specification choices follow from having real horizons. First, a laboratory value is the average of a property over a horizon, not a point reading at its mid-depth; because the solution is closed-form, the depth-average over each horizon is available by Gauss–Legendre quadrature at negligible cost, and is used throughout. This is the same observation-operator problem equal-area splines address explicitly</w:t>
      </w:r>
      <w:r>
        <w:t xml:space="preserve"> </w:t>
      </w:r>
      <w:r>
        <w:t xml:space="preserve">[7,8]</w:t>
      </w:r>
      <w:r>
        <w:t xml:space="preserve">. Second, the observation noise</w:t>
      </w:r>
      <w:r>
        <w:t xml:space="preserve"> </w:t>
      </w:r>
      <m:oMath>
        <m:r>
          <m:t>σ</m:t>
        </m:r>
      </m:oMath>
      <w:r>
        <w:t xml:space="preserve"> </w:t>
      </w:r>
      <w:r>
        <w:t xml:space="preserve">is sampled with a half-</w:t>
      </w:r>
      <m:oMath>
        <m:r>
          <m:t>t</m:t>
        </m:r>
      </m:oMath>
      <w:r>
        <w:t xml:space="preserve"> </w:t>
      </w:r>
      <w:r>
        <w:t xml:space="preserve">prior rather than plugged in from the residuals of the mode, which widens the predictive interval on the pedon below from 3.6 to 7.1 g/kg.</w:t>
      </w:r>
    </w:p>
    <w:p>
      <w:pPr>
        <w:pStyle w:val="BodyText"/>
      </w:pPr>
      <w:r>
        <w:t xml:space="preserve">Third, and least obviously, the likelihood is not Gaussian. Organic carbon is positive and right-skewed, and a Gaussian on g/kg with one</w:t>
      </w:r>
      <w:r>
        <w:t xml:space="preserve"> </w:t>
      </w:r>
      <m:oMath>
        <m:r>
          <m:t>σ</m:t>
        </m:r>
      </m:oMath>
      <w:r>
        <w:t xml:space="preserve"> </w:t>
      </w:r>
      <w:r>
        <w:t xml:space="preserve">makes three errors: it places predictive mass below zero, it assumes additive error where laboratory error is multiplicative, and — the consequential one — it weights every horizon by the same</w:t>
      </w:r>
      <w:r>
        <w:t xml:space="preserve"> </w:t>
      </w:r>
      <w:r>
        <w:rPr>
          <w:i/>
          <w:iCs/>
        </w:rPr>
        <w:t xml:space="preserve">absolute</w:t>
      </w:r>
      <w:r>
        <w:t xml:space="preserve"> </w:t>
      </w:r>
      <w:r>
        <w:t xml:space="preserve">discrepancy. A profile running from 29 g/kg at the surface to 2.3 g/kg at 5 m is then fitted almost entirely by its topsoil, and the deep horizons that carry all the information about the asymptote contribute almost nothing. We use a lognormal likelihood parameterised so that the model’s prediction is the</w:t>
      </w:r>
      <w:r>
        <w:t xml:space="preserve"> </w:t>
      </w:r>
      <w:r>
        <w:rPr>
          <w:i/>
          <w:iCs/>
        </w:rPr>
        <w:t xml:space="preserve">mean</w:t>
      </w:r>
      <w:r>
        <w:t xml:space="preserve"> </w:t>
      </w:r>
      <w:r>
        <w:t xml:space="preserve">of the observation, which matters because that prediction is a horizon average and therefore a mass-preserving quantity; a median-preserving parameterisation would bias every layer downward.</w:t>
      </w:r>
    </w:p>
    <w:p>
      <w:pPr>
        <w:pStyle w:val="BodyText"/>
      </w:pPr>
      <w:r>
        <w:t xml:space="preserve">The change is not cosmetic. On the pedon below the Gaussian fit misses the deepest horizon by 90% of its value while the lognormal caps its worst relative residual at 23%. On leave-the-deepest-horizon-out prediction across all 1,105 profiles the lognormal wins on 720 of them (paired Wilcoxon</w:t>
      </w:r>
      <w:r>
        <w:t xml:space="preserve"> </w:t>
      </w:r>
      <m:oMath>
        <m:r>
          <m:t>p</m:t>
        </m:r>
        <m:r>
          <m:rPr>
            <m:sty m:val="p"/>
          </m:rPr>
          <m:t>=</m:t>
        </m:r>
        <m:r>
          <m:t>2</m:t>
        </m:r>
        <m:r>
          <m:rPr>
            <m:sty m:val="p"/>
          </m:rPr>
          <m:t>×</m:t>
        </m:r>
        <m:sSup>
          <m:e>
            <m:r>
              <m:t>10</m:t>
            </m:r>
          </m:e>
          <m:sup>
            <m:r>
              <m:rPr>
                <m:sty m:val="p"/>
              </m:rPr>
              <m:t>−</m:t>
            </m:r>
            <m:r>
              <m:t>30</m:t>
            </m:r>
          </m:sup>
        </m:sSup>
      </m:oMath>
      <w:r>
        <w:t xml:space="preserve">), improving mean absolute error from 2.20 to 2.00 g/kg, and it wins even on root-mean-square error — the criterion the Gaussian optimises by construction — because over-weighting the topsoil is precisely what makes a profile extrapolate its deepest horizon badly.</w:t>
      </w:r>
    </w:p>
    <w:p>
      <w:pPr>
        <w:pStyle w:val="SourceCode"/>
      </w:pPr>
      <w:r>
        <w:rPr>
          <w:rStyle w:val="NormalTok"/>
        </w:rPr>
        <w:t xml:space="preserve">pedon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system.file</w:t>
      </w:r>
      <w:r>
        <w:rPr>
          <w:rStyle w:val="NormalTok"/>
        </w:rPr>
        <w:t xml:space="preserve">(</w:t>
      </w:r>
      <w:r>
        <w:rPr>
          <w:rStyle w:val="StringTok"/>
        </w:rPr>
        <w:t xml:space="preserve">"extdata"</w:t>
      </w:r>
      <w:r>
        <w:rPr>
          <w:rStyle w:val="NormalTok"/>
        </w:rPr>
        <w:t xml:space="preserve">, </w:t>
      </w:r>
      <w:r>
        <w:rPr>
          <w:rStyle w:val="StringTok"/>
        </w:rPr>
        <w:t xml:space="preserve">"capstone_campaign_results.rds"</w:t>
      </w:r>
      <w:r>
        <w:rPr>
          <w:rStyle w:val="NormalTok"/>
        </w:rPr>
        <w:t xml:space="preserve">,</w:t>
      </w:r>
      <w:r>
        <w:br/>
      </w:r>
      <w:r>
        <w:rPr>
          <w:rStyle w:val="NormalTok"/>
        </w:rPr>
        <w:t xml:space="preserve">                             </w:t>
      </w:r>
      <w:r>
        <w:rPr>
          <w:rStyle w:val="AttributeTok"/>
        </w:rPr>
        <w:t xml:space="preserve">package =</w:t>
      </w:r>
      <w:r>
        <w:rPr>
          <w:rStyle w:val="NormalTok"/>
        </w:rPr>
        <w:t xml:space="preserve"> </w:t>
      </w:r>
      <w:r>
        <w:rPr>
          <w:rStyle w:val="StringTok"/>
        </w:rPr>
        <w:t xml:space="preserve">"edaphos"</w:t>
      </w:r>
      <w:r>
        <w:rPr>
          <w:rStyle w:val="NormalTok"/>
        </w:rPr>
        <w:t xml:space="preserve">))</w:t>
      </w:r>
      <w:r>
        <w:rPr>
          <w:rStyle w:val="SpecialCharTok"/>
        </w:rPr>
        <w:t xml:space="preserve">$</w:t>
      </w:r>
      <w:r>
        <w:rPr>
          <w:rStyle w:val="NormalTok"/>
        </w:rPr>
        <w:t xml:space="preserve">piml_profile_obs</w:t>
      </w:r>
      <w:r>
        <w:br/>
      </w:r>
      <w:r>
        <w:rPr>
          <w:rStyle w:val="NormalTok"/>
        </w:rPr>
        <w:t xml:space="preserve">fit </w:t>
      </w:r>
      <w:r>
        <w:rPr>
          <w:rStyle w:val="OtherTok"/>
        </w:rPr>
        <w:t xml:space="preserve">&lt;-</w:t>
      </w:r>
      <w:r>
        <w:rPr>
          <w:rStyle w:val="NormalTok"/>
        </w:rPr>
        <w:t xml:space="preserve"> </w:t>
      </w:r>
      <w:r>
        <w:rPr>
          <w:rStyle w:val="FunctionTok"/>
        </w:rPr>
        <w:t xml:space="preserve">piml_profile_fit</w:t>
      </w:r>
      <w:r>
        <w:rPr>
          <w:rStyle w:val="NormalTok"/>
        </w:rPr>
        <w:t xml:space="preserve">(pedon</w:t>
      </w:r>
      <w:r>
        <w:rPr>
          <w:rStyle w:val="SpecialCharTok"/>
        </w:rPr>
        <w:t xml:space="preserve">$</w:t>
      </w:r>
      <w:r>
        <w:rPr>
          <w:rStyle w:val="NormalTok"/>
        </w:rPr>
        <w:t xml:space="preserve">depth_mid, pedon</w:t>
      </w:r>
      <w:r>
        <w:rPr>
          <w:rStyle w:val="SpecialCharTok"/>
        </w:rPr>
        <w:t xml:space="preserve">$</w:t>
      </w:r>
      <w:r>
        <w:rPr>
          <w:rStyle w:val="NormalTok"/>
        </w:rPr>
        <w:t xml:space="preserve">soc_g_kg,</w:t>
      </w:r>
      <w:r>
        <w:br/>
      </w:r>
      <w:r>
        <w:rPr>
          <w:rStyle w:val="NormalTok"/>
        </w:rPr>
        <w:t xml:space="preserve">                        </w:t>
      </w:r>
      <w:r>
        <w:rPr>
          <w:rStyle w:val="AttributeTok"/>
        </w:rPr>
        <w:t xml:space="preserve">top =</w:t>
      </w:r>
      <w:r>
        <w:rPr>
          <w:rStyle w:val="NormalTok"/>
        </w:rPr>
        <w:t xml:space="preserve"> pedon</w:t>
      </w:r>
      <w:r>
        <w:rPr>
          <w:rStyle w:val="SpecialCharTok"/>
        </w:rPr>
        <w:t xml:space="preserve">$</w:t>
      </w:r>
      <w:r>
        <w:rPr>
          <w:rStyle w:val="NormalTok"/>
        </w:rPr>
        <w:t xml:space="preserve">top, </w:t>
      </w:r>
      <w:r>
        <w:rPr>
          <w:rStyle w:val="AttributeTok"/>
        </w:rPr>
        <w:t xml:space="preserve">bottom =</w:t>
      </w:r>
      <w:r>
        <w:rPr>
          <w:rStyle w:val="NormalTok"/>
        </w:rPr>
        <w:t xml:space="preserve"> pedon</w:t>
      </w:r>
      <w:r>
        <w:rPr>
          <w:rStyle w:val="SpecialCharTok"/>
        </w:rPr>
        <w:t xml:space="preserve">$</w:t>
      </w:r>
      <w:r>
        <w:rPr>
          <w:rStyle w:val="NormalTok"/>
        </w:rPr>
        <w:t xml:space="preserve">bottom)</w:t>
      </w:r>
      <w:r>
        <w:br/>
      </w:r>
      <w:r>
        <w:rPr>
          <w:rStyle w:val="FunctionTok"/>
        </w:rPr>
        <w:t xml:space="preserve">print</w:t>
      </w:r>
      <w:r>
        <w:rPr>
          <w:rStyle w:val="NormalTok"/>
        </w:rPr>
        <w:t xml:space="preserve">(fit)</w:t>
      </w:r>
      <w:r>
        <w:br/>
      </w:r>
      <w:r>
        <w:rPr>
          <w:rStyle w:val="CommentTok"/>
        </w:rPr>
        <w:t xml:space="preserve">#&gt; &lt;edaphos_piml_profile&gt;</w:t>
      </w:r>
      <w:r>
        <w:br/>
      </w:r>
      <w:r>
        <w:rPr>
          <w:rStyle w:val="CommentTok"/>
        </w:rPr>
        <w:t xml:space="preserve">#&gt;   dy/dz = -lambda0 * exp(-mu*z) * (y - y_inf)</w:t>
      </w:r>
      <w:r>
        <w:br/>
      </w:r>
      <w:r>
        <w:rPr>
          <w:rStyle w:val="CommentTok"/>
        </w:rPr>
        <w:t xml:space="preserve">#&gt;   lambda0 = 0.009613  mu = 0.004151</w:t>
      </w:r>
      <w:r>
        <w:br/>
      </w:r>
      <w:r>
        <w:rPr>
          <w:rStyle w:val="CommentTok"/>
        </w:rPr>
        <w:t xml:space="preserve">#&gt;   y0      = 23.45     y(Inf) = 1.982      (kappa = 2.32)</w:t>
      </w:r>
      <w:r>
        <w:br/>
      </w:r>
      <w:r>
        <w:rPr>
          <w:rStyle w:val="CommentTok"/>
        </w:rPr>
        <w:t xml:space="preserve">#&gt;   y_inf   = -0.3678   (ODE coordinate, not the attained value)</w:t>
      </w:r>
      <w:r>
        <w:br/>
      </w:r>
      <w:r>
        <w:rPr>
          <w:rStyle w:val="CommentTok"/>
        </w:rPr>
        <w:t xml:space="preserve">#&gt;   n obs   = 9 (layer)         rmse = 2.517</w:t>
      </w:r>
      <w:r>
        <w:br/>
      </w:r>
      <w:r>
        <w:rPr>
          <w:rStyle w:val="CommentTok"/>
        </w:rPr>
        <w:t xml:space="preserve">#&gt;   converged = TRUE</w:t>
      </w:r>
    </w:p>
    <w:p>
      <w:pPr>
        <w:pStyle w:val="FirstParagraph"/>
      </w:pPr>
      <w:r>
        <w:t xml:space="preserve">Table 2 gives the posterior for that pedon — WoSIS profile 1115679, nine horizons to 550 cm.</w:t>
      </w:r>
    </w:p>
    <w:p>
      <w:pPr>
        <w:pStyle w:val="BodyText"/>
      </w:pPr>
      <w:r>
        <w:rPr>
          <w:b/>
          <w:bCs/>
        </w:rPr>
        <w:t xml:space="preserve">Table 2. Posterior summary of the pedogenetic equation’s parameters.</w:t>
      </w:r>
      <w:r>
        <w:t xml:space="preserve"> </w:t>
      </w:r>
      <w:r>
        <w:t xml:space="preserve">Four-chain MCMC over a real nine-horizon WoSIS profile reaching 550 cm, fitted through the horizon-average operator with a lognormal likelihood, and converged on its own diagnostics (maximum split-</w:t>
      </w:r>
      <m:oMath>
        <m:acc>
          <m:accPr>
            <m:chr m:val="̂"/>
          </m:accPr>
          <m:e>
            <m:r>
              <m:t>R</m:t>
            </m:r>
          </m:e>
        </m:acc>
      </m:oMath>
      <w:r>
        <w:t xml:space="preserve"> </w:t>
      </w:r>
      <w:r>
        <w:t xml:space="preserve">1.007, minimum bulk ESS 760). Intervals are 2.5% and 97.5% posterior quantiles. The first four rows are the equation’s symbols, the next two the coordinates the model is estimated in, and the last the sampled observation noise, here a coefficient of variation.</w:t>
      </w:r>
    </w:p>
    <w:tbl>
      <w:tblPr>
        <w:tblStyle w:val="Table"/>
        <w:tblW w:type="pct" w:w="5000"/>
        <w:tblLayout w:type="fixed"/>
        <w:tblLook w:firstRow="1" w:lastRow="0" w:firstColumn="0" w:lastColumn="0" w:noHBand="0" w:noVBand="0" w:val="0020"/>
      </w:tblPr>
      <w:tblGrid>
        <w:gridCol w:w="726"/>
        <w:gridCol w:w="4940"/>
        <w:gridCol w:w="581"/>
        <w:gridCol w:w="581"/>
        <w:gridCol w:w="581"/>
        <w:gridCol w:w="508"/>
      </w:tblGrid>
      <w:tr>
        <w:trPr>
          <w:tblHeader w:val="on"/>
        </w:trPr>
        <w:tc>
          <w:tcPr/>
          <w:p>
            <w:pPr>
              <w:pStyle w:val="Compact"/>
              <w:jc w:val="left"/>
            </w:pPr>
            <w:r>
              <w:t xml:space="preserve">Parameter</w:t>
            </w:r>
          </w:p>
        </w:tc>
        <w:tc>
          <w:tcPr/>
          <w:p>
            <w:pPr>
              <w:pStyle w:val="Compact"/>
              <w:jc w:val="left"/>
            </w:pPr>
            <w:r>
              <w:t xml:space="preserve">Meaning</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2.5%</w:t>
            </w:r>
          </w:p>
        </w:tc>
        <w:tc>
          <w:tcPr/>
          <w:p>
            <w:pPr>
              <w:pStyle w:val="Compact"/>
              <w:jc w:val="right"/>
            </w:pPr>
            <w:r>
              <w:t xml:space="preserve">97.5%</w:t>
            </w:r>
          </w:p>
        </w:tc>
      </w:tr>
      <w:tr>
        <w:tc>
          <w:tcPr/>
          <w:p>
            <w:pPr>
              <w:pStyle w:val="Compact"/>
              <w:jc w:val="left"/>
            </w:pPr>
            <w:r>
              <w:t xml:space="preserve">lambda0</w:t>
            </w:r>
          </w:p>
        </w:tc>
        <w:tc>
          <w:tcPr/>
          <w:p>
            <w:pPr>
              <w:pStyle w:val="Compact"/>
              <w:jc w:val="left"/>
            </w:pPr>
            <w:r>
              <w:t xml:space="preserve">Surface decay rate of the pedogenetic ODE (cm^-1)</w:t>
            </w:r>
          </w:p>
        </w:tc>
        <w:tc>
          <w:tcPr/>
          <w:p>
            <w:pPr>
              <w:pStyle w:val="Compact"/>
              <w:jc w:val="right"/>
            </w:pPr>
            <w:r>
              <w:t xml:space="preserve">0.0087</w:t>
            </w:r>
          </w:p>
        </w:tc>
        <w:tc>
          <w:tcPr/>
          <w:p>
            <w:pPr>
              <w:pStyle w:val="Compact"/>
              <w:jc w:val="right"/>
            </w:pPr>
            <w:r>
              <w:t xml:space="preserve">0.0042</w:t>
            </w:r>
          </w:p>
        </w:tc>
        <w:tc>
          <w:tcPr/>
          <w:p>
            <w:pPr>
              <w:pStyle w:val="Compact"/>
              <w:jc w:val="right"/>
            </w:pPr>
            <w:r>
              <w:t xml:space="preserve">0.002</w:t>
            </w:r>
          </w:p>
        </w:tc>
        <w:tc>
          <w:tcPr/>
          <w:p>
            <w:pPr>
              <w:pStyle w:val="Compact"/>
              <w:jc w:val="right"/>
            </w:pPr>
            <w:r>
              <w:t xml:space="preserve">0.019</w:t>
            </w:r>
          </w:p>
        </w:tc>
      </w:tr>
      <w:tr>
        <w:tc>
          <w:tcPr/>
          <w:p>
            <w:pPr>
              <w:pStyle w:val="Compact"/>
              <w:jc w:val="left"/>
            </w:pPr>
            <w:r>
              <w:t xml:space="preserve">mu</w:t>
            </w:r>
          </w:p>
        </w:tc>
        <w:tc>
          <w:tcPr/>
          <w:p>
            <w:pPr>
              <w:pStyle w:val="Compact"/>
              <w:jc w:val="left"/>
            </w:pPr>
            <w:r>
              <w:t xml:space="preserve">Depth attenuation of that rate (cm^-1)</w:t>
            </w:r>
          </w:p>
        </w:tc>
        <w:tc>
          <w:tcPr/>
          <w:p>
            <w:pPr>
              <w:pStyle w:val="Compact"/>
              <w:jc w:val="right"/>
            </w:pPr>
            <w:r>
              <w:t xml:space="preserve">0.0039</w:t>
            </w:r>
          </w:p>
        </w:tc>
        <w:tc>
          <w:tcPr/>
          <w:p>
            <w:pPr>
              <w:pStyle w:val="Compact"/>
              <w:jc w:val="right"/>
            </w:pPr>
            <w:r>
              <w:t xml:space="preserve">0.0026</w:t>
            </w:r>
          </w:p>
        </w:tc>
        <w:tc>
          <w:tcPr/>
          <w:p>
            <w:pPr>
              <w:pStyle w:val="Compact"/>
              <w:jc w:val="right"/>
            </w:pPr>
            <w:r>
              <w:t xml:space="preserve">0.000</w:t>
            </w:r>
          </w:p>
        </w:tc>
        <w:tc>
          <w:tcPr/>
          <w:p>
            <w:pPr>
              <w:pStyle w:val="Compact"/>
              <w:jc w:val="right"/>
            </w:pPr>
            <w:r>
              <w:t xml:space="preserve">0.010</w:t>
            </w:r>
          </w:p>
        </w:tc>
      </w:tr>
      <w:tr>
        <w:tc>
          <w:tcPr/>
          <w:p>
            <w:pPr>
              <w:pStyle w:val="Compact"/>
              <w:jc w:val="left"/>
            </w:pPr>
            <w:r>
              <w:t xml:space="preserve">y_inf</w:t>
            </w:r>
          </w:p>
        </w:tc>
        <w:tc>
          <w:tcPr/>
          <w:p>
            <w:pPr>
              <w:pStyle w:val="Compact"/>
              <w:jc w:val="left"/>
            </w:pPr>
            <w:r>
              <w:t xml:space="preserve">Equilibrium coordinate of the ODE, not attained (g/kg)</w:t>
            </w:r>
          </w:p>
        </w:tc>
        <w:tc>
          <w:tcPr/>
          <w:p>
            <w:pPr>
              <w:pStyle w:val="Compact"/>
              <w:jc w:val="right"/>
            </w:pPr>
            <w:r>
              <w:t xml:space="preserve">-5.2912</w:t>
            </w:r>
          </w:p>
        </w:tc>
        <w:tc>
          <w:tcPr/>
          <w:p>
            <w:pPr>
              <w:pStyle w:val="Compact"/>
              <w:jc w:val="right"/>
            </w:pPr>
            <w:r>
              <w:t xml:space="preserve">16.3261</w:t>
            </w:r>
          </w:p>
        </w:tc>
        <w:tc>
          <w:tcPr/>
          <w:p>
            <w:pPr>
              <w:pStyle w:val="Compact"/>
              <w:jc w:val="right"/>
            </w:pPr>
            <w:r>
              <w:t xml:space="preserve">-52.075</w:t>
            </w:r>
          </w:p>
        </w:tc>
        <w:tc>
          <w:tcPr/>
          <w:p>
            <w:pPr>
              <w:pStyle w:val="Compact"/>
              <w:jc w:val="right"/>
            </w:pPr>
            <w:r>
              <w:t xml:space="preserve">3.518</w:t>
            </w:r>
          </w:p>
        </w:tc>
      </w:tr>
      <w:tr>
        <w:tc>
          <w:tcPr/>
          <w:p>
            <w:pPr>
              <w:pStyle w:val="Compact"/>
              <w:jc w:val="left"/>
            </w:pPr>
            <w:r>
              <w:t xml:space="preserve">y0</w:t>
            </w:r>
          </w:p>
        </w:tc>
        <w:tc>
          <w:tcPr/>
          <w:p>
            <w:pPr>
              <w:pStyle w:val="Compact"/>
              <w:jc w:val="left"/>
            </w:pPr>
            <w:r>
              <w:t xml:space="preserve">Fitted surface soil organic carbon (g/kg)</w:t>
            </w:r>
          </w:p>
        </w:tc>
        <w:tc>
          <w:tcPr/>
          <w:p>
            <w:pPr>
              <w:pStyle w:val="Compact"/>
              <w:jc w:val="right"/>
            </w:pPr>
            <w:r>
              <w:t xml:space="preserve">23.8413</w:t>
            </w:r>
          </w:p>
        </w:tc>
        <w:tc>
          <w:tcPr/>
          <w:p>
            <w:pPr>
              <w:pStyle w:val="Compact"/>
              <w:jc w:val="right"/>
            </w:pPr>
            <w:r>
              <w:t xml:space="preserve">4.5278</w:t>
            </w:r>
          </w:p>
        </w:tc>
        <w:tc>
          <w:tcPr/>
          <w:p>
            <w:pPr>
              <w:pStyle w:val="Compact"/>
              <w:jc w:val="right"/>
            </w:pPr>
            <w:r>
              <w:t xml:space="preserve">17.208</w:t>
            </w:r>
          </w:p>
        </w:tc>
        <w:tc>
          <w:tcPr/>
          <w:p>
            <w:pPr>
              <w:pStyle w:val="Compact"/>
              <w:jc w:val="right"/>
            </w:pPr>
            <w:r>
              <w:t xml:space="preserve">35.111</w:t>
            </w:r>
          </w:p>
        </w:tc>
      </w:tr>
      <w:tr>
        <w:tc>
          <w:tcPr/>
          <w:p>
            <w:pPr>
              <w:pStyle w:val="Compact"/>
              <w:jc w:val="left"/>
            </w:pPr>
            <w:r>
              <w:t xml:space="preserve">kappa</w:t>
            </w:r>
          </w:p>
        </w:tc>
        <w:tc>
          <w:tcPr/>
          <w:p>
            <w:pPr>
              <w:pStyle w:val="Compact"/>
              <w:jc w:val="left"/>
            </w:pPr>
            <w:r>
              <w:t xml:space="preserve">Total relaxation lambda0/mu; fraction of gap closed = 1-exp(-kappa)</w:t>
            </w:r>
          </w:p>
        </w:tc>
        <w:tc>
          <w:tcPr/>
          <w:p>
            <w:pPr>
              <w:pStyle w:val="Compact"/>
              <w:jc w:val="right"/>
            </w:pPr>
            <w:r>
              <w:t xml:space="preserve">4.3052</w:t>
            </w:r>
          </w:p>
        </w:tc>
        <w:tc>
          <w:tcPr/>
          <w:p>
            <w:pPr>
              <w:pStyle w:val="Compact"/>
              <w:jc w:val="right"/>
            </w:pPr>
            <w:r>
              <w:t xml:space="preserve">7.2073</w:t>
            </w:r>
          </w:p>
        </w:tc>
        <w:tc>
          <w:tcPr/>
          <w:p>
            <w:pPr>
              <w:pStyle w:val="Compact"/>
              <w:jc w:val="right"/>
            </w:pPr>
            <w:r>
              <w:t xml:space="preserve">0.327</w:t>
            </w:r>
          </w:p>
        </w:tc>
        <w:tc>
          <w:tcPr/>
          <w:p>
            <w:pPr>
              <w:pStyle w:val="Compact"/>
              <w:jc w:val="right"/>
            </w:pPr>
            <w:r>
              <w:t xml:space="preserve">20.147</w:t>
            </w:r>
          </w:p>
        </w:tc>
      </w:tr>
      <w:tr>
        <w:tc>
          <w:tcPr/>
          <w:p>
            <w:pPr>
              <w:pStyle w:val="Compact"/>
              <w:jc w:val="left"/>
            </w:pPr>
            <w:r>
              <w:t xml:space="preserve">y_asym</w:t>
            </w:r>
          </w:p>
        </w:tc>
        <w:tc>
          <w:tcPr/>
          <w:p>
            <w:pPr>
              <w:pStyle w:val="Compact"/>
              <w:jc w:val="left"/>
            </w:pPr>
            <w:r>
              <w:t xml:space="preserve">Attainable deep soil organic carbon, y(Inf) (g/kg)</w:t>
            </w:r>
          </w:p>
        </w:tc>
        <w:tc>
          <w:tcPr/>
          <w:p>
            <w:pPr>
              <w:pStyle w:val="Compact"/>
              <w:jc w:val="right"/>
            </w:pPr>
            <w:r>
              <w:t xml:space="preserve">2.0481</w:t>
            </w:r>
          </w:p>
        </w:tc>
        <w:tc>
          <w:tcPr/>
          <w:p>
            <w:pPr>
              <w:pStyle w:val="Compact"/>
              <w:jc w:val="right"/>
            </w:pPr>
            <w:r>
              <w:t xml:space="preserve">0.9523</w:t>
            </w:r>
          </w:p>
        </w:tc>
        <w:tc>
          <w:tcPr/>
          <w:p>
            <w:pPr>
              <w:pStyle w:val="Compact"/>
              <w:jc w:val="right"/>
            </w:pPr>
            <w:r>
              <w:t xml:space="preserve">0.417</w:t>
            </w:r>
          </w:p>
        </w:tc>
        <w:tc>
          <w:tcPr/>
          <w:p>
            <w:pPr>
              <w:pStyle w:val="Compact"/>
              <w:jc w:val="right"/>
            </w:pPr>
            <w:r>
              <w:t xml:space="preserve">3.990</w:t>
            </w:r>
          </w:p>
        </w:tc>
      </w:tr>
      <w:tr>
        <w:tc>
          <w:tcPr/>
          <w:p>
            <w:pPr>
              <w:pStyle w:val="Compact"/>
              <w:jc w:val="left"/>
            </w:pPr>
            <w:r>
              <w:t xml:space="preserve">sigma</w:t>
            </w:r>
          </w:p>
        </w:tc>
        <w:tc>
          <w:tcPr/>
          <w:p>
            <w:pPr>
              <w:pStyle w:val="Compact"/>
              <w:jc w:val="left"/>
            </w:pPr>
            <w:r>
              <w:t xml:space="preserve">NA</w:t>
            </w:r>
          </w:p>
        </w:tc>
        <w:tc>
          <w:tcPr/>
          <w:p>
            <w:pPr>
              <w:pStyle w:val="Compact"/>
              <w:jc w:val="right"/>
            </w:pPr>
            <w:r>
              <w:t xml:space="preserve">0.2297</w:t>
            </w:r>
          </w:p>
        </w:tc>
        <w:tc>
          <w:tcPr/>
          <w:p>
            <w:pPr>
              <w:pStyle w:val="Compact"/>
              <w:jc w:val="right"/>
            </w:pPr>
            <w:r>
              <w:t xml:space="preserve">0.0745</w:t>
            </w:r>
          </w:p>
        </w:tc>
        <w:tc>
          <w:tcPr/>
          <w:p>
            <w:pPr>
              <w:pStyle w:val="Compact"/>
              <w:jc w:val="right"/>
            </w:pPr>
            <w:r>
              <w:t xml:space="preserve">0.131</w:t>
            </w:r>
          </w:p>
        </w:tc>
        <w:tc>
          <w:tcPr/>
          <w:p>
            <w:pPr>
              <w:pStyle w:val="Compact"/>
              <w:jc w:val="right"/>
            </w:pPr>
            <w:r>
              <w:t xml:space="preserve">0.414</w:t>
            </w:r>
          </w:p>
        </w:tc>
      </w:tr>
    </w:tbl>
    <w:p>
      <w:pPr>
        <w:pStyle w:val="BodyText"/>
      </w:pPr>
      <w:r>
        <w:drawing>
          <wp:inline>
            <wp:extent cx="5334000" cy="2950723"/>
            <wp:effectExtent b="0" l="0" r="0" t="0"/>
            <wp:docPr descr="" title="" id="17" name="Picture"/>
            <a:graphic>
              <a:graphicData uri="http://schemas.openxmlformats.org/drawingml/2006/picture">
                <pic:pic>
                  <pic:nvPicPr>
                    <pic:cNvPr descr="plos-manuscript_files/figures/Fig3.png" id="18" name="Picture"/>
                    <pic:cNvPicPr>
                      <a:picLocks noChangeArrowheads="1" noChangeAspect="1"/>
                    </pic:cNvPicPr>
                  </pic:nvPicPr>
                  <pic:blipFill>
                    <a:blip r:embed="rId16"/>
                    <a:stretch>
                      <a:fillRect/>
                    </a:stretch>
                  </pic:blipFill>
                  <pic:spPr bwMode="auto">
                    <a:xfrm>
                      <a:off x="0" y="0"/>
                      <a:ext cx="5334000" cy="2950723"/>
                    </a:xfrm>
                    <a:prstGeom prst="rect">
                      <a:avLst/>
                    </a:prstGeom>
                    <a:noFill/>
                    <a:ln w="9525">
                      <a:noFill/>
                      <a:headEnd/>
                      <a:tailEnd/>
                    </a:ln>
                  </pic:spPr>
                </pic:pic>
              </a:graphicData>
            </a:graphic>
          </wp:inline>
        </w:drawing>
      </w:r>
    </w:p>
    <w:p>
      <w:pPr>
        <w:pStyle w:val="BodyText"/>
      </w:pPr>
      <w:r>
        <w:rPr>
          <w:b/>
          <w:bCs/>
        </w:rPr>
        <w:t xml:space="preserve">Fig 3. A depth profile as the solution of a pedogenetic equation.</w:t>
      </w:r>
      <w:r>
        <w:t xml:space="preserve"> </w:t>
      </w:r>
      <w:r>
        <w:t xml:space="preserve">(A) The fitted mean (line) against the nine measured horizons (points), with the attained deep value</w:t>
      </w:r>
      <w:r>
        <w:t xml:space="preserve"> </w:t>
      </w:r>
      <m:oMath>
        <m:r>
          <m:t>y</m:t>
        </m:r>
        <m:r>
          <m:rPr>
            <m:sty m:val="p"/>
          </m:rPr>
          <m:t>(</m:t>
        </m:r>
        <m:r>
          <m:rPr>
            <m:sty m:val="p"/>
          </m:rPr>
          <m:t>∞</m:t>
        </m:r>
        <m:r>
          <m:rPr>
            <m:sty m:val="p"/>
          </m:rPr>
          <m:t>)</m:t>
        </m:r>
      </m:oMath>
      <w:r>
        <w:t xml:space="preserve"> </w:t>
      </w:r>
      <w:r>
        <w:t xml:space="preserve">and the unattained coordinate</w:t>
      </w:r>
      <w:r>
        <w:t xml:space="preserve"> </w:t>
      </w:r>
      <m:oMath>
        <m:sSub>
          <m:e>
            <m:r>
              <m:t>y</m:t>
            </m:r>
          </m:e>
          <m:sub>
            <m:r>
              <m:rPr>
                <m:sty m:val="p"/>
              </m:rPr>
              <m:t>∞</m:t>
            </m:r>
          </m:sub>
        </m:sSub>
      </m:oMath>
      <w:r>
        <w:t xml:space="preserve"> </w:t>
      </w:r>
      <w:r>
        <w:t xml:space="preserve">marked. Two ribbons are drawn because they claim different things: the inner is the 95%</w:t>
      </w:r>
      <w:r>
        <w:t xml:space="preserve"> </w:t>
      </w:r>
      <w:r>
        <w:rPr>
          <w:i/>
          <w:iCs/>
        </w:rPr>
        <w:t xml:space="preserve">pointwise</w:t>
      </w:r>
      <w:r>
        <w:t xml:space="preserve"> </w:t>
      </w:r>
      <w:r>
        <w:t xml:space="preserve">band, which covers each depth taken separately, and the outer is the 95%</w:t>
      </w:r>
      <w:r>
        <w:t xml:space="preserve"> </w:t>
      </w:r>
      <w:r>
        <w:rPr>
          <w:i/>
          <w:iCs/>
        </w:rPr>
        <w:t xml:space="preserve">simultaneous</w:t>
      </w:r>
      <w:r>
        <w:t xml:space="preserve"> </w:t>
      </w:r>
      <w:r>
        <w:t xml:space="preserve">(sup-t) band</w:t>
      </w:r>
      <w:r>
        <w:t xml:space="preserve"> </w:t>
      </w:r>
      <w:r>
        <w:t xml:space="preserve">[9]</w:t>
      </w:r>
      <w:r>
        <w:t xml:space="preserve">, which covers the whole curve. Over the 120 depths plotted the distinction is not decorative — resampling the posterior draws through this fit, the pointwise ribbon contains a complete curve only 80% of the time. A single ribbon labelled</w:t>
      </w:r>
      <w:r>
        <w:t xml:space="preserve"> </w:t>
      </w:r>
      <w:r>
        <w:t xml:space="preserve">“the 95% band”</w:t>
      </w:r>
      <w:r>
        <w:t xml:space="preserve"> </w:t>
      </w:r>
      <w:r>
        <w:t xml:space="preserve">for a profile is the pointwise one, and it overstates its coverage. (B) Posterior mean and 95% interval for each parameter; the attainable deep value is identified and strictly positive, while</w:t>
      </w:r>
      <w:r>
        <w:t xml:space="preserve"> </w:t>
      </w:r>
      <m:oMath>
        <m:sSub>
          <m:e>
            <m:r>
              <m:t>y</m:t>
            </m:r>
          </m:e>
          <m:sub>
            <m:r>
              <m:rPr>
                <m:sty m:val="p"/>
              </m:rPr>
              <m:t>∞</m:t>
            </m:r>
          </m:sub>
        </m:sSub>
      </m:oMath>
      <w:r>
        <w:t xml:space="preserve"> </w:t>
      </w:r>
      <w:r>
        <w:t xml:space="preserve">is not identified and its interval crosses into impossible territory.</w:t>
      </w:r>
    </w:p>
    <w:p>
      <w:pPr>
        <w:pStyle w:val="BodyText"/>
      </w:pPr>
      <w:r>
        <w:t xml:space="preserve">The surface concentration is 23.8 g/kg with an interval 17.9 g/kg wide, and the attainable deep value is identified and admissible at 2.05 g/kg, interval [0.42, 3.99]. The coordinate</w:t>
      </w:r>
      <w:r>
        <w:t xml:space="preserve"> </w:t>
      </w:r>
      <m:oMath>
        <m:sSub>
          <m:e>
            <m:r>
              <m:t>y</m:t>
            </m:r>
          </m:e>
          <m:sub>
            <m:r>
              <m:rPr>
                <m:sty m:val="p"/>
              </m:rPr>
              <m:t>∞</m:t>
            </m:r>
          </m:sub>
        </m:sSub>
      </m:oMath>
      <w:r>
        <w:t xml:space="preserve"> </w:t>
      </w:r>
      <w:r>
        <w:t xml:space="preserve">is not identified: its interval, [-52.1, 3.5], is 15.6 times wider and reaches into negative carbon. Nine horizons to 550 cm do constrain where the profile is heading; what they cannot do is locate a coordinate the profile never visits. The last row is the observation noise, a coefficient of variation of 0.23 — a 23% relative error, which is the right order for laboratory organic carbon and would have been an uninterpretable 1.5 g/kg under the Gaussian.</w:t>
      </w:r>
    </w:p>
    <w:p>
      <w:pPr>
        <w:pStyle w:val="BodyText"/>
      </w:pPr>
      <w:r>
        <w:rPr>
          <w:b/>
          <w:bCs/>
        </w:rPr>
        <w:t xml:space="preserve">The approximation we used to report matters here.</w:t>
      </w:r>
      <w:r>
        <w:t xml:space="preserve"> </w:t>
      </w:r>
      <w:r>
        <w:t xml:space="preserve">Through an earlier version of this work every Bayesian number above came from a Laplace approximation, and on this pedon it misrepresents the posterior in a specific and reproducible way. Being Gaussian on the log coordinates, it is too light-tailed, and 5 of the 7 intervals come out narrower than the sampler’s —</w:t>
      </w:r>
      <w:r>
        <w:t xml:space="preserve"> </w:t>
      </w:r>
      <m:oMath>
        <m:r>
          <m:t>κ</m:t>
        </m:r>
      </m:oMath>
      <w:r>
        <w:t xml:space="preserve"> </w:t>
      </w:r>
      <w:r>
        <w:t xml:space="preserve">and</w:t>
      </w:r>
      <w:r>
        <w:t xml:space="preserve"> </w:t>
      </w:r>
      <m:oMath>
        <m:sSub>
          <m:e>
            <m:r>
              <m:t>y</m:t>
            </m:r>
          </m:e>
          <m:sub>
            <m:r>
              <m:rPr>
                <m:sty m:val="p"/>
              </m:rPr>
              <m:t>∞</m:t>
            </m:r>
          </m:sub>
        </m:sSub>
      </m:oMath>
      <w:r>
        <w:t xml:space="preserve"> </w:t>
      </w:r>
      <w:r>
        <w:t xml:space="preserve">by a factor above two, the observation noise by 1.8. That last one is not a technicality: the coefficient of variation reads 0.168 under Laplace against 0.230 here, the difference between claiming a 17% and a 23% laboratory error.</w:t>
      </w:r>
    </w:p>
    <w:p>
      <w:pPr>
        <w:pStyle w:val="BodyText"/>
      </w:pPr>
      <w:r>
        <w:t xml:space="preserve">Two rows do not follow the pattern, and both are informative. The attainable deep value</w:t>
      </w:r>
      <w:r>
        <w:t xml:space="preserve"> </w:t>
      </w:r>
      <m:oMath>
        <m:r>
          <m:t>y</m:t>
        </m:r>
        <m:r>
          <m:rPr>
            <m:sty m:val="p"/>
          </m:rPr>
          <m:t>(</m:t>
        </m:r>
        <m:r>
          <m:rPr>
            <m:sty m:val="p"/>
          </m:rPr>
          <m:t>∞</m:t>
        </m:r>
        <m:r>
          <m:rPr>
            <m:sty m:val="p"/>
          </m:rPr>
          <m:t>)</m:t>
        </m:r>
      </m:oMath>
      <w:r>
        <w:t xml:space="preserve"> </w:t>
      </w:r>
      <w:r>
        <w:t xml:space="preserve">is essentially unchanged (width ratio 1.01), and</w:t>
      </w:r>
      <w:r>
        <w:t xml:space="preserve"> </w:t>
      </w:r>
      <m:oMath>
        <m:r>
          <m:t>μ</m:t>
        </m:r>
      </m:oMath>
      <w:r>
        <w:t xml:space="preserve"> </w:t>
      </w:r>
      <w:r>
        <w:t xml:space="preserve">is actually</w:t>
      </w:r>
      <w:r>
        <w:t xml:space="preserve"> </w:t>
      </w:r>
      <w:r>
        <w:rPr>
          <w:i/>
          <w:iCs/>
        </w:rPr>
        <w:t xml:space="preserve">wider</w:t>
      </w:r>
      <w:r>
        <w:t xml:space="preserve"> </w:t>
      </w:r>
      <w:r>
        <w:t xml:space="preserve">under the approximation (0.85). So this is not a uniform inflation: the quantity the data identify is robust to how the posterior is approximated, and the quantities they do not identify are the ones that move. That is the same division the rest of this section reports, arrived at by a different route.</w:t>
      </w:r>
    </w:p>
    <w:tbl>
      <w:tblPr>
        <w:tblStyle w:val="Table"/>
        <w:tblW w:type="pct" w:w="5000"/>
        <w:tblLayout w:type="fixed"/>
        <w:tblLook w:firstRow="1" w:lastRow="0" w:firstColumn="0" w:lastColumn="0" w:noHBand="0" w:noVBand="0" w:val="0020"/>
      </w:tblPr>
      <w:tblGrid>
        <w:gridCol w:w="1131"/>
        <w:gridCol w:w="1470"/>
        <w:gridCol w:w="1131"/>
        <w:gridCol w:w="1584"/>
        <w:gridCol w:w="1244"/>
        <w:gridCol w:w="1357"/>
      </w:tblGrid>
      <w:tr>
        <w:trPr>
          <w:tblHeader w:val="on"/>
        </w:trPr>
        <w:tc>
          <w:tcPr/>
          <w:p>
            <w:pPr>
              <w:pStyle w:val="Compact"/>
              <w:jc w:val="left"/>
            </w:pPr>
            <w:r>
              <w:t xml:space="preserve">Parameter</w:t>
            </w:r>
          </w:p>
        </w:tc>
        <w:tc>
          <w:tcPr/>
          <w:p>
            <w:pPr>
              <w:pStyle w:val="Compact"/>
              <w:jc w:val="right"/>
            </w:pPr>
            <w:r>
              <w:t xml:space="preserve">Laplace mean</w:t>
            </w:r>
          </w:p>
        </w:tc>
        <w:tc>
          <w:tcPr/>
          <w:p>
            <w:pPr>
              <w:pStyle w:val="Compact"/>
              <w:jc w:val="right"/>
            </w:pPr>
            <w:r>
              <w:t xml:space="preserve">MCMC mean</w:t>
            </w:r>
          </w:p>
        </w:tc>
        <w:tc>
          <w:tcPr/>
          <w:p>
            <w:pPr>
              <w:pStyle w:val="Compact"/>
              <w:jc w:val="right"/>
            </w:pPr>
            <w:r>
              <w:t xml:space="preserve">Laplace width</w:t>
            </w:r>
          </w:p>
        </w:tc>
        <w:tc>
          <w:tcPr/>
          <w:p>
            <w:pPr>
              <w:pStyle w:val="Compact"/>
              <w:jc w:val="right"/>
            </w:pPr>
            <w:r>
              <w:t xml:space="preserve">MCMC width</w:t>
            </w:r>
          </w:p>
        </w:tc>
        <w:tc>
          <w:tcPr/>
          <w:p>
            <w:pPr>
              <w:pStyle w:val="Compact"/>
              <w:jc w:val="right"/>
            </w:pPr>
            <w:r>
              <w:t xml:space="preserve">Width ratio</w:t>
            </w:r>
          </w:p>
        </w:tc>
      </w:tr>
      <w:tr>
        <w:tc>
          <w:tcPr/>
          <w:p>
            <w:pPr>
              <w:pStyle w:val="Compact"/>
              <w:jc w:val="left"/>
            </w:pPr>
            <w:r>
              <w:t xml:space="preserve">kappa</w:t>
            </w:r>
          </w:p>
        </w:tc>
        <w:tc>
          <w:tcPr/>
          <w:p>
            <w:pPr>
              <w:pStyle w:val="Compact"/>
              <w:jc w:val="right"/>
            </w:pPr>
            <w:r>
              <w:t xml:space="preserve">3.0343</w:t>
            </w:r>
          </w:p>
        </w:tc>
        <w:tc>
          <w:tcPr/>
          <w:p>
            <w:pPr>
              <w:pStyle w:val="Compact"/>
              <w:jc w:val="right"/>
            </w:pPr>
            <w:r>
              <w:t xml:space="preserve">4.3052</w:t>
            </w:r>
          </w:p>
        </w:tc>
        <w:tc>
          <w:tcPr/>
          <w:p>
            <w:pPr>
              <w:pStyle w:val="Compact"/>
              <w:jc w:val="right"/>
            </w:pPr>
            <w:r>
              <w:t xml:space="preserve">8.777</w:t>
            </w:r>
          </w:p>
        </w:tc>
        <w:tc>
          <w:tcPr/>
          <w:p>
            <w:pPr>
              <w:pStyle w:val="Compact"/>
              <w:jc w:val="right"/>
            </w:pPr>
            <w:r>
              <w:t xml:space="preserve">19.820</w:t>
            </w:r>
          </w:p>
        </w:tc>
        <w:tc>
          <w:tcPr/>
          <w:p>
            <w:pPr>
              <w:pStyle w:val="Compact"/>
              <w:jc w:val="right"/>
            </w:pPr>
            <w:r>
              <w:t xml:space="preserve">2.26</w:t>
            </w:r>
          </w:p>
        </w:tc>
      </w:tr>
      <w:tr>
        <w:tc>
          <w:tcPr/>
          <w:p>
            <w:pPr>
              <w:pStyle w:val="Compact"/>
              <w:jc w:val="left"/>
            </w:pPr>
            <w:r>
              <w:t xml:space="preserve">lambda0</w:t>
            </w:r>
          </w:p>
        </w:tc>
        <w:tc>
          <w:tcPr/>
          <w:p>
            <w:pPr>
              <w:pStyle w:val="Compact"/>
              <w:jc w:val="right"/>
            </w:pPr>
            <w:r>
              <w:t xml:space="preserve">0.0105</w:t>
            </w:r>
          </w:p>
        </w:tc>
        <w:tc>
          <w:tcPr/>
          <w:p>
            <w:pPr>
              <w:pStyle w:val="Compact"/>
              <w:jc w:val="right"/>
            </w:pPr>
            <w:r>
              <w:t xml:space="preserve">0.0087</w:t>
            </w:r>
          </w:p>
        </w:tc>
        <w:tc>
          <w:tcPr/>
          <w:p>
            <w:pPr>
              <w:pStyle w:val="Compact"/>
              <w:jc w:val="right"/>
            </w:pPr>
            <w:r>
              <w:t xml:space="preserve">0.014</w:t>
            </w:r>
          </w:p>
        </w:tc>
        <w:tc>
          <w:tcPr/>
          <w:p>
            <w:pPr>
              <w:pStyle w:val="Compact"/>
              <w:jc w:val="right"/>
            </w:pPr>
            <w:r>
              <w:t xml:space="preserve">0.017</w:t>
            </w:r>
          </w:p>
        </w:tc>
        <w:tc>
          <w:tcPr/>
          <w:p>
            <w:pPr>
              <w:pStyle w:val="Compact"/>
              <w:jc w:val="right"/>
            </w:pPr>
            <w:r>
              <w:t xml:space="preserve">1.21</w:t>
            </w:r>
          </w:p>
        </w:tc>
      </w:tr>
      <w:tr>
        <w:tc>
          <w:tcPr/>
          <w:p>
            <w:pPr>
              <w:pStyle w:val="Compact"/>
              <w:jc w:val="left"/>
            </w:pPr>
            <w:r>
              <w:t xml:space="preserve">mu</w:t>
            </w:r>
          </w:p>
        </w:tc>
        <w:tc>
          <w:tcPr/>
          <w:p>
            <w:pPr>
              <w:pStyle w:val="Compact"/>
              <w:jc w:val="right"/>
            </w:pPr>
            <w:r>
              <w:t xml:space="preserve">0.0048</w:t>
            </w:r>
          </w:p>
        </w:tc>
        <w:tc>
          <w:tcPr/>
          <w:p>
            <w:pPr>
              <w:pStyle w:val="Compact"/>
              <w:jc w:val="right"/>
            </w:pPr>
            <w:r>
              <w:t xml:space="preserve">0.0039</w:t>
            </w:r>
          </w:p>
        </w:tc>
        <w:tc>
          <w:tcPr/>
          <w:p>
            <w:pPr>
              <w:pStyle w:val="Compact"/>
              <w:jc w:val="right"/>
            </w:pPr>
            <w:r>
              <w:t xml:space="preserve">0.011</w:t>
            </w:r>
          </w:p>
        </w:tc>
        <w:tc>
          <w:tcPr/>
          <w:p>
            <w:pPr>
              <w:pStyle w:val="Compact"/>
              <w:jc w:val="right"/>
            </w:pPr>
            <w:r>
              <w:t xml:space="preserve">0.010</w:t>
            </w:r>
          </w:p>
        </w:tc>
        <w:tc>
          <w:tcPr/>
          <w:p>
            <w:pPr>
              <w:pStyle w:val="Compact"/>
              <w:jc w:val="right"/>
            </w:pPr>
            <w:r>
              <w:t xml:space="preserve">0.85</w:t>
            </w:r>
          </w:p>
        </w:tc>
      </w:tr>
      <w:tr>
        <w:tc>
          <w:tcPr/>
          <w:p>
            <w:pPr>
              <w:pStyle w:val="Compact"/>
              <w:jc w:val="left"/>
            </w:pPr>
            <w:r>
              <w:t xml:space="preserve">sigma</w:t>
            </w:r>
          </w:p>
        </w:tc>
        <w:tc>
          <w:tcPr/>
          <w:p>
            <w:pPr>
              <w:pStyle w:val="Compact"/>
              <w:jc w:val="right"/>
            </w:pPr>
            <w:r>
              <w:t xml:space="preserve">0.1684</w:t>
            </w:r>
          </w:p>
        </w:tc>
        <w:tc>
          <w:tcPr/>
          <w:p>
            <w:pPr>
              <w:pStyle w:val="Compact"/>
              <w:jc w:val="right"/>
            </w:pPr>
            <w:r>
              <w:t xml:space="preserve">0.2297</w:t>
            </w:r>
          </w:p>
        </w:tc>
        <w:tc>
          <w:tcPr/>
          <w:p>
            <w:pPr>
              <w:pStyle w:val="Compact"/>
              <w:jc w:val="right"/>
            </w:pPr>
            <w:r>
              <w:t xml:space="preserve">0.157</w:t>
            </w:r>
          </w:p>
        </w:tc>
        <w:tc>
          <w:tcPr/>
          <w:p>
            <w:pPr>
              <w:pStyle w:val="Compact"/>
              <w:jc w:val="right"/>
            </w:pPr>
            <w:r>
              <w:t xml:space="preserve">0.284</w:t>
            </w:r>
          </w:p>
        </w:tc>
        <w:tc>
          <w:tcPr/>
          <w:p>
            <w:pPr>
              <w:pStyle w:val="Compact"/>
              <w:jc w:val="right"/>
            </w:pPr>
            <w:r>
              <w:t xml:space="preserve">1.81</w:t>
            </w:r>
          </w:p>
        </w:tc>
      </w:tr>
      <w:tr>
        <w:tc>
          <w:tcPr/>
          <w:p>
            <w:pPr>
              <w:pStyle w:val="Compact"/>
              <w:jc w:val="left"/>
            </w:pPr>
            <w:r>
              <w:t xml:space="preserve">y_asym</w:t>
            </w:r>
          </w:p>
        </w:tc>
        <w:tc>
          <w:tcPr/>
          <w:p>
            <w:pPr>
              <w:pStyle w:val="Compact"/>
              <w:jc w:val="right"/>
            </w:pPr>
            <w:r>
              <w:t xml:space="preserve">2.2205</w:t>
            </w:r>
          </w:p>
        </w:tc>
        <w:tc>
          <w:tcPr/>
          <w:p>
            <w:pPr>
              <w:pStyle w:val="Compact"/>
              <w:jc w:val="right"/>
            </w:pPr>
            <w:r>
              <w:t xml:space="preserve">2.0481</w:t>
            </w:r>
          </w:p>
        </w:tc>
        <w:tc>
          <w:tcPr/>
          <w:p>
            <w:pPr>
              <w:pStyle w:val="Compact"/>
              <w:jc w:val="right"/>
            </w:pPr>
            <w:r>
              <w:t xml:space="preserve">3.533</w:t>
            </w:r>
          </w:p>
        </w:tc>
        <w:tc>
          <w:tcPr/>
          <w:p>
            <w:pPr>
              <w:pStyle w:val="Compact"/>
              <w:jc w:val="right"/>
            </w:pPr>
            <w:r>
              <w:t xml:space="preserve">3.573</w:t>
            </w:r>
          </w:p>
        </w:tc>
        <w:tc>
          <w:tcPr/>
          <w:p>
            <w:pPr>
              <w:pStyle w:val="Compact"/>
              <w:jc w:val="right"/>
            </w:pPr>
            <w:r>
              <w:t xml:space="preserve">1.01</w:t>
            </w:r>
          </w:p>
        </w:tc>
      </w:tr>
      <w:tr>
        <w:tc>
          <w:tcPr/>
          <w:p>
            <w:pPr>
              <w:pStyle w:val="Compact"/>
              <w:jc w:val="left"/>
            </w:pPr>
            <w:r>
              <w:t xml:space="preserve">y_inf</w:t>
            </w:r>
          </w:p>
        </w:tc>
        <w:tc>
          <w:tcPr/>
          <w:p>
            <w:pPr>
              <w:pStyle w:val="Compact"/>
              <w:jc w:val="right"/>
            </w:pPr>
            <w:r>
              <w:t xml:space="preserve">-2.2916</w:t>
            </w:r>
          </w:p>
        </w:tc>
        <w:tc>
          <w:tcPr/>
          <w:p>
            <w:pPr>
              <w:pStyle w:val="Compact"/>
              <w:jc w:val="right"/>
            </w:pPr>
            <w:r>
              <w:t xml:space="preserve">-5.2912</w:t>
            </w:r>
          </w:p>
        </w:tc>
        <w:tc>
          <w:tcPr/>
          <w:p>
            <w:pPr>
              <w:pStyle w:val="Compact"/>
              <w:jc w:val="right"/>
            </w:pPr>
            <w:r>
              <w:t xml:space="preserve">23.703</w:t>
            </w:r>
          </w:p>
        </w:tc>
        <w:tc>
          <w:tcPr/>
          <w:p>
            <w:pPr>
              <w:pStyle w:val="Compact"/>
              <w:jc w:val="right"/>
            </w:pPr>
            <w:r>
              <w:t xml:space="preserve">55.593</w:t>
            </w:r>
          </w:p>
        </w:tc>
        <w:tc>
          <w:tcPr/>
          <w:p>
            <w:pPr>
              <w:pStyle w:val="Compact"/>
              <w:jc w:val="right"/>
            </w:pPr>
            <w:r>
              <w:t xml:space="preserve">2.35</w:t>
            </w:r>
          </w:p>
        </w:tc>
      </w:tr>
      <w:tr>
        <w:tc>
          <w:tcPr/>
          <w:p>
            <w:pPr>
              <w:pStyle w:val="Compact"/>
              <w:jc w:val="left"/>
            </w:pPr>
            <w:r>
              <w:t xml:space="preserve">y0</w:t>
            </w:r>
          </w:p>
        </w:tc>
        <w:tc>
          <w:tcPr/>
          <w:p>
            <w:pPr>
              <w:pStyle w:val="Compact"/>
              <w:jc w:val="right"/>
            </w:pPr>
            <w:r>
              <w:t xml:space="preserve">24.2147</w:t>
            </w:r>
          </w:p>
        </w:tc>
        <w:tc>
          <w:tcPr/>
          <w:p>
            <w:pPr>
              <w:pStyle w:val="Compact"/>
              <w:jc w:val="right"/>
            </w:pPr>
            <w:r>
              <w:t xml:space="preserve">23.8413</w:t>
            </w:r>
          </w:p>
        </w:tc>
        <w:tc>
          <w:tcPr/>
          <w:p>
            <w:pPr>
              <w:pStyle w:val="Compact"/>
              <w:jc w:val="right"/>
            </w:pPr>
            <w:r>
              <w:t xml:space="preserve">12.580</w:t>
            </w:r>
          </w:p>
        </w:tc>
        <w:tc>
          <w:tcPr/>
          <w:p>
            <w:pPr>
              <w:pStyle w:val="Compact"/>
              <w:jc w:val="right"/>
            </w:pPr>
            <w:r>
              <w:t xml:space="preserve">17.904</w:t>
            </w:r>
          </w:p>
        </w:tc>
        <w:tc>
          <w:tcPr/>
          <w:p>
            <w:pPr>
              <w:pStyle w:val="Compact"/>
              <w:jc w:val="right"/>
            </w:pPr>
            <w:r>
              <w:t xml:space="preserve">1.42</w:t>
            </w:r>
          </w:p>
        </w:tc>
      </w:tr>
    </w:tbl>
    <w:p>
      <w:pPr>
        <w:pStyle w:val="BodyText"/>
      </w:pPr>
      <w:r>
        <w:rPr>
          <w:b/>
          <w:bCs/>
        </w:rPr>
        <w:t xml:space="preserve">Table 3. What the Laplace approximation costs on this posterior.</w:t>
      </w:r>
      <w:r>
        <w:t xml:space="preserve"> </w:t>
      </w:r>
      <w:r>
        <w:t xml:space="preserve">Widths are 95% interval widths; the ratio is MCMC over Laplace, so a value above 1 means the approximation was too confident. Both fits use the same data, likelihood, operator and seed.</w:t>
      </w:r>
    </w:p>
    <w:p>
      <w:pPr>
        <w:pStyle w:val="BodyText"/>
      </w:pPr>
      <w:r>
        <w:t xml:space="preserve">The derived coordinate</w:t>
      </w:r>
      <w:r>
        <w:t xml:space="preserve"> </w:t>
      </w:r>
      <m:oMath>
        <m:sSub>
          <m:e>
            <m:r>
              <m:t>y</m:t>
            </m:r>
          </m:e>
          <m:sub>
            <m:r>
              <m:rPr>
                <m:sty m:val="p"/>
              </m:rPr>
              <m:t>∞</m:t>
            </m:r>
          </m:sub>
        </m:sSub>
      </m:oMath>
      <w:r>
        <w:t xml:space="preserve"> </w:t>
      </w:r>
      <w:r>
        <w:t xml:space="preserve">disagrees far more than the rest, and the reason is diagnosable rather than being sampler noise. Because</w:t>
      </w:r>
      <w:r>
        <w:t xml:space="preserve"> </w:t>
      </w:r>
      <m:oMath>
        <m:sSub>
          <m:e>
            <m:r>
              <m:t>y</m:t>
            </m:r>
          </m:e>
          <m:sub>
            <m:r>
              <m:rPr>
                <m:sty m:val="p"/>
              </m:rPr>
              <m:t>∞</m:t>
            </m:r>
          </m:sub>
        </m:sSub>
        <m:r>
          <m:rPr>
            <m:sty m:val="p"/>
          </m:rPr>
          <m:t>=</m:t>
        </m:r>
        <m:r>
          <m:rPr>
            <m:sty m:val="p"/>
          </m:rPr>
          <m:t>(</m:t>
        </m:r>
        <m:r>
          <m:t>A</m:t>
        </m:r>
        <m:r>
          <m:rPr>
            <m:sty m:val="p"/>
          </m:rPr>
          <m:t>−</m:t>
        </m:r>
        <m:sSub>
          <m:e>
            <m:r>
              <m:t>y</m:t>
            </m:r>
          </m:e>
          <m:sub>
            <m:r>
              <m:t>0</m:t>
            </m:r>
          </m:sub>
        </m:sSub>
        <m:sSup>
          <m:e>
            <m:r>
              <m:t>e</m:t>
            </m:r>
          </m:e>
          <m:sup>
            <m:r>
              <m:rPr>
                <m:sty m:val="p"/>
              </m:rPr>
              <m:t>−</m:t>
            </m:r>
            <m:r>
              <m:t>κ</m:t>
            </m:r>
          </m:sup>
        </m:sSup>
        <m:r>
          <m:rPr>
            <m:sty m:val="p"/>
          </m:rPr>
          <m:t>)</m:t>
        </m:r>
        <m:r>
          <m:rPr>
            <m:sty m:val="p"/>
          </m:rPr>
          <m:t>/</m:t>
        </m:r>
        <m:r>
          <m:rPr>
            <m:sty m:val="p"/>
          </m:rPr>
          <m:t>(</m:t>
        </m:r>
        <m:r>
          <m:t>1</m:t>
        </m:r>
        <m:r>
          <m:rPr>
            <m:sty m:val="p"/>
          </m:rPr>
          <m:t>−</m:t>
        </m:r>
        <m:sSup>
          <m:e>
            <m:r>
              <m:t>e</m:t>
            </m:r>
          </m:e>
          <m:sup>
            <m:r>
              <m:rPr>
                <m:sty m:val="p"/>
              </m:rPr>
              <m:t>−</m:t>
            </m:r>
            <m:r>
              <m:t>κ</m:t>
            </m:r>
          </m:sup>
        </m:sSup>
        <m:r>
          <m:rPr>
            <m:sty m:val="p"/>
          </m:rPr>
          <m:t>)</m:t>
        </m:r>
      </m:oMath>
      <w:r>
        <w:t xml:space="preserve"> </w:t>
      </w:r>
      <w:r>
        <w:t xml:space="preserve">has a pole at</w:t>
      </w:r>
      <w:r>
        <w:t xml:space="preserve"> </w:t>
      </w:r>
      <m:oMath>
        <m:r>
          <m:t>κ</m:t>
        </m:r>
        <m:r>
          <m:rPr>
            <m:sty m:val="p"/>
          </m:rPr>
          <m:t>→</m:t>
        </m:r>
        <m:r>
          <m:t>0</m:t>
        </m:r>
      </m:oMath>
      <w:r>
        <w:t xml:space="preserve">, draws with small</w:t>
      </w:r>
      <w:r>
        <w:t xml:space="preserve"> </w:t>
      </w:r>
      <m:oMath>
        <m:r>
          <m:t>κ</m:t>
        </m:r>
      </m:oMath>
      <w:r>
        <w:t xml:space="preserve"> </w:t>
      </w:r>
      <w:r>
        <w:t xml:space="preserve">send it to large magnitudes. The MCMC places 5.3% of its draws below</w:t>
      </w:r>
      <w:r>
        <w:t xml:space="preserve"> </w:t>
      </w:r>
      <m:oMath>
        <m:r>
          <m:t>κ</m:t>
        </m:r>
        <m:r>
          <m:rPr>
            <m:sty m:val="p"/>
          </m:rPr>
          <m:t>=</m:t>
        </m:r>
        <m:r>
          <m:t>0.5</m:t>
        </m:r>
      </m:oMath>
      <w:r>
        <w:t xml:space="preserve"> </w:t>
      </w:r>
      <w:r>
        <w:t xml:space="preserve">and reaches</w:t>
      </w:r>
      <w:r>
        <w:t xml:space="preserve"> </w:t>
      </w:r>
      <m:oMath>
        <m:r>
          <m:t>κ</m:t>
        </m:r>
        <m:r>
          <m:rPr>
            <m:sty m:val="p"/>
          </m:rPr>
          <m:t>=</m:t>
        </m:r>
        <m:r>
          <m:t>0.080</m:t>
        </m:r>
      </m:oMath>
      <w:r>
        <w:t xml:space="preserve">; the Laplace places 0.5% there and stops at 0.285. Conditioning both on</w:t>
      </w:r>
      <w:r>
        <w:t xml:space="preserve"> </w:t>
      </w:r>
      <m:oMath>
        <m:r>
          <m:t>κ</m:t>
        </m:r>
        <m:r>
          <m:rPr>
            <m:sty m:val="p"/>
          </m:rPr>
          <m:t>≥</m:t>
        </m:r>
        <m:r>
          <m:t>0.5</m:t>
        </m:r>
      </m:oMath>
      <w:r>
        <w:t xml:space="preserve"> </w:t>
      </w:r>
      <w:r>
        <w:t xml:space="preserve">brings them into agreement (−2.12 against −2.22). The gap</w:t>
      </w:r>
      <w:r>
        <w:t xml:space="preserve"> </w:t>
      </w:r>
      <w:r>
        <w:rPr>
          <w:i/>
          <w:iCs/>
        </w:rPr>
        <w:t xml:space="preserve">is</w:t>
      </w:r>
      <w:r>
        <w:t xml:space="preserve"> </w:t>
      </w:r>
      <w:r>
        <w:t xml:space="preserve">the tail the approximation cannot see, and it sits precisely where the quantity we have already called unidentified becomes numerically unstable — so the disagreement is further evidence for that conclusion rather than a difficulty for it.</w:t>
      </w:r>
    </w:p>
    <w:p>
      <w:pPr>
        <w:pStyle w:val="BodyText"/>
      </w:pPr>
      <w:r>
        <w:t xml:space="preserve">We therefore report MCMC throughout and keep the Laplace path available for speed, with the caveat attached to it rather than to the reader.</w:t>
      </w:r>
    </w:p>
    <w:p>
      <w:pPr>
        <w:pStyle w:val="BodyText"/>
      </w:pPr>
      <m:oMath>
        <m:sSub>
          <m:e>
            <m:r>
              <m:t>y</m:t>
            </m:r>
          </m:e>
          <m:sub>
            <m:r>
              <m:rPr>
                <m:sty m:val="p"/>
              </m:rPr>
              <m:t>∞</m:t>
            </m:r>
          </m:sub>
        </m:sSub>
      </m:oMath>
      <w:r>
        <w:rPr>
          <w:b/>
          <w:bCs/>
        </w:rPr>
        <w:t xml:space="preserve"> </w:t>
      </w:r>
      <w:r>
        <w:rPr>
          <w:b/>
          <w:bCs/>
        </w:rPr>
        <w:t xml:space="preserve">has no posterior mean, and the sampler shows it.</w:t>
      </w:r>
      <w:r>
        <w:t xml:space="preserve"> </w:t>
      </w:r>
      <w:r>
        <w:t xml:space="preserve">Calling a parameter unidentified is usually supported by a wide interval. Something stronger holds here, and it is worth demonstrating because it decides how the row in Table 2 should be read. Since</w:t>
      </w:r>
      <w:r>
        <w:t xml:space="preserve"> </w:t>
      </w:r>
      <m:oMath>
        <m:sSub>
          <m:e>
            <m:r>
              <m:t>y</m:t>
            </m:r>
          </m:e>
          <m:sub>
            <m:r>
              <m:rPr>
                <m:sty m:val="p"/>
              </m:rPr>
              <m:t>∞</m:t>
            </m:r>
          </m:sub>
        </m:sSub>
      </m:oMath>
      <w:r>
        <w:t xml:space="preserve"> </w:t>
      </w:r>
      <w:r>
        <w:t xml:space="preserve">has a pole at</w:t>
      </w:r>
      <w:r>
        <w:t xml:space="preserve"> </w:t>
      </w:r>
      <m:oMath>
        <m:r>
          <m:t>κ</m:t>
        </m:r>
        <m:r>
          <m:rPr>
            <m:sty m:val="p"/>
          </m:rPr>
          <m:t>→</m:t>
        </m:r>
        <m:r>
          <m:t>0</m:t>
        </m:r>
      </m:oMath>
      <w:r>
        <w:t xml:space="preserve"> </w:t>
      </w:r>
      <w:r>
        <w:t xml:space="preserve">and the posterior places mass arbitrarily close to it, a longer chain simply reaches further into that tail. If the mean existed, the estimate would settle as the budget grew.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MCMC iterations</w:t>
            </w:r>
          </w:p>
        </w:tc>
        <w:tc>
          <w:tcPr/>
          <w:p>
            <w:pPr>
              <w:pStyle w:val="Compact"/>
              <w:jc w:val="right"/>
            </w:pPr>
            <w:r>
              <w:t xml:space="preserve">y-inf mean</w:t>
            </w:r>
          </w:p>
        </w:tc>
        <w:tc>
          <w:tcPr/>
          <w:p>
            <w:pPr>
              <w:pStyle w:val="Compact"/>
              <w:jc w:val="right"/>
            </w:pPr>
            <w:r>
              <w:t xml:space="preserve">y-inf 2.5%</w:t>
            </w:r>
          </w:p>
        </w:tc>
        <w:tc>
          <w:tcPr/>
          <w:p>
            <w:pPr>
              <w:pStyle w:val="Compact"/>
              <w:jc w:val="right"/>
            </w:pPr>
            <w:r>
              <w:t xml:space="preserve">y(Inf) mean</w:t>
            </w:r>
          </w:p>
        </w:tc>
        <w:tc>
          <w:tcPr/>
          <w:p>
            <w:pPr>
              <w:pStyle w:val="Compact"/>
              <w:jc w:val="right"/>
            </w:pPr>
            <w:r>
              <w:t xml:space="preserve">sigma mean</w:t>
            </w:r>
          </w:p>
        </w:tc>
      </w:tr>
      <w:tr>
        <w:tc>
          <w:tcPr/>
          <w:p>
            <w:pPr>
              <w:pStyle w:val="Compact"/>
              <w:jc w:val="right"/>
            </w:pPr>
            <w:r>
              <w:t xml:space="preserve">20,000</w:t>
            </w:r>
          </w:p>
        </w:tc>
        <w:tc>
          <w:tcPr/>
          <w:p>
            <w:pPr>
              <w:pStyle w:val="Compact"/>
              <w:jc w:val="right"/>
            </w:pPr>
            <w:r>
              <w:t xml:space="preserve">-5.20</w:t>
            </w:r>
          </w:p>
        </w:tc>
        <w:tc>
          <w:tcPr/>
          <w:p>
            <w:pPr>
              <w:pStyle w:val="Compact"/>
              <w:jc w:val="right"/>
            </w:pPr>
            <w:r>
              <w:t xml:space="preserve">-50.7</w:t>
            </w:r>
          </w:p>
        </w:tc>
        <w:tc>
          <w:tcPr/>
          <w:p>
            <w:pPr>
              <w:pStyle w:val="Compact"/>
              <w:jc w:val="right"/>
            </w:pPr>
            <w:r>
              <w:t xml:space="preserve">2.059</w:t>
            </w:r>
          </w:p>
        </w:tc>
        <w:tc>
          <w:tcPr/>
          <w:p>
            <w:pPr>
              <w:pStyle w:val="Compact"/>
              <w:jc w:val="right"/>
            </w:pPr>
            <w:r>
              <w:t xml:space="preserve">0.2290</w:t>
            </w:r>
          </w:p>
        </w:tc>
      </w:tr>
      <w:tr>
        <w:tc>
          <w:tcPr/>
          <w:p>
            <w:pPr>
              <w:pStyle w:val="Compact"/>
              <w:jc w:val="right"/>
            </w:pPr>
            <w:r>
              <w:t xml:space="preserve">60,000</w:t>
            </w:r>
          </w:p>
        </w:tc>
        <w:tc>
          <w:tcPr/>
          <w:p>
            <w:pPr>
              <w:pStyle w:val="Compact"/>
              <w:jc w:val="right"/>
            </w:pPr>
            <w:r>
              <w:t xml:space="preserve">-7.76</w:t>
            </w:r>
          </w:p>
        </w:tc>
        <w:tc>
          <w:tcPr/>
          <w:p>
            <w:pPr>
              <w:pStyle w:val="Compact"/>
              <w:jc w:val="right"/>
            </w:pPr>
            <w:r>
              <w:t xml:space="preserve">-67.0</w:t>
            </w:r>
          </w:p>
        </w:tc>
        <w:tc>
          <w:tcPr/>
          <w:p>
            <w:pPr>
              <w:pStyle w:val="Compact"/>
              <w:jc w:val="right"/>
            </w:pPr>
            <w:r>
              <w:t xml:space="preserve">2.040</w:t>
            </w:r>
          </w:p>
        </w:tc>
        <w:tc>
          <w:tcPr/>
          <w:p>
            <w:pPr>
              <w:pStyle w:val="Compact"/>
              <w:jc w:val="right"/>
            </w:pPr>
            <w:r>
              <w:t xml:space="preserve">0.2316</w:t>
            </w:r>
          </w:p>
        </w:tc>
      </w:tr>
      <w:tr>
        <w:tc>
          <w:tcPr/>
          <w:p>
            <w:pPr>
              <w:pStyle w:val="Compact"/>
              <w:jc w:val="right"/>
            </w:pPr>
            <w:r>
              <w:t xml:space="preserve">120,000</w:t>
            </w:r>
          </w:p>
        </w:tc>
        <w:tc>
          <w:tcPr/>
          <w:p>
            <w:pPr>
              <w:pStyle w:val="Compact"/>
              <w:jc w:val="right"/>
            </w:pPr>
            <w:r>
              <w:t xml:space="preserve">-10.63</w:t>
            </w:r>
          </w:p>
        </w:tc>
        <w:tc>
          <w:tcPr/>
          <w:p>
            <w:pPr>
              <w:pStyle w:val="Compact"/>
              <w:jc w:val="right"/>
            </w:pPr>
            <w:r>
              <w:t xml:space="preserve">-81.8</w:t>
            </w:r>
          </w:p>
        </w:tc>
        <w:tc>
          <w:tcPr/>
          <w:p>
            <w:pPr>
              <w:pStyle w:val="Compact"/>
              <w:jc w:val="right"/>
            </w:pPr>
            <w:r>
              <w:t xml:space="preserve">2.035</w:t>
            </w:r>
          </w:p>
        </w:tc>
        <w:tc>
          <w:tcPr/>
          <w:p>
            <w:pPr>
              <w:pStyle w:val="Compact"/>
              <w:jc w:val="right"/>
            </w:pPr>
            <w:r>
              <w:t xml:space="preserve">0.2300</w:t>
            </w:r>
          </w:p>
        </w:tc>
      </w:tr>
    </w:tbl>
    <w:p>
      <w:pPr>
        <w:pStyle w:val="BodyText"/>
      </w:pPr>
      <w:r>
        <w:rPr>
          <w:b/>
          <w:bCs/>
        </w:rPr>
        <w:t xml:space="preserve">Table 4. The same posterior at three sampling budgets.</w:t>
      </w:r>
      <w:r>
        <w:t xml:space="preserve"> </w:t>
      </w:r>
      <w:r>
        <w:t xml:space="preserve">Only the chain length changes; the data, likelihood, operator, prior and seed are fixed.</w:t>
      </w:r>
    </w:p>
    <w:p>
      <w:pPr>
        <w:pStyle w:val="BodyText"/>
      </w:pPr>
      <w:r>
        <w:t xml:space="preserve">It does not settle. The posterior mean of</w:t>
      </w:r>
      <w:r>
        <w:t xml:space="preserve"> </w:t>
      </w:r>
      <m:oMath>
        <m:sSub>
          <m:e>
            <m:r>
              <m:t>y</m:t>
            </m:r>
          </m:e>
          <m:sub>
            <m:r>
              <m:rPr>
                <m:sty m:val="p"/>
              </m:rPr>
              <m:t>∞</m:t>
            </m:r>
          </m:sub>
        </m:sSub>
      </m:oMath>
      <w:r>
        <w:t xml:space="preserve"> </w:t>
      </w:r>
      <w:r>
        <w:t xml:space="preserve">moves by 105% between the shortest and longest run and its lower quantile follows, while over the same sweep the attainable deep value moves 1.2% and the observation noise 0.4%. The number in the</w:t>
      </w:r>
      <w:r>
        <w:t xml:space="preserve"> </w:t>
      </w:r>
      <m:oMath>
        <m:sSub>
          <m:e>
            <m:r>
              <m:t>y</m:t>
            </m:r>
          </m:e>
          <m:sub>
            <m:r>
              <m:rPr>
                <m:sty m:val="p"/>
              </m:rPr>
              <m:t>∞</m:t>
            </m:r>
          </m:sub>
        </m:sSub>
      </m:oMath>
      <w:r>
        <w:t xml:space="preserve"> </w:t>
      </w:r>
      <w:r>
        <w:t xml:space="preserve">row of Table 2 is therefore a statement about how long we sampled, not about the soil, and we report it only because the symbol appears in the equation. The identified quantities are settled by the second row of Table 4.</w:t>
      </w:r>
    </w:p>
    <w:p>
      <w:pPr>
        <w:pStyle w:val="BodyText"/>
      </w:pPr>
      <w:r>
        <w:rPr>
          <w:b/>
          <w:bCs/>
        </w:rPr>
        <w:t xml:space="preserve">How much of this posterior is the prior?</w:t>
      </w:r>
      <w:r>
        <w:t xml:space="preserve"> </w:t>
      </w:r>
      <w:r>
        <w:t xml:space="preserve">The package’s default prior is empirical Bayes and the source says so: three of its hyperparameters are functions of the response being fitted. A posterior built that way cannot be presented as though the data alone produced it, so</w:t>
      </w:r>
      <w:r>
        <w:t xml:space="preserve"> </w:t>
      </w:r>
      <w:r>
        <w:rPr>
          <w:rStyle w:val="VerbatimChar"/>
        </w:rPr>
        <w:t xml:space="preserve">piml_prior_literature()</w:t>
      </w:r>
      <w:r>
        <w:t xml:space="preserve"> </w:t>
      </w:r>
      <w:r>
        <w:t xml:space="preserve">supplies a non-circular alternative whose hyperparameters come from published depth-function work and which takes no data at all. We refit under both, and under a third arm that widens the literature prior threefold on every scale, by MCMC throughout and at a budget large enough that all three converge (maximum split-</w:t>
      </w:r>
      <m:oMath>
        <m:acc>
          <m:accPr>
            <m:chr m:val="̂"/>
          </m:accPr>
          <m:e>
            <m:r>
              <m:t>R</m:t>
            </m:r>
          </m:e>
        </m:acc>
      </m:oMath>
      <w:r>
        <w:t xml:space="preserve"> </w:t>
      </w:r>
      <w:r>
        <w:t xml:space="preserve">1.007, minimum bulk ESS 487).</w:t>
      </w:r>
    </w:p>
    <w:tbl>
      <w:tblPr>
        <w:tblStyle w:val="Table"/>
        <w:tblW w:type="pct" w:w="5000"/>
        <w:tblLayout w:type="fixed"/>
        <w:tblLook w:firstRow="1" w:lastRow="0" w:firstColumn="0" w:lastColumn="0" w:noHBand="0" w:noVBand="0" w:val="0020"/>
      </w:tblPr>
      <w:tblGrid>
        <w:gridCol w:w="870"/>
        <w:gridCol w:w="1392"/>
        <w:gridCol w:w="957"/>
        <w:gridCol w:w="1827"/>
        <w:gridCol w:w="1827"/>
        <w:gridCol w:w="1044"/>
      </w:tblGrid>
      <w:tr>
        <w:trPr>
          <w:tblHeader w:val="on"/>
        </w:trPr>
        <w:tc>
          <w:tcPr/>
          <w:p>
            <w:pPr>
              <w:pStyle w:val="Compact"/>
              <w:jc w:val="left"/>
            </w:pPr>
            <w:r>
              <w:t xml:space="preserve">Parameter</w:t>
            </w:r>
          </w:p>
        </w:tc>
        <w:tc>
          <w:tcPr/>
          <w:p>
            <w:pPr>
              <w:pStyle w:val="Compact"/>
              <w:jc w:val="right"/>
            </w:pPr>
            <w:r>
              <w:t xml:space="preserve">Empirical Bayes</w:t>
            </w:r>
          </w:p>
        </w:tc>
        <w:tc>
          <w:tcPr/>
          <w:p>
            <w:pPr>
              <w:pStyle w:val="Compact"/>
              <w:jc w:val="right"/>
            </w:pPr>
            <w:r>
              <w:t xml:space="preserve">Literature</w:t>
            </w:r>
          </w:p>
        </w:tc>
        <w:tc>
          <w:tcPr/>
          <w:p>
            <w:pPr>
              <w:pStyle w:val="Compact"/>
              <w:jc w:val="right"/>
            </w:pPr>
            <w:r>
              <w:t xml:space="preserve">Literature, 3x wider</w:t>
            </w:r>
          </w:p>
        </w:tc>
        <w:tc>
          <w:tcPr/>
          <w:p>
            <w:pPr>
              <w:pStyle w:val="Compact"/>
              <w:jc w:val="right"/>
            </w:pPr>
            <w:r>
              <w:t xml:space="preserve">Shift (posterior SD)</w:t>
            </w:r>
          </w:p>
        </w:tc>
        <w:tc>
          <w:tcPr/>
          <w:p>
            <w:pPr>
              <w:pStyle w:val="Compact"/>
              <w:jc w:val="right"/>
            </w:pPr>
            <w:r>
              <w:t xml:space="preserve">Width ratio</w:t>
            </w:r>
          </w:p>
        </w:tc>
      </w:tr>
      <w:tr>
        <w:tc>
          <w:tcPr/>
          <w:p>
            <w:pPr>
              <w:pStyle w:val="Compact"/>
              <w:jc w:val="left"/>
            </w:pPr>
            <w:r>
              <w:t xml:space="preserve">lambda0</w:t>
            </w:r>
          </w:p>
        </w:tc>
        <w:tc>
          <w:tcPr/>
          <w:p>
            <w:pPr>
              <w:pStyle w:val="Compact"/>
              <w:jc w:val="right"/>
            </w:pPr>
            <w:r>
              <w:t xml:space="preserve">0.0086</w:t>
            </w:r>
          </w:p>
        </w:tc>
        <w:tc>
          <w:tcPr/>
          <w:p>
            <w:pPr>
              <w:pStyle w:val="Compact"/>
              <w:jc w:val="right"/>
            </w:pPr>
            <w:r>
              <w:t xml:space="preserve">0.0090</w:t>
            </w:r>
          </w:p>
        </w:tc>
        <w:tc>
          <w:tcPr/>
          <w:p>
            <w:pPr>
              <w:pStyle w:val="Compact"/>
              <w:jc w:val="right"/>
            </w:pPr>
            <w:r>
              <w:t xml:space="preserve">0.2589</w:t>
            </w:r>
          </w:p>
        </w:tc>
        <w:tc>
          <w:tcPr/>
          <w:p>
            <w:pPr>
              <w:pStyle w:val="Compact"/>
              <w:jc w:val="right"/>
            </w:pPr>
            <w:r>
              <w:t xml:space="preserve">0.10</w:t>
            </w:r>
          </w:p>
        </w:tc>
        <w:tc>
          <w:tcPr/>
          <w:p>
            <w:pPr>
              <w:pStyle w:val="Compact"/>
              <w:jc w:val="right"/>
            </w:pPr>
            <w:r>
              <w:t xml:space="preserve">1.24</w:t>
            </w:r>
          </w:p>
        </w:tc>
      </w:tr>
      <w:tr>
        <w:tc>
          <w:tcPr/>
          <w:p>
            <w:pPr>
              <w:pStyle w:val="Compact"/>
              <w:jc w:val="left"/>
            </w:pPr>
            <w:r>
              <w:t xml:space="preserve">mu</w:t>
            </w:r>
          </w:p>
        </w:tc>
        <w:tc>
          <w:tcPr/>
          <w:p>
            <w:pPr>
              <w:pStyle w:val="Compact"/>
              <w:jc w:val="right"/>
            </w:pPr>
            <w:r>
              <w:t xml:space="preserve">0.0040</w:t>
            </w:r>
          </w:p>
        </w:tc>
        <w:tc>
          <w:tcPr/>
          <w:p>
            <w:pPr>
              <w:pStyle w:val="Compact"/>
              <w:jc w:val="right"/>
            </w:pPr>
            <w:r>
              <w:t xml:space="preserve">0.0059</w:t>
            </w:r>
          </w:p>
        </w:tc>
        <w:tc>
          <w:tcPr/>
          <w:p>
            <w:pPr>
              <w:pStyle w:val="Compact"/>
              <w:jc w:val="right"/>
            </w:pPr>
            <w:r>
              <w:t xml:space="preserve">0.0388</w:t>
            </w:r>
          </w:p>
        </w:tc>
        <w:tc>
          <w:tcPr/>
          <w:p>
            <w:pPr>
              <w:pStyle w:val="Compact"/>
              <w:jc w:val="right"/>
            </w:pPr>
            <w:r>
              <w:t xml:space="preserve">0.67</w:t>
            </w:r>
          </w:p>
        </w:tc>
        <w:tc>
          <w:tcPr/>
          <w:p>
            <w:pPr>
              <w:pStyle w:val="Compact"/>
              <w:jc w:val="right"/>
            </w:pPr>
            <w:r>
              <w:t xml:space="preserve">1.32</w:t>
            </w:r>
          </w:p>
        </w:tc>
      </w:tr>
      <w:tr>
        <w:tc>
          <w:tcPr/>
          <w:p>
            <w:pPr>
              <w:pStyle w:val="Compact"/>
              <w:jc w:val="left"/>
            </w:pPr>
            <w:r>
              <w:t xml:space="preserve">y_inf</w:t>
            </w:r>
          </w:p>
        </w:tc>
        <w:tc>
          <w:tcPr/>
          <w:p>
            <w:pPr>
              <w:pStyle w:val="Compact"/>
              <w:jc w:val="right"/>
            </w:pPr>
            <w:r>
              <w:t xml:space="preserve">-7.7593</w:t>
            </w:r>
          </w:p>
        </w:tc>
        <w:tc>
          <w:tcPr/>
          <w:p>
            <w:pPr>
              <w:pStyle w:val="Compact"/>
              <w:jc w:val="right"/>
            </w:pPr>
            <w:r>
              <w:t xml:space="preserve">-16.2449</w:t>
            </w:r>
          </w:p>
        </w:tc>
        <w:tc>
          <w:tcPr/>
          <w:p>
            <w:pPr>
              <w:pStyle w:val="Compact"/>
              <w:jc w:val="right"/>
            </w:pPr>
            <w:r>
              <w:t xml:space="preserve">-1222070.5019</w:t>
            </w:r>
          </w:p>
        </w:tc>
        <w:tc>
          <w:tcPr/>
          <w:p>
            <w:pPr>
              <w:pStyle w:val="Compact"/>
              <w:jc w:val="right"/>
            </w:pPr>
            <w:r>
              <w:t xml:space="preserve">0.26</w:t>
            </w:r>
          </w:p>
        </w:tc>
        <w:tc>
          <w:tcPr/>
          <w:p>
            <w:pPr>
              <w:pStyle w:val="Compact"/>
              <w:jc w:val="right"/>
            </w:pPr>
            <w:r>
              <w:t xml:space="preserve">1.65</w:t>
            </w:r>
          </w:p>
        </w:tc>
      </w:tr>
      <w:tr>
        <w:tc>
          <w:tcPr/>
          <w:p>
            <w:pPr>
              <w:pStyle w:val="Compact"/>
              <w:jc w:val="left"/>
            </w:pPr>
            <w:r>
              <w:t xml:space="preserve">y0</w:t>
            </w:r>
          </w:p>
        </w:tc>
        <w:tc>
          <w:tcPr/>
          <w:p>
            <w:pPr>
              <w:pStyle w:val="Compact"/>
              <w:jc w:val="right"/>
            </w:pPr>
            <w:r>
              <w:t xml:space="preserve">23.8394</w:t>
            </w:r>
          </w:p>
        </w:tc>
        <w:tc>
          <w:tcPr/>
          <w:p>
            <w:pPr>
              <w:pStyle w:val="Compact"/>
              <w:jc w:val="right"/>
            </w:pPr>
            <w:r>
              <w:t xml:space="preserve">25.2035</w:t>
            </w:r>
          </w:p>
        </w:tc>
        <w:tc>
          <w:tcPr/>
          <w:p>
            <w:pPr>
              <w:pStyle w:val="Compact"/>
              <w:jc w:val="right"/>
            </w:pPr>
            <w:r>
              <w:t xml:space="preserve">23.1607</w:t>
            </w:r>
          </w:p>
        </w:tc>
        <w:tc>
          <w:tcPr/>
          <w:p>
            <w:pPr>
              <w:pStyle w:val="Compact"/>
              <w:jc w:val="right"/>
            </w:pPr>
            <w:r>
              <w:t xml:space="preserve">0.30</w:t>
            </w:r>
          </w:p>
        </w:tc>
        <w:tc>
          <w:tcPr/>
          <w:p>
            <w:pPr>
              <w:pStyle w:val="Compact"/>
              <w:jc w:val="right"/>
            </w:pPr>
            <w:r>
              <w:t xml:space="preserve">1.26</w:t>
            </w:r>
          </w:p>
        </w:tc>
      </w:tr>
      <w:tr>
        <w:tc>
          <w:tcPr/>
          <w:p>
            <w:pPr>
              <w:pStyle w:val="Compact"/>
              <w:jc w:val="left"/>
            </w:pPr>
            <w:r>
              <w:t xml:space="preserve">kappa</w:t>
            </w:r>
          </w:p>
        </w:tc>
        <w:tc>
          <w:tcPr/>
          <w:p>
            <w:pPr>
              <w:pStyle w:val="Compact"/>
              <w:jc w:val="right"/>
            </w:pPr>
            <w:r>
              <w:t xml:space="preserve">4.2594</w:t>
            </w:r>
          </w:p>
        </w:tc>
        <w:tc>
          <w:tcPr/>
          <w:p>
            <w:pPr>
              <w:pStyle w:val="Compact"/>
              <w:jc w:val="right"/>
            </w:pPr>
            <w:r>
              <w:t xml:space="preserve">2.1919</w:t>
            </w:r>
          </w:p>
        </w:tc>
        <w:tc>
          <w:tcPr/>
          <w:p>
            <w:pPr>
              <w:pStyle w:val="Compact"/>
              <w:jc w:val="right"/>
            </w:pPr>
            <w:r>
              <w:t xml:space="preserve">44.9214</w:t>
            </w:r>
          </w:p>
        </w:tc>
        <w:tc>
          <w:tcPr/>
          <w:p>
            <w:pPr>
              <w:pStyle w:val="Compact"/>
              <w:jc w:val="right"/>
            </w:pPr>
            <w:r>
              <w:t xml:space="preserve">0.30</w:t>
            </w:r>
          </w:p>
        </w:tc>
        <w:tc>
          <w:tcPr/>
          <w:p>
            <w:pPr>
              <w:pStyle w:val="Compact"/>
              <w:jc w:val="right"/>
            </w:pPr>
            <w:r>
              <w:t xml:space="preserve">0.39</w:t>
            </w:r>
          </w:p>
        </w:tc>
      </w:tr>
      <w:tr>
        <w:tc>
          <w:tcPr/>
          <w:p>
            <w:pPr>
              <w:pStyle w:val="Compact"/>
              <w:jc w:val="left"/>
            </w:pPr>
            <w:r>
              <w:t xml:space="preserve">y_asym</w:t>
            </w:r>
          </w:p>
        </w:tc>
        <w:tc>
          <w:tcPr/>
          <w:p>
            <w:pPr>
              <w:pStyle w:val="Compact"/>
              <w:jc w:val="right"/>
            </w:pPr>
            <w:r>
              <w:t xml:space="preserve">2.0397</w:t>
            </w:r>
          </w:p>
        </w:tc>
        <w:tc>
          <w:tcPr/>
          <w:p>
            <w:pPr>
              <w:pStyle w:val="Compact"/>
              <w:jc w:val="right"/>
            </w:pPr>
            <w:r>
              <w:t xml:space="preserve">2.3676</w:t>
            </w:r>
          </w:p>
        </w:tc>
        <w:tc>
          <w:tcPr/>
          <w:p>
            <w:pPr>
              <w:pStyle w:val="Compact"/>
              <w:jc w:val="right"/>
            </w:pPr>
            <w:r>
              <w:t xml:space="preserve">1.7585</w:t>
            </w:r>
          </w:p>
        </w:tc>
        <w:tc>
          <w:tcPr/>
          <w:p>
            <w:pPr>
              <w:pStyle w:val="Compact"/>
              <w:jc w:val="right"/>
            </w:pPr>
            <w:r>
              <w:t xml:space="preserve">0.34</w:t>
            </w:r>
          </w:p>
        </w:tc>
        <w:tc>
          <w:tcPr/>
          <w:p>
            <w:pPr>
              <w:pStyle w:val="Compact"/>
              <w:jc w:val="right"/>
            </w:pPr>
            <w:r>
              <w:t xml:space="preserve">1.16</w:t>
            </w:r>
          </w:p>
        </w:tc>
      </w:tr>
      <w:tr>
        <w:tc>
          <w:tcPr/>
          <w:p>
            <w:pPr>
              <w:pStyle w:val="Compact"/>
              <w:jc w:val="left"/>
            </w:pPr>
            <w:r>
              <w:t xml:space="preserve">sigma</w:t>
            </w:r>
          </w:p>
        </w:tc>
        <w:tc>
          <w:tcPr/>
          <w:p>
            <w:pPr>
              <w:pStyle w:val="Compact"/>
              <w:jc w:val="right"/>
            </w:pPr>
            <w:r>
              <w:t xml:space="preserve">0.2316</w:t>
            </w:r>
          </w:p>
        </w:tc>
        <w:tc>
          <w:tcPr/>
          <w:p>
            <w:pPr>
              <w:pStyle w:val="Compact"/>
              <w:jc w:val="right"/>
            </w:pPr>
            <w:r>
              <w:t xml:space="preserve">0.2575</w:t>
            </w:r>
          </w:p>
        </w:tc>
        <w:tc>
          <w:tcPr/>
          <w:p>
            <w:pPr>
              <w:pStyle w:val="Compact"/>
              <w:jc w:val="right"/>
            </w:pPr>
            <w:r>
              <w:t xml:space="preserve">0.2898</w:t>
            </w:r>
          </w:p>
        </w:tc>
        <w:tc>
          <w:tcPr/>
          <w:p>
            <w:pPr>
              <w:pStyle w:val="Compact"/>
              <w:jc w:val="right"/>
            </w:pPr>
            <w:r>
              <w:t xml:space="preserve">0.34</w:t>
            </w:r>
          </w:p>
        </w:tc>
        <w:tc>
          <w:tcPr/>
          <w:p>
            <w:pPr>
              <w:pStyle w:val="Compact"/>
              <w:jc w:val="right"/>
            </w:pPr>
            <w:r>
              <w:t xml:space="preserve">1.39</w:t>
            </w:r>
          </w:p>
        </w:tc>
      </w:tr>
    </w:tbl>
    <w:p>
      <w:pPr>
        <w:pStyle w:val="BodyText"/>
      </w:pPr>
      <w:r>
        <w:rPr>
          <w:b/>
          <w:bCs/>
        </w:rPr>
        <w:t xml:space="preserve">Table 5. Prior sensitivity on the reported pedon.</w:t>
      </w:r>
      <w:r>
        <w:t xml:space="preserve"> </w:t>
      </w:r>
      <w:r>
        <w:t xml:space="preserve">Posterior means under three priors.</w:t>
      </w:r>
      <w:r>
        <w:t xml:space="preserve"> </w:t>
      </w:r>
      <w:r>
        <w:t xml:space="preserve">“Shift”</w:t>
      </w:r>
      <w:r>
        <w:t xml:space="preserve"> </w:t>
      </w:r>
      <w:r>
        <w:t xml:space="preserve">is the movement between the circular default and the non-circular literature prior in units of the default’s posterior standard deviation;</w:t>
      </w:r>
      <w:r>
        <w:t xml:space="preserve"> </w:t>
      </w:r>
      <w:r>
        <w:t xml:space="preserve">“width ratio”</w:t>
      </w:r>
      <w:r>
        <w:t xml:space="preserve"> </w:t>
      </w:r>
      <w:r>
        <w:t xml:space="preserve">is the literature interval over the default one.</w:t>
      </w:r>
    </w:p>
    <w:p>
      <w:pPr>
        <w:pStyle w:val="BodyText"/>
      </w:pPr>
      <w:r>
        <w:t xml:space="preserve">One parameter,</w:t>
      </w:r>
      <w:r>
        <w:t xml:space="preserve"> </w:t>
      </w:r>
      <m:oMath>
        <m:r>
          <m:t>μ</m:t>
        </m:r>
      </m:oMath>
      <w:r>
        <w:t xml:space="preserve">, moves by more than half a posterior standard deviation when the circular prior is replaced by one that never saw these data, and the largest shift is 0.67 standard deviations. The circularity is therefore mild rather than absent, and it is concentrated where the data are weakest —</w:t>
      </w:r>
      <w:r>
        <w:t xml:space="preserve"> </w:t>
      </w:r>
      <m:oMath>
        <m:r>
          <m:t>μ</m:t>
        </m:r>
      </m:oMath>
      <w:r>
        <w:t xml:space="preserve"> </w:t>
      </w:r>
      <w:r>
        <w:t xml:space="preserve">is the depth-attenuation rate, the parameter whose variogram in Fig 4 also fails to identify a range. We do not claim the default prior is harmless; we report how much it moves each number and let a reader who prefers the non-circular one read that column instead.</w:t>
      </w:r>
    </w:p>
    <w:p>
      <w:pPr>
        <w:pStyle w:val="BodyText"/>
      </w:pPr>
      <w:r>
        <w:t xml:space="preserve">One methodological note belongs here rather than in a supplement. An earlier run of this comparison, at the package’s default 20,000 iterations, put the shift for</w:t>
      </w:r>
      <w:r>
        <w:t xml:space="preserve"> </w:t>
      </w:r>
      <m:oMath>
        <m:sSub>
          <m:e>
            <m:r>
              <m:t>y</m:t>
            </m:r>
          </m:e>
          <m:sub>
            <m:r>
              <m:rPr>
                <m:sty m:val="p"/>
              </m:rPr>
              <m:t>∞</m:t>
            </m:r>
          </m:sub>
        </m:sSub>
      </m:oMath>
      <w:r>
        <w:t xml:space="preserve"> </w:t>
      </w:r>
      <w:r>
        <w:t xml:space="preserve">at 0.87 standard deviations and would have supported a stronger claim about circularity. The widest arm had not converged (split-</w:t>
      </w:r>
      <m:oMath>
        <m:acc>
          <m:accPr>
            <m:chr m:val="̂"/>
          </m:accPr>
          <m:e>
            <m:r>
              <m:t>R</m:t>
            </m:r>
          </m:e>
        </m:acc>
      </m:oMath>
      <w:r>
        <w:t xml:space="preserve"> </w:t>
      </w:r>
      <w:r>
        <w:t xml:space="preserve">1.035, bulk ESS 177), and at a budget where it does the shift falls to 0.26. The convergence guard in the script caught it; without one, an under-mixed chain would have been reported as a finding.</w:t>
      </w:r>
    </w:p>
    <w:p>
      <w:pPr>
        <w:pStyle w:val="BodyText"/>
      </w:pPr>
      <w:r>
        <w:t xml:space="preserve">That guard was itself weaker than the sentence above implies, and the correction belongs in the record. It caught an under-mixed chain, which is what it was written for, but it was blind to a chain that had not mixed</w:t>
      </w:r>
      <w:r>
        <w:t xml:space="preserve"> </w:t>
      </w:r>
      <w:r>
        <w:rPr>
          <w:b/>
          <w:bCs/>
        </w:rPr>
        <w:t xml:space="preserve">at all</w:t>
      </w:r>
      <w:r>
        <w:t xml:space="preserve">. When every draw is identical the split-</w:t>
      </w:r>
      <m:oMath>
        <m:acc>
          <m:accPr>
            <m:chr m:val="̂"/>
          </m:accPr>
          <m:e>
            <m:r>
              <m:t>R</m:t>
            </m:r>
          </m:e>
        </m:acc>
      </m:oMath>
      <w:r>
        <w:t xml:space="preserve"> </w:t>
      </w:r>
      <w:r>
        <w:t xml:space="preserve">is undefined, the diagnostic returned</w:t>
      </w:r>
      <w:r>
        <w:t xml:space="preserve"> </w:t>
      </w:r>
      <w:r>
        <w:rPr>
          <w:rStyle w:val="VerbatimChar"/>
        </w:rPr>
        <w:t xml:space="preserve">NA</w:t>
      </w:r>
      <w:r>
        <w:t xml:space="preserve"> </w:t>
      </w:r>
      <w:r>
        <w:t xml:space="preserve">for each parameter, and the reduction</w:t>
      </w:r>
      <w:r>
        <w:t xml:space="preserve"> </w:t>
      </w:r>
      <w:r>
        <w:rPr>
          <w:rStyle w:val="VerbatimChar"/>
        </w:rPr>
        <w:t xml:space="preserve">max(rhat, na.rm = TRUE)</w:t>
      </w:r>
      <w:r>
        <w:t xml:space="preserve"> </w:t>
      </w:r>
      <w:r>
        <w:t xml:space="preserve">over an all-</w:t>
      </w:r>
      <w:r>
        <w:rPr>
          <w:rStyle w:val="VerbatimChar"/>
        </w:rPr>
        <w:t xml:space="preserve">NA</w:t>
      </w:r>
      <w:r>
        <w:t xml:space="preserve"> </w:t>
      </w:r>
      <w:r>
        <w:t xml:space="preserve">vector returns</w:t>
      </w:r>
      <w:r>
        <w:t xml:space="preserve"> </w:t>
      </w:r>
      <m:oMath>
        <m:r>
          <m:rPr>
            <m:sty m:val="p"/>
          </m:rPr>
          <m:t>−</m:t>
        </m:r>
        <m:r>
          <m:rPr>
            <m:sty m:val="p"/>
          </m:rPr>
          <m:t>∞</m:t>
        </m:r>
      </m:oMath>
      <w:r>
        <w:t xml:space="preserve"> </w:t>
      </w:r>
      <w:r>
        <w:t xml:space="preserve">— the identity element of the maximum over an empty set, and a value that passes any upper threshold. On a sample of 60 profiles from this archive, a quarter of every positive convergence verdict the package issued was of that kind. No number in this paper rests on one: the pedon reported here has nine horizons, an acceptance rate of 0.12 and 6,706 distinct draws in 56,000, and the failure is confined to profiles with three or four horizons against four free parameters. But the diagnostic now encodes an uncomputable statistic as</w:t>
      </w:r>
      <w:r>
        <w:t xml:space="preserve"> </w:t>
      </w:r>
      <m:oMath>
        <m:acc>
          <m:accPr>
            <m:chr m:val="̂"/>
          </m:accPr>
          <m:e>
            <m:r>
              <m:t>R</m:t>
            </m:r>
          </m:e>
        </m:acc>
        <m:r>
          <m:rPr>
            <m:sty m:val="p"/>
          </m:rPr>
          <m:t>=</m:t>
        </m:r>
        <m:r>
          <m:rPr>
            <m:sty m:val="p"/>
          </m:rPr>
          <m:t>∞</m:t>
        </m:r>
      </m:oMath>
      <w:r>
        <w:t xml:space="preserve"> </w:t>
      </w:r>
      <w:r>
        <w:t xml:space="preserve">and ESS</w:t>
      </w:r>
      <w:r>
        <w:t xml:space="preserve"> </w:t>
      </w:r>
      <m:oMath>
        <m:r>
          <m:rPr>
            <m:sty m:val="p"/>
          </m:rPr>
          <m:t>=</m:t>
        </m:r>
        <m:r>
          <m:t>0</m:t>
        </m:r>
      </m:oMath>
      <w:r>
        <w:t xml:space="preserve"> </w:t>
      </w:r>
      <w:r>
        <w:t xml:space="preserve">rather than as</w:t>
      </w:r>
      <w:r>
        <w:t xml:space="preserve"> </w:t>
      </w:r>
      <w:r>
        <w:rPr>
          <w:rStyle w:val="VerbatimChar"/>
        </w:rPr>
        <w:t xml:space="preserve">NA</w:t>
      </w:r>
      <w:r>
        <w:t xml:space="preserve">, so that every reduction fails on it, and the acceptance rate is reported in its own right.</w:t>
      </w:r>
    </w:p>
    <w:p>
      <w:pPr>
        <w:pStyle w:val="BodyText"/>
      </w:pPr>
      <w:r>
        <w:rPr>
          <w:b/>
          <w:bCs/>
        </w:rPr>
        <w:t xml:space="preserve">Does the mechanism buy anything?</w:t>
      </w:r>
      <w:r>
        <w:t xml:space="preserve"> </w:t>
      </w:r>
      <w:r>
        <w:t xml:space="preserve">This is the question a depth model must answer. We ran two pre-declared tasks over all 1,105 profiles — hold out an interior horizon (interpolation), and hold out the deepest horizon (extrapolation) — against six competitors including an equal-area spline, a pooled depth-as-covariate random forest that sees other profiles’ data, and two zero-parameter baselines. The equal-area spline does not extrapolate below the observed range and abstains from the second task; that is reported rather than papered over by clamping it to its last value.</w:t>
      </w:r>
    </w:p>
    <w:p>
      <w:pPr>
        <w:pStyle w:val="BodyText"/>
      </w:pPr>
      <w:r>
        <w:t xml:space="preserve">Root-mean-square error is the wrong statistic to lead with here, and saying why is part of the result. On the extrapolation task every method lands near 14 g/kg — the ODE at 14.04, copying the nearest measured horizon at 14.05, the random forest at 14.05 — and those numbers are not measuring the methods. Ten profiles out of 935, 1.1% of the set, account for 99% of the ODE’s sum of squares; removing them takes its RMSE from 14.74 to 1.54. The extreme case is a profile whose horizon at 125 cm holds 430 g/kg of carbon with 3.0 g/kg immediately above it: a buried organic horizon, which a monotone depth function cannot represent and, more importantly, cannot anticipate. We therefore report mean absolute error as the primary criterion and RMSE alongside it, and treat the difference between them as the finding rather than as a nuisance.</w:t>
      </w:r>
    </w:p>
    <w:p>
      <w:pPr>
        <w:pStyle w:val="BodyText"/>
      </w:pPr>
      <w:r>
        <w:t xml:space="preserve">On that criterion the mechanism does help (Table 6). The ODE reaches MAE 1.82 g/kg with a median absolute error of 0.76, against 2.06 for copying the nearest horizon, 2.07 for its own nested</w:t>
      </w:r>
      <w:r>
        <w:t xml:space="preserve"> </w:t>
      </w:r>
      <m:oMath>
        <m:r>
          <m:t>μ</m:t>
        </m:r>
        <m:r>
          <m:rPr>
            <m:sty m:val="p"/>
          </m:rPr>
          <m:t>=</m:t>
        </m:r>
        <m:r>
          <m:t>0</m:t>
        </m:r>
      </m:oMath>
      <w:r>
        <w:t xml:space="preserve"> </w:t>
      </w:r>
      <w:r>
        <w:t xml:space="preserve">special case and 2.67 for the pooled random forest. Paired across profiles it beats copying the nearest horizon on 579 of 935 (Wilcoxon</w:t>
      </w:r>
      <w:r>
        <w:t xml:space="preserve"> </w:t>
      </w:r>
      <m:oMath>
        <m:r>
          <m:t>p</m:t>
        </m:r>
        <m:r>
          <m:rPr>
            <m:sty m:val="p"/>
          </m:rPr>
          <m:t>=</m:t>
        </m:r>
        <m:r>
          <m:t>3</m:t>
        </m:r>
        <m:r>
          <m:rPr>
            <m:sty m:val="p"/>
          </m:rPr>
          <m:t>×</m:t>
        </m:r>
        <m:sSup>
          <m:e>
            <m:r>
              <m:t>10</m:t>
            </m:r>
          </m:e>
          <m:sup>
            <m:r>
              <m:rPr>
                <m:sty m:val="p"/>
              </m:rPr>
              <m:t>−</m:t>
            </m:r>
            <m:r>
              <m:t>16</m:t>
            </m:r>
          </m:sup>
        </m:sSup>
      </m:oMath>
      <w:r>
        <w:t xml:space="preserve">), its nested special case on 646 (</w:t>
      </w:r>
      <m:oMath>
        <m:r>
          <m:t>p</m:t>
        </m:r>
        <m:r>
          <m:rPr>
            <m:sty m:val="p"/>
          </m:rPr>
          <m:t>=</m:t>
        </m:r>
        <m:r>
          <m:t>1</m:t>
        </m:r>
        <m:r>
          <m:rPr>
            <m:sty m:val="p"/>
          </m:rPr>
          <m:t>×</m:t>
        </m:r>
        <m:sSup>
          <m:e>
            <m:r>
              <m:t>10</m:t>
            </m:r>
          </m:e>
          <m:sup>
            <m:r>
              <m:rPr>
                <m:sty m:val="p"/>
              </m:rPr>
              <m:t>−</m:t>
            </m:r>
            <m:r>
              <m:t>42</m:t>
            </m:r>
          </m:sup>
        </m:sSup>
      </m:oMath>
      <w:r>
        <w:t xml:space="preserve">) and the random forest on 679 (</w:t>
      </w:r>
      <m:oMath>
        <m:r>
          <m:t>p</m:t>
        </m:r>
        <m:r>
          <m:rPr>
            <m:sty m:val="p"/>
          </m:rPr>
          <m:t>=</m:t>
        </m:r>
        <m:r>
          <m:t>4</m:t>
        </m:r>
        <m:r>
          <m:rPr>
            <m:sty m:val="p"/>
          </m:rPr>
          <m:t>×</m:t>
        </m:r>
        <m:sSup>
          <m:e>
            <m:r>
              <m:t>10</m:t>
            </m:r>
          </m:e>
          <m:sup>
            <m:r>
              <m:rPr>
                <m:sty m:val="p"/>
              </m:rPr>
              <m:t>−</m:t>
            </m:r>
            <m:r>
              <m:t>50</m:t>
            </m:r>
          </m:sup>
        </m:sSup>
      </m:oMath>
      <w:r>
        <w:t xml:space="preserve">).</w:t>
      </w:r>
    </w:p>
    <w:p>
      <w:pPr>
        <w:pStyle w:val="BodyText"/>
      </w:pPr>
      <w:r>
        <w:rPr>
          <w:b/>
          <w:bCs/>
        </w:rPr>
        <w:t xml:space="preserve">Table 6. Leave-the-deepest-horizon-out prediction on 935 WoSIS profiles.</w:t>
      </w:r>
      <w:r>
        <w:t xml:space="preserve"> </w:t>
      </w:r>
      <w:r>
        <w:t xml:space="preserve">The profiles whose</w:t>
      </w:r>
      <w:r>
        <w:t xml:space="preserve"> </w:t>
      </w:r>
      <w:r>
        <w:rPr>
          <w:i/>
          <w:iCs/>
        </w:rPr>
        <w:t xml:space="preserve">training</w:t>
      </w:r>
      <w:r>
        <w:t xml:space="preserve"> </w:t>
      </w:r>
      <w:r>
        <w:t xml:space="preserve">horizons are monotone — the model’s declared validity domain, judged without reading the horizon being predicted. MAE is the primary criterion: RMSE on this task is dominated by ten profiles with buried organic horizons and separates the methods by less than 0.5%.</w:t>
      </w:r>
    </w:p>
    <w:tbl>
      <w:tblPr>
        <w:tblStyle w:val="Table"/>
        <w:tblW w:type="pct" w:w="5000"/>
        <w:tblLayout w:type="fixed"/>
        <w:tblLook w:firstRow="1" w:lastRow="0" w:firstColumn="0" w:lastColumn="0" w:noHBand="0" w:noVBand="0" w:val="0020"/>
      </w:tblPr>
      <w:tblGrid>
        <w:gridCol w:w="4491"/>
        <w:gridCol w:w="709"/>
        <w:gridCol w:w="709"/>
        <w:gridCol w:w="1300"/>
        <w:gridCol w:w="709"/>
      </w:tblGrid>
      <w:tr>
        <w:trPr>
          <w:tblHeader w:val="on"/>
        </w:trPr>
        <w:tc>
          <w:tcPr/>
          <w:p>
            <w:pPr>
              <w:pStyle w:val="Compact"/>
              <w:jc w:val="left"/>
            </w:pPr>
            <w:r>
              <w:t xml:space="preserve">Method</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Mean error</w:t>
            </w:r>
          </w:p>
        </w:tc>
        <w:tc>
          <w:tcPr/>
          <w:p>
            <w:pPr>
              <w:pStyle w:val="Compact"/>
              <w:jc w:val="right"/>
            </w:pPr>
            <w:r>
              <w:t xml:space="preserve">CCC</w:t>
            </w:r>
          </w:p>
        </w:tc>
      </w:tr>
      <w:tr>
        <w:tc>
          <w:tcPr/>
          <w:p>
            <w:pPr>
              <w:pStyle w:val="Compact"/>
              <w:jc w:val="left"/>
            </w:pPr>
            <w:r>
              <w:t xml:space="preserve">derived advection-reaction (5 par)</w:t>
            </w:r>
          </w:p>
        </w:tc>
        <w:tc>
          <w:tcPr/>
          <w:p>
            <w:pPr>
              <w:pStyle w:val="Compact"/>
              <w:jc w:val="right"/>
            </w:pPr>
            <w:r>
              <w:t xml:space="preserve">1.760</w:t>
            </w:r>
          </w:p>
        </w:tc>
        <w:tc>
          <w:tcPr/>
          <w:p>
            <w:pPr>
              <w:pStyle w:val="Compact"/>
              <w:jc w:val="right"/>
            </w:pPr>
            <w:r>
              <w:t xml:space="preserve">14.74</w:t>
            </w:r>
          </w:p>
        </w:tc>
        <w:tc>
          <w:tcPr/>
          <w:p>
            <w:pPr>
              <w:pStyle w:val="Compact"/>
              <w:jc w:val="right"/>
            </w:pPr>
            <w:r>
              <w:t xml:space="preserve">-0.242</w:t>
            </w:r>
          </w:p>
        </w:tc>
        <w:tc>
          <w:tcPr/>
          <w:p>
            <w:pPr>
              <w:pStyle w:val="Compact"/>
              <w:jc w:val="right"/>
            </w:pPr>
            <w:r>
              <w:t xml:space="preserve">0.037</w:t>
            </w:r>
          </w:p>
        </w:tc>
      </w:tr>
      <w:tr>
        <w:tc>
          <w:tcPr/>
          <w:p>
            <w:pPr>
              <w:pStyle w:val="Compact"/>
              <w:jc w:val="left"/>
            </w:pPr>
            <w:r>
              <w:t xml:space="preserve">edaphos ODE, attenuating rate (4 par)</w:t>
            </w:r>
          </w:p>
        </w:tc>
        <w:tc>
          <w:tcPr/>
          <w:p>
            <w:pPr>
              <w:pStyle w:val="Compact"/>
              <w:jc w:val="right"/>
            </w:pPr>
            <w:r>
              <w:t xml:space="preserve">1.819</w:t>
            </w:r>
          </w:p>
        </w:tc>
        <w:tc>
          <w:tcPr/>
          <w:p>
            <w:pPr>
              <w:pStyle w:val="Compact"/>
              <w:jc w:val="right"/>
            </w:pPr>
            <w:r>
              <w:t xml:space="preserve">14.74</w:t>
            </w:r>
          </w:p>
        </w:tc>
        <w:tc>
          <w:tcPr/>
          <w:p>
            <w:pPr>
              <w:pStyle w:val="Compact"/>
              <w:jc w:val="right"/>
            </w:pPr>
            <w:r>
              <w:t xml:space="preserve">-0.222</w:t>
            </w:r>
          </w:p>
        </w:tc>
        <w:tc>
          <w:tcPr/>
          <w:p>
            <w:pPr>
              <w:pStyle w:val="Compact"/>
              <w:jc w:val="right"/>
            </w:pPr>
            <w:r>
              <w:t xml:space="preserve">0.037</w:t>
            </w:r>
          </w:p>
        </w:tc>
      </w:tr>
      <w:tr>
        <w:tc>
          <w:tcPr/>
          <w:p>
            <w:pPr>
              <w:pStyle w:val="Compact"/>
              <w:jc w:val="left"/>
            </w:pPr>
            <w:r>
              <w:t xml:space="preserve">copy nearest training horizon</w:t>
            </w:r>
          </w:p>
        </w:tc>
        <w:tc>
          <w:tcPr/>
          <w:p>
            <w:pPr>
              <w:pStyle w:val="Compact"/>
              <w:jc w:val="right"/>
            </w:pPr>
            <w:r>
              <w:t xml:space="preserve">2.058</w:t>
            </w:r>
          </w:p>
        </w:tc>
        <w:tc>
          <w:tcPr/>
          <w:p>
            <w:pPr>
              <w:pStyle w:val="Compact"/>
              <w:jc w:val="right"/>
            </w:pPr>
            <w:r>
              <w:t xml:space="preserve">14.77</w:t>
            </w:r>
          </w:p>
        </w:tc>
        <w:tc>
          <w:tcPr/>
          <w:p>
            <w:pPr>
              <w:pStyle w:val="Compact"/>
              <w:jc w:val="right"/>
            </w:pPr>
            <w:r>
              <w:t xml:space="preserve">0.391</w:t>
            </w:r>
          </w:p>
        </w:tc>
        <w:tc>
          <w:tcPr/>
          <w:p>
            <w:pPr>
              <w:pStyle w:val="Compact"/>
              <w:jc w:val="right"/>
            </w:pPr>
            <w:r>
              <w:t xml:space="preserve">0.040</w:t>
            </w:r>
          </w:p>
        </w:tc>
      </w:tr>
      <w:tr>
        <w:tc>
          <w:tcPr/>
          <w:p>
            <w:pPr>
              <w:pStyle w:val="Compact"/>
              <w:jc w:val="left"/>
            </w:pPr>
            <w:r>
              <w:t xml:space="preserve">nested exponential (3 par)</w:t>
            </w:r>
          </w:p>
        </w:tc>
        <w:tc>
          <w:tcPr/>
          <w:p>
            <w:pPr>
              <w:pStyle w:val="Compact"/>
              <w:jc w:val="right"/>
            </w:pPr>
            <w:r>
              <w:t xml:space="preserve">2.073</w:t>
            </w:r>
          </w:p>
        </w:tc>
        <w:tc>
          <w:tcPr/>
          <w:p>
            <w:pPr>
              <w:pStyle w:val="Compact"/>
              <w:jc w:val="right"/>
            </w:pPr>
            <w:r>
              <w:t xml:space="preserve">14.77</w:t>
            </w:r>
          </w:p>
        </w:tc>
        <w:tc>
          <w:tcPr/>
          <w:p>
            <w:pPr>
              <w:pStyle w:val="Compact"/>
              <w:jc w:val="right"/>
            </w:pPr>
            <w:r>
              <w:t xml:space="preserve">0.081</w:t>
            </w:r>
          </w:p>
        </w:tc>
        <w:tc>
          <w:tcPr/>
          <w:p>
            <w:pPr>
              <w:pStyle w:val="Compact"/>
              <w:jc w:val="right"/>
            </w:pPr>
            <w:r>
              <w:t xml:space="preserve">0.036</w:t>
            </w:r>
          </w:p>
        </w:tc>
      </w:tr>
      <w:tr>
        <w:tc>
          <w:tcPr/>
          <w:p>
            <w:pPr>
              <w:pStyle w:val="Compact"/>
              <w:jc w:val="left"/>
            </w:pPr>
            <w:r>
              <w:t xml:space="preserve">RF, depth as covariate (pooled)</w:t>
            </w:r>
          </w:p>
        </w:tc>
        <w:tc>
          <w:tcPr/>
          <w:p>
            <w:pPr>
              <w:pStyle w:val="Compact"/>
              <w:jc w:val="right"/>
            </w:pPr>
            <w:r>
              <w:t xml:space="preserve">2.667</w:t>
            </w:r>
          </w:p>
        </w:tc>
        <w:tc>
          <w:tcPr/>
          <w:p>
            <w:pPr>
              <w:pStyle w:val="Compact"/>
              <w:jc w:val="right"/>
            </w:pPr>
            <w:r>
              <w:t xml:space="preserve">14.76</w:t>
            </w:r>
          </w:p>
        </w:tc>
        <w:tc>
          <w:tcPr/>
          <w:p>
            <w:pPr>
              <w:pStyle w:val="Compact"/>
              <w:jc w:val="right"/>
            </w:pPr>
            <w:r>
              <w:t xml:space="preserve">0.380</w:t>
            </w:r>
          </w:p>
        </w:tc>
        <w:tc>
          <w:tcPr/>
          <w:p>
            <w:pPr>
              <w:pStyle w:val="Compact"/>
              <w:jc w:val="right"/>
            </w:pPr>
            <w:r>
              <w:t xml:space="preserve">0.013</w:t>
            </w:r>
          </w:p>
        </w:tc>
      </w:tr>
      <w:tr>
        <w:tc>
          <w:tcPr/>
          <w:p>
            <w:pPr>
              <w:pStyle w:val="Compact"/>
              <w:jc w:val="left"/>
            </w:pPr>
            <w:r>
              <w:t xml:space="preserve">profile mean</w:t>
            </w:r>
          </w:p>
        </w:tc>
        <w:tc>
          <w:tcPr/>
          <w:p>
            <w:pPr>
              <w:pStyle w:val="Compact"/>
              <w:jc w:val="right"/>
            </w:pPr>
            <w:r>
              <w:t xml:space="preserve">8.000</w:t>
            </w:r>
          </w:p>
        </w:tc>
        <w:tc>
          <w:tcPr/>
          <w:p>
            <w:pPr>
              <w:pStyle w:val="Compact"/>
              <w:jc w:val="right"/>
            </w:pPr>
            <w:r>
              <w:t xml:space="preserve">17.23</w:t>
            </w:r>
          </w:p>
        </w:tc>
        <w:tc>
          <w:tcPr/>
          <w:p>
            <w:pPr>
              <w:pStyle w:val="Compact"/>
              <w:jc w:val="right"/>
            </w:pPr>
            <w:r>
              <w:t xml:space="preserve">6.548</w:t>
            </w:r>
          </w:p>
        </w:tc>
        <w:tc>
          <w:tcPr/>
          <w:p>
            <w:pPr>
              <w:pStyle w:val="Compact"/>
              <w:jc w:val="right"/>
            </w:pPr>
            <w:r>
              <w:t xml:space="preserve">0.039</w:t>
            </w:r>
          </w:p>
        </w:tc>
      </w:tr>
    </w:tbl>
    <w:p>
      <w:pPr>
        <w:pStyle w:val="BodyText"/>
      </w:pPr>
      <w:r>
        <w:rPr>
          <w:b/>
          <w:bCs/>
        </w:rPr>
        <w:t xml:space="preserve">Applying our own standard to our own pillar.</w:t>
      </w:r>
      <w:r>
        <w:t xml:space="preserve"> </w:t>
      </w:r>
      <w:r>
        <w:t xml:space="preserve">This paper argues that coverage belongs beside accuracy. Pillar 2 is the pillar it spends most of its pages on, and every number above it is an error statistic; nothing so far has said whether its interval covers. Scored where the point prediction is scored — the held-out deepest horizon, over profiles in the declared domain — on 150 profiles: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Subset</w:t>
            </w:r>
          </w:p>
        </w:tc>
        <w:tc>
          <w:tcPr/>
          <w:p>
            <w:pPr>
              <w:pStyle w:val="Compact"/>
              <w:jc w:val="right"/>
            </w:pPr>
            <w:r>
              <w:t xml:space="preserve">n</w:t>
            </w:r>
          </w:p>
        </w:tc>
        <w:tc>
          <w:tcPr/>
          <w:p>
            <w:pPr>
              <w:pStyle w:val="Compact"/>
              <w:jc w:val="right"/>
            </w:pPr>
            <w:r>
              <w:t xml:space="preserve">PICP</w:t>
            </w:r>
          </w:p>
        </w:tc>
        <w:tc>
          <w:tcPr/>
          <w:p>
            <w:pPr>
              <w:pStyle w:val="Compact"/>
              <w:jc w:val="right"/>
            </w:pPr>
            <w:r>
              <w:t xml:space="preserve">MPIW</w:t>
            </w:r>
          </w:p>
        </w:tc>
        <w:tc>
          <w:tcPr/>
          <w:p>
            <w:pPr>
              <w:pStyle w:val="Compact"/>
              <w:jc w:val="right"/>
            </w:pPr>
            <w:r>
              <w:t xml:space="preserve">Interval score</w:t>
            </w:r>
          </w:p>
        </w:tc>
      </w:tr>
      <w:tr>
        <w:tc>
          <w:tcPr/>
          <w:p>
            <w:pPr>
              <w:pStyle w:val="Compact"/>
              <w:jc w:val="left"/>
            </w:pPr>
            <w:r>
              <w:t xml:space="preserve">all fits</w:t>
            </w:r>
          </w:p>
        </w:tc>
        <w:tc>
          <w:tcPr/>
          <w:p>
            <w:pPr>
              <w:pStyle w:val="Compact"/>
              <w:jc w:val="right"/>
            </w:pPr>
            <w:r>
              <w:t xml:space="preserve">150</w:t>
            </w:r>
          </w:p>
        </w:tc>
        <w:tc>
          <w:tcPr/>
          <w:p>
            <w:pPr>
              <w:pStyle w:val="Compact"/>
              <w:jc w:val="right"/>
            </w:pPr>
            <w:r>
              <w:t xml:space="preserve">0.520</w:t>
            </w:r>
          </w:p>
        </w:tc>
        <w:tc>
          <w:tcPr/>
          <w:p>
            <w:pPr>
              <w:pStyle w:val="Compact"/>
              <w:jc w:val="right"/>
            </w:pPr>
            <w:r>
              <w:t xml:space="preserve">3.38</w:t>
            </w:r>
          </w:p>
        </w:tc>
        <w:tc>
          <w:tcPr/>
          <w:p>
            <w:pPr>
              <w:pStyle w:val="Compact"/>
              <w:jc w:val="right"/>
            </w:pPr>
            <w:r>
              <w:t xml:space="preserve">5.22</w:t>
            </w:r>
          </w:p>
        </w:tc>
      </w:tr>
      <w:tr>
        <w:tc>
          <w:tcPr/>
          <w:p>
            <w:pPr>
              <w:pStyle w:val="Compact"/>
              <w:jc w:val="left"/>
            </w:pPr>
            <w:r>
              <w:t xml:space="preserve">converged fits only</w:t>
            </w:r>
          </w:p>
        </w:tc>
        <w:tc>
          <w:tcPr/>
          <w:p>
            <w:pPr>
              <w:pStyle w:val="Compact"/>
              <w:jc w:val="right"/>
            </w:pPr>
            <w:r>
              <w:t xml:space="preserve">41</w:t>
            </w:r>
          </w:p>
        </w:tc>
        <w:tc>
          <w:tcPr/>
          <w:p>
            <w:pPr>
              <w:pStyle w:val="Compact"/>
              <w:jc w:val="right"/>
            </w:pPr>
            <w:r>
              <w:t xml:space="preserve">0.756</w:t>
            </w:r>
          </w:p>
        </w:tc>
        <w:tc>
          <w:tcPr/>
          <w:p>
            <w:pPr>
              <w:pStyle w:val="Compact"/>
              <w:jc w:val="right"/>
            </w:pPr>
            <w:r>
              <w:t xml:space="preserve">6.00</w:t>
            </w:r>
          </w:p>
        </w:tc>
        <w:tc>
          <w:tcPr/>
          <w:p>
            <w:pPr>
              <w:pStyle w:val="Compact"/>
              <w:jc w:val="right"/>
            </w:pPr>
            <w:r>
              <w:t xml:space="preserve">5.53</w:t>
            </w:r>
          </w:p>
        </w:tc>
      </w:tr>
    </w:tbl>
    <w:p>
      <w:pPr>
        <w:pStyle w:val="BodyText"/>
      </w:pPr>
      <w:r>
        <w:rPr>
          <w:b/>
          <w:bCs/>
        </w:rPr>
        <w:t xml:space="preserve">Table 7. Coverage of the Pillar-2 predictive interval.</w:t>
      </w:r>
      <w:r>
        <w:t xml:space="preserve"> </w:t>
      </w:r>
      <w:r>
        <w:t xml:space="preserve">Nominal 0.90. The interval is the predictive one for a future</w:t>
      </w:r>
      <w:r>
        <w:t xml:space="preserve"> </w:t>
      </w:r>
      <w:r>
        <w:rPr>
          <w:i/>
          <w:iCs/>
        </w:rPr>
        <w:t xml:space="preserve">observation</w:t>
      </w:r>
      <w:r>
        <w:t xml:space="preserve">, which is what a held-out laboratory value is. The interval score</w:t>
      </w:r>
      <w:r>
        <w:t xml:space="preserve"> </w:t>
      </w:r>
      <w:r>
        <w:t xml:space="preserve">[10]</w:t>
      </w:r>
      <w:r>
        <w:t xml:space="preserve"> </w:t>
      </w:r>
      <w:r>
        <w:t xml:space="preserve">is width plus a penalty per miss, so coverage cannot be bought with width alone; lower is better.</w:t>
      </w:r>
    </w:p>
    <w:p>
      <w:pPr>
        <w:pStyle w:val="BodyText"/>
      </w:pPr>
      <w:r>
        <w:t xml:space="preserve">It undercovers badly. A nominal 90% interval contains the held-out value 52% of the time, and restricting to the fits that genuinely converge — 27% of them — only lifts it to 76%. Widening is not the missing ingredient: the converged subset already has intervals 1.8 times wider and still misses a quarter of the time.</w:t>
      </w:r>
    </w:p>
    <w:p>
      <w:pPr>
        <w:pStyle w:val="BodyText"/>
      </w:pPr>
      <w:r>
        <w:t xml:space="preserve">The reason is a limitation of the interval rather than of the sampler, and it is worth stating precisely because it applies to every physics-informed model of this shape. What the posterior propagates is uncertainty in the</w:t>
      </w:r>
      <w:r>
        <w:t xml:space="preserve"> </w:t>
      </w:r>
      <w:r>
        <w:rPr>
          <w:i/>
          <w:iCs/>
        </w:rPr>
        <w:t xml:space="preserve">parameters</w:t>
      </w:r>
      <w:r>
        <w:t xml:space="preserve"> </w:t>
      </w:r>
      <w:r>
        <w:t xml:space="preserve">and in the observation noise, conditional on the equation being right. The held-out horizon is deeper than anything the fit saw, so the dominant error there is that the equation’s shape is wrong below the data — and a within-model interval cannot represent that. Coverage improves with depth (0.54 for horizons at 100–200 cm against 0.35 at 50–100 cm), which is consistent with that reading: a profile whose deepest horizon is already at 200 cm has been observed through most of its curvature.</w:t>
      </w:r>
    </w:p>
    <w:p>
      <w:pPr>
        <w:pStyle w:val="BodyText"/>
      </w:pPr>
      <w:r>
        <w:t xml:space="preserve">We report this as a failure of the pillar’s uncertainty, not as a caveat. A method that is more confident than it is correct is exactly what this paper’s benchmark section is built to expose, and the same standard has to survive being turned inward.</w:t>
      </w:r>
    </w:p>
    <w:p>
      <w:pPr>
        <w:pStyle w:val="BodyText"/>
      </w:pPr>
      <w:r>
        <w:rPr>
          <w:b/>
          <w:bCs/>
        </w:rPr>
        <w:t xml:space="preserve">Stock, on the profiles that can carry it.</w:t>
      </w:r>
      <w:r>
        <w:t xml:space="preserve"> </w:t>
      </w:r>
      <w:r>
        <w:t xml:space="preserve">Carbon stock, not concentration, is the quantity that is conserved, mapped and reported to inventories, and every number above is a concentration. We wrote earlier that WoSIS bulk density covers 3.9% of these horizons and that a stock comparison would therefore rest on a pedotransfer function rather than on measurement. The first half is true; the second was too quick.</w:t>
      </w:r>
    </w:p>
    <w:p>
      <w:pPr>
        <w:pStyle w:val="BodyText"/>
      </w:pPr>
      <w:r>
        <w:t xml:space="preserve">Repeating the leave-the-deepest-horizon-out task in stock units needs a measured density on that horizon, and exactly two profiles in this archive have one — so on</w:t>
      </w:r>
      <w:r>
        <w:t xml:space="preserve"> </w:t>
      </w:r>
      <w:r>
        <w:rPr>
          <w:i/>
          <w:iCs/>
        </w:rPr>
        <w:t xml:space="preserve">that</w:t>
      </w:r>
      <w:r>
        <w:t xml:space="preserve"> </w:t>
      </w:r>
      <w:r>
        <w:t xml:space="preserve">task the original statement stands. On the other pre-declared task, holding out an interior horizon, 35 profiles carry a measured interior density and 24 of those also have monotone training horizons. That is enough for a comparison, and it needs no pedotransfer function at all: the model’s predicted concentration is converted with the held-out horizon’s own measured density and thickness, the same arithmetic the observation went through, so the only thing scored is the depth function.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Mean error</w:t>
            </w:r>
          </w:p>
        </w:tc>
      </w:tr>
      <w:tr>
        <w:tc>
          <w:tcPr/>
          <w:p>
            <w:pPr>
              <w:pStyle w:val="Compact"/>
              <w:jc w:val="left"/>
            </w:pPr>
            <w:r>
              <w:t xml:space="preserve">edaphos ODE</w:t>
            </w:r>
          </w:p>
        </w:tc>
        <w:tc>
          <w:tcPr/>
          <w:p>
            <w:pPr>
              <w:pStyle w:val="Compact"/>
              <w:jc w:val="right"/>
            </w:pPr>
            <w:r>
              <w:t xml:space="preserve">9.50</w:t>
            </w:r>
          </w:p>
        </w:tc>
        <w:tc>
          <w:tcPr/>
          <w:p>
            <w:pPr>
              <w:pStyle w:val="Compact"/>
              <w:jc w:val="right"/>
            </w:pPr>
            <w:r>
              <w:t xml:space="preserve">6.85</w:t>
            </w:r>
          </w:p>
        </w:tc>
        <w:tc>
          <w:tcPr/>
          <w:p>
            <w:pPr>
              <w:pStyle w:val="Compact"/>
              <w:jc w:val="right"/>
            </w:pPr>
            <w:r>
              <w:t xml:space="preserve">-3.88</w:t>
            </w:r>
          </w:p>
        </w:tc>
      </w:tr>
      <w:tr>
        <w:tc>
          <w:tcPr/>
          <w:p>
            <w:pPr>
              <w:pStyle w:val="Compact"/>
              <w:jc w:val="left"/>
            </w:pPr>
            <w:r>
              <w:t xml:space="preserve">copy nearest training horizon</w:t>
            </w:r>
          </w:p>
        </w:tc>
        <w:tc>
          <w:tcPr/>
          <w:p>
            <w:pPr>
              <w:pStyle w:val="Compact"/>
              <w:jc w:val="right"/>
            </w:pPr>
            <w:r>
              <w:t xml:space="preserve">15.98</w:t>
            </w:r>
          </w:p>
        </w:tc>
        <w:tc>
          <w:tcPr/>
          <w:p>
            <w:pPr>
              <w:pStyle w:val="Compact"/>
              <w:jc w:val="right"/>
            </w:pPr>
            <w:r>
              <w:t xml:space="preserve">13.42</w:t>
            </w:r>
          </w:p>
        </w:tc>
        <w:tc>
          <w:tcPr/>
          <w:p>
            <w:pPr>
              <w:pStyle w:val="Compact"/>
              <w:jc w:val="right"/>
            </w:pPr>
            <w:r>
              <w:t xml:space="preserve">10.96</w:t>
            </w:r>
          </w:p>
        </w:tc>
      </w:tr>
      <w:tr>
        <w:tc>
          <w:tcPr/>
          <w:p>
            <w:pPr>
              <w:pStyle w:val="Compact"/>
              <w:jc w:val="left"/>
            </w:pPr>
            <w:r>
              <w:t xml:space="preserve">profile mean</w:t>
            </w:r>
          </w:p>
        </w:tc>
        <w:tc>
          <w:tcPr/>
          <w:p>
            <w:pPr>
              <w:pStyle w:val="Compact"/>
              <w:jc w:val="right"/>
            </w:pPr>
            <w:r>
              <w:t xml:space="preserve">50.42</w:t>
            </w:r>
          </w:p>
        </w:tc>
        <w:tc>
          <w:tcPr/>
          <w:p>
            <w:pPr>
              <w:pStyle w:val="Compact"/>
              <w:jc w:val="right"/>
            </w:pPr>
            <w:r>
              <w:t xml:space="preserve">39.95</w:t>
            </w:r>
          </w:p>
        </w:tc>
        <w:tc>
          <w:tcPr/>
          <w:p>
            <w:pPr>
              <w:pStyle w:val="Compact"/>
              <w:jc w:val="right"/>
            </w:pPr>
            <w:r>
              <w:t xml:space="preserve">39.04</w:t>
            </w:r>
          </w:p>
        </w:tc>
      </w:tr>
    </w:tbl>
    <w:p>
      <w:pPr>
        <w:pStyle w:val="BodyText"/>
      </w:pPr>
      <w:r>
        <w:rPr>
          <w:b/>
          <w:bCs/>
        </w:rPr>
        <w:t xml:space="preserve">Table 8. Held-out interior horizon scored as carbon stock, Mg/ha.</w:t>
      </w:r>
      <w:r>
        <w:t xml:space="preserve"> </w:t>
      </w:r>
      <w:r>
        <w:t xml:space="preserve">The 24 profiles in the declared domain that carry a measured bulk density on an interior horizon. Held-out depths run from 25 to 305 cm and observed stocks from 5.5 to 112.0 Mg/ha. This is an interpolation task and is</w:t>
      </w:r>
      <w:r>
        <w:t xml:space="preserve"> </w:t>
      </w:r>
      <w:r>
        <w:rPr>
          <w:i/>
          <w:iCs/>
        </w:rPr>
        <w:t xml:space="preserve">not</w:t>
      </w:r>
      <w:r>
        <w:t xml:space="preserve"> </w:t>
      </w:r>
      <w:r>
        <w:t xml:space="preserve">comparable to Table 6, which holds out the deepest horizon.</w:t>
      </w:r>
    </w:p>
    <w:p>
      <w:pPr>
        <w:pStyle w:val="BodyText"/>
      </w:pPr>
      <w:r>
        <w:t xml:space="preserve">The equation wins, and by more than it does on concentration: mean absolute error 6.9 Mg/ha against 13.4 for copying the nearest measured horizon, 18 wins of 24 and a paired Wilcoxon</w:t>
      </w:r>
      <w:r>
        <w:t xml:space="preserve"> </w:t>
      </w:r>
      <w:r>
        <w:rPr>
          <w:i/>
          <w:iCs/>
        </w:rPr>
        <w:t xml:space="preserve">p</w:t>
      </w:r>
      <w:r>
        <w:t xml:space="preserve"> </w:t>
      </w:r>
      <w:r>
        <w:t xml:space="preserve">of 0.0043. The ranking is the same one the concentration scoring gives on these same profiles, which is the part worth stating: the conclusion survives the change of units.</w:t>
      </w:r>
    </w:p>
    <w:p>
      <w:pPr>
        <w:pStyle w:val="BodyText"/>
      </w:pPr>
      <w:r>
        <w:t xml:space="preserve">With 24 profiles this is an indication and not a validation, and we report it as one.</w:t>
      </w:r>
    </w:p>
    <w:p>
      <w:pPr>
        <w:pStyle w:val="BodyText"/>
      </w:pPr>
      <w:r>
        <w:rPr>
          <w:b/>
          <w:bCs/>
        </w:rPr>
        <w:t xml:space="preserve">Building the pedotransfer function, and what it turned out to cost.</w:t>
      </w:r>
      <w:r>
        <w:t xml:space="preserve"> </w:t>
      </w:r>
      <w:r>
        <w:t xml:space="preserve">The paragraph above used to end by saying a stock comparison at scale would need a pedotransfer function we had not built. It exists now, and reporting it changes the conclusion less than building it suggested it would.</w:t>
      </w:r>
    </w:p>
    <w:p>
      <w:pPr>
        <w:pStyle w:val="BodyText"/>
      </w:pPr>
      <w:r>
        <w:t xml:space="preserve">The obstacle was never the method but the calibration data: WoSIS carries a measured density for 3.9% of these horizons. The</w:t>
      </w:r>
      <w:r>
        <w:t xml:space="preserve"> </w:t>
      </w:r>
      <w:r>
        <w:rPr>
          <w:rStyle w:val="VerbatimChar"/>
        </w:rPr>
        <w:t xml:space="preserve">febr</w:t>
      </w:r>
      <w:r>
        <w:t xml:space="preserve"> </w:t>
      </w:r>
      <w:r>
        <w:t xml:space="preserve">package’s static snapshot does not help — its copy of dataset ctb0017 has no density column at all — but the live SoilData repository’s copy of the</w:t>
      </w:r>
      <w:r>
        <w:t xml:space="preserve"> </w:t>
      </w:r>
      <w:r>
        <w:rPr>
          <w:i/>
          <w:iCs/>
        </w:rPr>
        <w:t xml:space="preserve">same</w:t>
      </w:r>
      <w:r>
        <w:t xml:space="preserve"> </w:t>
      </w:r>
      <w:r>
        <w:t xml:space="preserve">dataset carries 166 horizons over 83 profiles in the Rio Uberaba basin, Minas Gerais, every one with measured bulk density, carbon and particle size, and 144 of them Latossolos — the order the Cerrado is mostly made of.</w:t>
      </w:r>
    </w:p>
    <w:p>
      <w:pPr>
        <w:pStyle w:val="BodyText"/>
      </w:pPr>
      <w:r>
        <w:t xml:space="preserve">Calibrated there and validated on spatially blocked folds, the function is barely worth having:</w:t>
      </w:r>
    </w:p>
    <w:tbl>
      <w:tblPr>
        <w:tblStyle w:val="Table"/>
        <w:tblW w:type="pct" w:w="5000"/>
        <w:tblLayout w:type="fixed"/>
        <w:tblLook w:firstRow="1" w:lastRow="0" w:firstColumn="0" w:lastColumn="0" w:noHBand="0" w:noVBand="0" w:val="0020"/>
      </w:tblPr>
      <w:tblGrid>
        <w:gridCol w:w="2996"/>
        <w:gridCol w:w="749"/>
        <w:gridCol w:w="749"/>
        <w:gridCol w:w="1498"/>
        <w:gridCol w:w="1926"/>
      </w:tblGrid>
      <w:tr>
        <w:trPr>
          <w:tblHeader w:val="on"/>
        </w:trPr>
        <w:tc>
          <w:tcPr/>
          <w:p>
            <w:pPr>
              <w:pStyle w:val="Compact"/>
              <w:jc w:val="left"/>
            </w:pPr>
            <w:r>
              <w:t xml:space="preserve">Model</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Relative RMSE</w:t>
            </w:r>
          </w:p>
        </w:tc>
        <w:tc>
          <w:tcPr/>
          <w:p>
            <w:pPr>
              <w:pStyle w:val="Compact"/>
              <w:jc w:val="right"/>
            </w:pPr>
            <w:r>
              <w:t xml:space="preserve">Skill vs constant</w:t>
            </w:r>
          </w:p>
        </w:tc>
      </w:tr>
      <w:tr>
        <w:tc>
          <w:tcPr/>
          <w:p>
            <w:pPr>
              <w:pStyle w:val="Compact"/>
              <w:jc w:val="left"/>
            </w:pPr>
            <w:r>
              <w:t xml:space="preserve">carbon only (log-linear)</w:t>
            </w:r>
          </w:p>
        </w:tc>
        <w:tc>
          <w:tcPr/>
          <w:p>
            <w:pPr>
              <w:pStyle w:val="Compact"/>
              <w:jc w:val="right"/>
            </w:pPr>
            <w:r>
              <w:t xml:space="preserve">0.1701</w:t>
            </w:r>
          </w:p>
        </w:tc>
        <w:tc>
          <w:tcPr/>
          <w:p>
            <w:pPr>
              <w:pStyle w:val="Compact"/>
              <w:jc w:val="right"/>
            </w:pPr>
            <w:r>
              <w:t xml:space="preserve">0.1359</w:t>
            </w:r>
          </w:p>
        </w:tc>
        <w:tc>
          <w:tcPr/>
          <w:p>
            <w:pPr>
              <w:pStyle w:val="Compact"/>
              <w:jc w:val="right"/>
            </w:pPr>
            <w:r>
              <w:t xml:space="preserve">11.8%</w:t>
            </w:r>
          </w:p>
        </w:tc>
        <w:tc>
          <w:tcPr/>
          <w:p>
            <w:pPr>
              <w:pStyle w:val="Compact"/>
              <w:jc w:val="right"/>
            </w:pPr>
            <w:r>
              <w:t xml:space="preserve">0.044</w:t>
            </w:r>
          </w:p>
        </w:tc>
      </w:tr>
      <w:tr>
        <w:tc>
          <w:tcPr/>
          <w:p>
            <w:pPr>
              <w:pStyle w:val="Compact"/>
              <w:jc w:val="left"/>
            </w:pPr>
            <w:r>
              <w:t xml:space="preserve">carbon + depth + texture</w:t>
            </w:r>
          </w:p>
        </w:tc>
        <w:tc>
          <w:tcPr/>
          <w:p>
            <w:pPr>
              <w:pStyle w:val="Compact"/>
              <w:jc w:val="right"/>
            </w:pPr>
            <w:r>
              <w:t xml:space="preserve">0.1710</w:t>
            </w:r>
          </w:p>
        </w:tc>
        <w:tc>
          <w:tcPr/>
          <w:p>
            <w:pPr>
              <w:pStyle w:val="Compact"/>
              <w:jc w:val="right"/>
            </w:pPr>
            <w:r>
              <w:t xml:space="preserve">0.1320</w:t>
            </w:r>
          </w:p>
        </w:tc>
        <w:tc>
          <w:tcPr/>
          <w:p>
            <w:pPr>
              <w:pStyle w:val="Compact"/>
              <w:jc w:val="right"/>
            </w:pPr>
            <w:r>
              <w:t xml:space="preserve">11.9%</w:t>
            </w:r>
          </w:p>
        </w:tc>
        <w:tc>
          <w:tcPr/>
          <w:p>
            <w:pPr>
              <w:pStyle w:val="Compact"/>
              <w:jc w:val="right"/>
            </w:pPr>
            <w:r>
              <w:t xml:space="preserve">0.034</w:t>
            </w:r>
          </w:p>
        </w:tc>
      </w:tr>
      <w:tr>
        <w:tc>
          <w:tcPr/>
          <w:p>
            <w:pPr>
              <w:pStyle w:val="Compact"/>
              <w:jc w:val="left"/>
            </w:pPr>
            <w:r>
              <w:t xml:space="preserve">random forest</w:t>
            </w:r>
          </w:p>
        </w:tc>
        <w:tc>
          <w:tcPr/>
          <w:p>
            <w:pPr>
              <w:pStyle w:val="Compact"/>
              <w:jc w:val="right"/>
            </w:pPr>
            <w:r>
              <w:t xml:space="preserve">0.1711</w:t>
            </w:r>
          </w:p>
        </w:tc>
        <w:tc>
          <w:tcPr/>
          <w:p>
            <w:pPr>
              <w:pStyle w:val="Compact"/>
              <w:jc w:val="right"/>
            </w:pPr>
            <w:r>
              <w:t xml:space="preserve">0.1360</w:t>
            </w:r>
          </w:p>
        </w:tc>
        <w:tc>
          <w:tcPr/>
          <w:p>
            <w:pPr>
              <w:pStyle w:val="Compact"/>
              <w:jc w:val="right"/>
            </w:pPr>
            <w:r>
              <w:t xml:space="preserve">11.9%</w:t>
            </w:r>
          </w:p>
        </w:tc>
        <w:tc>
          <w:tcPr/>
          <w:p>
            <w:pPr>
              <w:pStyle w:val="Compact"/>
              <w:jc w:val="right"/>
            </w:pPr>
            <w:r>
              <w:t xml:space="preserve">0.033</w:t>
            </w:r>
          </w:p>
        </w:tc>
      </w:tr>
      <w:tr>
        <w:tc>
          <w:tcPr/>
          <w:p>
            <w:pPr>
              <w:pStyle w:val="Compact"/>
              <w:jc w:val="left"/>
            </w:pPr>
            <w:r>
              <w:t xml:space="preserve">constant (profile-set mean)</w:t>
            </w:r>
          </w:p>
        </w:tc>
        <w:tc>
          <w:tcPr/>
          <w:p>
            <w:pPr>
              <w:pStyle w:val="Compact"/>
              <w:jc w:val="right"/>
            </w:pPr>
            <w:r>
              <w:t xml:space="preserve">0.1740</w:t>
            </w:r>
          </w:p>
        </w:tc>
        <w:tc>
          <w:tcPr/>
          <w:p>
            <w:pPr>
              <w:pStyle w:val="Compact"/>
              <w:jc w:val="right"/>
            </w:pPr>
            <w:r>
              <w:t xml:space="preserve">0.1396</w:t>
            </w:r>
          </w:p>
        </w:tc>
        <w:tc>
          <w:tcPr/>
          <w:p>
            <w:pPr>
              <w:pStyle w:val="Compact"/>
              <w:jc w:val="right"/>
            </w:pPr>
            <w:r>
              <w:t xml:space="preserve">12.1%</w:t>
            </w:r>
          </w:p>
        </w:tc>
        <w:tc>
          <w:tcPr/>
          <w:p>
            <w:pPr>
              <w:pStyle w:val="Compact"/>
              <w:jc w:val="right"/>
            </w:pPr>
            <w:r>
              <w:t xml:space="preserve">0.000</w:t>
            </w:r>
          </w:p>
        </w:tc>
      </w:tr>
    </w:tbl>
    <w:p>
      <w:pPr>
        <w:pStyle w:val="BodyText"/>
      </w:pPr>
      <w:r>
        <w:rPr>
          <w:b/>
          <w:bCs/>
        </w:rPr>
        <w:t xml:space="preserve">Table 9. A bulk-density pedotransfer function, on spatially blocked folds.</w:t>
      </w:r>
      <w:r>
        <w:t xml:space="preserve"> </w:t>
      </w:r>
      <w:r>
        <w:t xml:space="preserve">Calibrated on the Rio Uberaba horizons.</w:t>
      </w:r>
      <w:r>
        <w:t xml:space="preserve"> </w:t>
      </w:r>
      <w:r>
        <w:t xml:space="preserve">“Skill”</w:t>
      </w:r>
      <w:r>
        <w:t xml:space="preserve"> </w:t>
      </w:r>
      <w:r>
        <w:t xml:space="preserve">is the proportional reduction in squared error against a single mean density — the achievable null, not the test-fold mean.</w:t>
      </w:r>
    </w:p>
    <w:p>
      <w:pPr>
        <w:pStyle w:val="BodyText"/>
      </w:pPr>
      <w:r>
        <w:t xml:space="preserve">A log-linear function of carbon is the best of the four and improves on a constant density by 4.4% of squared error. A random forest with texture and depth does no better. On this basin, in other words, one number is very nearly as good as any function we could fit.</w:t>
      </w:r>
    </w:p>
    <w:p>
      <w:pPr>
        <w:pStyle w:val="BodyText"/>
      </w:pPr>
      <w:r>
        <w:rPr>
          <w:b/>
          <w:bCs/>
        </w:rPr>
        <w:t xml:space="preserve">And it is worse than that where it is used.</w:t>
      </w:r>
      <w:r>
        <w:t xml:space="preserve"> </w:t>
      </w:r>
      <w:r>
        <w:t xml:space="preserve">The blocked estimate is what the function achieves inside its own basin. Applied to the WoSIS profiles that carry a measured density, it is not a 11.8% error but a 26.0% one, and most of that is bias: the measured densities run from 0.83 to 1.50 g/cm³ while the function never predicts below 1.41. Substituting it for the measured density raises the stock error on those profiles from 6.85 to 9.19 Mg/ha. A cross-validated error estimated inside one basin understates the error in application by more than a factor of two, which is worth stating plainly because it is the ordinary fate of a pedotransfer function moved off its calibration set.</w:t>
      </w:r>
    </w:p>
    <w:p>
      <w:pPr>
        <w:pStyle w:val="BodyText"/>
      </w:pPr>
      <w:r>
        <w:rPr>
          <w:b/>
          <w:bCs/>
        </w:rPr>
        <w:t xml:space="preserve">What it does buy.</w:t>
      </w:r>
      <w:r>
        <w:t xml:space="preserve"> </w:t>
      </w:r>
      <w:r>
        <w:t xml:space="preserve">Because the density model is common to every method, its error largely cancels in a paired comparison, so it extends the</w:t>
      </w:r>
      <w:r>
        <w:t xml:space="preserve"> </w:t>
      </w:r>
      <w:r>
        <w:rPr>
          <w:i/>
          <w:iCs/>
        </w:rPr>
        <w:t xml:space="preserve">ranking</w:t>
      </w:r>
      <w:r>
        <w:t xml:space="preserve"> </w:t>
      </w:r>
      <w:r>
        <w:t xml:space="preserve">— not the absolute stock — from 24 profiles to 935: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Mean error</w:t>
            </w:r>
          </w:p>
        </w:tc>
      </w:tr>
      <w:tr>
        <w:tc>
          <w:tcPr/>
          <w:p>
            <w:pPr>
              <w:pStyle w:val="Compact"/>
              <w:jc w:val="left"/>
            </w:pPr>
            <w:r>
              <w:t xml:space="preserve">edaphos ODE</w:t>
            </w:r>
          </w:p>
        </w:tc>
        <w:tc>
          <w:tcPr/>
          <w:p>
            <w:pPr>
              <w:pStyle w:val="Compact"/>
              <w:jc w:val="right"/>
            </w:pPr>
            <w:r>
              <w:t xml:space="preserve">87.8</w:t>
            </w:r>
          </w:p>
        </w:tc>
        <w:tc>
          <w:tcPr/>
          <w:p>
            <w:pPr>
              <w:pStyle w:val="Compact"/>
              <w:jc w:val="right"/>
            </w:pPr>
            <w:r>
              <w:t xml:space="preserve">11.33</w:t>
            </w:r>
          </w:p>
        </w:tc>
        <w:tc>
          <w:tcPr/>
          <w:p>
            <w:pPr>
              <w:pStyle w:val="Compact"/>
              <w:jc w:val="right"/>
            </w:pPr>
            <w:r>
              <w:t xml:space="preserve">-1.18</w:t>
            </w:r>
          </w:p>
        </w:tc>
      </w:tr>
      <w:tr>
        <w:tc>
          <w:tcPr/>
          <w:p>
            <w:pPr>
              <w:pStyle w:val="Compact"/>
              <w:jc w:val="left"/>
            </w:pPr>
            <w:r>
              <w:t xml:space="preserve">copy nearest training horizon</w:t>
            </w:r>
          </w:p>
        </w:tc>
        <w:tc>
          <w:tcPr/>
          <w:p>
            <w:pPr>
              <w:pStyle w:val="Compact"/>
              <w:jc w:val="right"/>
            </w:pPr>
            <w:r>
              <w:t xml:space="preserve">88.3</w:t>
            </w:r>
          </w:p>
        </w:tc>
        <w:tc>
          <w:tcPr/>
          <w:p>
            <w:pPr>
              <w:pStyle w:val="Compact"/>
              <w:jc w:val="right"/>
            </w:pPr>
            <w:r>
              <w:t xml:space="preserve">13.06</w:t>
            </w:r>
          </w:p>
        </w:tc>
        <w:tc>
          <w:tcPr/>
          <w:p>
            <w:pPr>
              <w:pStyle w:val="Compact"/>
              <w:jc w:val="right"/>
            </w:pPr>
            <w:r>
              <w:t xml:space="preserve">3.14</w:t>
            </w:r>
          </w:p>
        </w:tc>
      </w:tr>
      <w:tr>
        <w:tc>
          <w:tcPr/>
          <w:p>
            <w:pPr>
              <w:pStyle w:val="Compact"/>
              <w:jc w:val="left"/>
            </w:pPr>
            <w:r>
              <w:t xml:space="preserve">profile mean</w:t>
            </w:r>
          </w:p>
        </w:tc>
        <w:tc>
          <w:tcPr/>
          <w:p>
            <w:pPr>
              <w:pStyle w:val="Compact"/>
              <w:jc w:val="right"/>
            </w:pPr>
            <w:r>
              <w:t xml:space="preserve">107.8</w:t>
            </w:r>
          </w:p>
        </w:tc>
        <w:tc>
          <w:tcPr/>
          <w:p>
            <w:pPr>
              <w:pStyle w:val="Compact"/>
              <w:jc w:val="right"/>
            </w:pPr>
            <w:r>
              <w:t xml:space="preserve">50.42</w:t>
            </w:r>
          </w:p>
        </w:tc>
        <w:tc>
          <w:tcPr/>
          <w:p>
            <w:pPr>
              <w:pStyle w:val="Compact"/>
              <w:jc w:val="right"/>
            </w:pPr>
            <w:r>
              <w:t xml:space="preserve">41.88</w:t>
            </w:r>
          </w:p>
        </w:tc>
      </w:tr>
    </w:tbl>
    <w:p>
      <w:pPr>
        <w:pStyle w:val="BodyText"/>
      </w:pPr>
      <w:r>
        <w:rPr>
          <w:b/>
          <w:bCs/>
        </w:rPr>
        <w:t xml:space="preserve">Table 10. The depth models scored in Mg/ha over 935 profiles.</w:t>
      </w:r>
      <w:r>
        <w:t xml:space="preserve"> </w:t>
      </w:r>
      <w:r>
        <w:t xml:space="preserve">Density is</w:t>
      </w:r>
      <w:r>
        <w:t xml:space="preserve"> </w:t>
      </w:r>
      <w:r>
        <w:rPr>
          <w:i/>
          <w:iCs/>
        </w:rPr>
        <w:t xml:space="preserve">modelled</w:t>
      </w:r>
      <w:r>
        <w:t xml:space="preserve"> </w:t>
      </w:r>
      <w:r>
        <w:t xml:space="preserve">on both sides, so these are not validated stocks; what the table tests is whether the ranking survives the change of units at scale. Held-out deepest horizon, declared domain.</w:t>
      </w:r>
    </w:p>
    <w:p>
      <w:pPr>
        <w:pStyle w:val="BodyText"/>
      </w:pPr>
      <w:r>
        <w:t xml:space="preserve">It survives. The equation leads on mean absolute error and wins 579 of 935 paired comparisons against copying the nearest measured horizon (</w:t>
      </w:r>
      <w:r>
        <w:rPr>
          <w:i/>
          <w:iCs/>
        </w:rPr>
        <w:t xml:space="preserve">p</w:t>
      </w:r>
      <w:r>
        <w:t xml:space="preserve"> </w:t>
      </w:r>
      <w:r>
        <w:t xml:space="preserve">= 1.1e-16), the same direction the concentration scoring gives. The gap between RMSE and MAE is the same heavy tail Table 6 reports, and for the same ten profiles.</w:t>
      </w:r>
    </w:p>
    <w:p>
      <w:pPr>
        <w:pStyle w:val="BodyText"/>
      </w:pPr>
      <w:r>
        <w:t xml:space="preserve">So the promise is discharged, and the answer it returns is a limit rather than a result: a stock comparison at Cerrado scale is possible, its ranking is trustworthy, and its absolute values are not — because the density that would make them absolute is, on this evidence, barely predictable from what the archive records.</w:t>
      </w:r>
    </w:p>
    <w:p>
      <w:pPr>
        <w:pStyle w:val="BodyText"/>
      </w:pPr>
      <w:r>
        <w:rPr>
          <w:b/>
          <w:bCs/>
        </w:rPr>
        <w:t xml:space="preserve">What declaring the validity domain does, and does not, buy.</w:t>
      </w:r>
      <w:r>
        <w:t xml:space="preserve"> </w:t>
      </w:r>
      <m:oMath>
        <m:sSub>
          <m:e>
            <m:r>
              <m:t>λ</m:t>
            </m:r>
          </m:e>
          <m:sub>
            <m:r>
              <m:t>0</m:t>
            </m:r>
          </m:sub>
        </m:sSub>
        <m:r>
          <m:rPr>
            <m:sty m:val="p"/>
          </m:rPr>
          <m:t>&gt;</m:t>
        </m:r>
        <m:r>
          <m:t>0</m:t>
        </m:r>
      </m:oMath>
      <w:r>
        <w:t xml:space="preserve"> </w:t>
      </w:r>
      <w:r>
        <w:t xml:space="preserve">with a first-order relaxation makes</w:t>
      </w:r>
      <w:r>
        <w:t xml:space="preserve"> </w:t>
      </w:r>
      <m:oMath>
        <m:r>
          <m:t>y</m:t>
        </m:r>
        <m:r>
          <m:rPr>
            <m:sty m:val="p"/>
          </m:rPr>
          <m:t>(</m:t>
        </m:r>
        <m:r>
          <m:t>z</m:t>
        </m:r>
        <m:r>
          <m:rPr>
            <m:sty m:val="p"/>
          </m:rPr>
          <m:t>)</m:t>
        </m:r>
      </m:oMath>
      <w:r>
        <w:t xml:space="preserve"> </w:t>
      </w:r>
      <w:r>
        <w:t xml:space="preserve">monotone by construction, so an argillic bulge, an E horizon beneath an A, or a buried A cannot be represented at all; 15.4% of these profiles are not monotone even in their training horizons. It is tempting to read that as a scope statement that rescues the model, and an earlier version of this analysis did exactly that, reporting that restricting to the monotone profiles moved the RMSE from 14.04 to 1.51.</w:t>
      </w:r>
    </w:p>
    <w:p>
      <w:pPr>
        <w:pStyle w:val="BodyText"/>
      </w:pPr>
      <w:r>
        <w:t xml:space="preserve">That reduction was an artefact of how the restriction was computed. Judging a profile monotone from its</w:t>
      </w:r>
      <w:r>
        <w:t xml:space="preserve"> </w:t>
      </w:r>
      <w:r>
        <w:rPr>
          <w:i/>
          <w:iCs/>
        </w:rPr>
        <w:t xml:space="preserve">complete</w:t>
      </w:r>
      <w:r>
        <w:t xml:space="preserve"> </w:t>
      </w:r>
      <w:r>
        <w:t xml:space="preserve">record — including the deepest horizon, the one the extrapolation task holds out — excludes precisely those profiles whose held-out horizon jumps, which are the hard cases. Sixty of the 935 profiles are monotone in their training horizons but not in the full record, and they are enough to carry the result: the largest jump of the held-out horizon is 17 g/kg among the profiles the leaking criterion admits and 427 g/kg among those the honest one admits. Computing the criterion from training horizons only, as it must be, leaves the RMSE at 14.74 rather than 1.51.</w:t>
      </w:r>
    </w:p>
    <w:p>
      <w:pPr>
        <w:pStyle w:val="BodyText"/>
      </w:pPr>
      <w:r>
        <w:t xml:space="preserve">The honest conclusion is narrower than the one that stratification appeared to license, and more useful. The model predicts the typical held-out horizon well — median absolute error 0.76 g/kg — and fails catastrophically on about one profile in a hundred, and nothing available at fit time distinguishes the two. The absolute correlation between the size of the jump in the held-out horizon and the number of training horizons, the depth of the prediction, or the model’s own extrapolation diagnostic is below 0.03 in every case. A depth function fitted to the horizons above cannot know that a buried organic horizon is coming, and declaring a validity domain does not change that, because the declaration would have to be made from the same information.</w:t>
      </w:r>
    </w:p>
    <w:p>
      <w:pPr>
        <w:pStyle w:val="BodyText"/>
      </w:pPr>
      <w:r>
        <w:rPr>
          <w:b/>
          <w:bCs/>
        </w:rPr>
        <w:t xml:space="preserve">A derivable alternative, and it wins.</w:t>
      </w:r>
      <w:r>
        <w:t xml:space="preserve"> </w:t>
      </w:r>
      <w:r>
        <w:t xml:space="preserve">The equation above is not derived from anything. There is no process in soil physics that yields a relaxation rate decaying exponentially with depth; what the equation</w:t>
      </w:r>
      <w:r>
        <w:t xml:space="preserve"> </w:t>
      </w:r>
      <w:r>
        <w:rPr>
          <w:i/>
          <w:iCs/>
        </w:rPr>
        <w:t xml:space="preserve">is</w:t>
      </w:r>
      <w:r>
        <w:t xml:space="preserve">, exactly, is the Russell and Moore exponential depth function</w:t>
      </w:r>
      <w:r>
        <w:t xml:space="preserve"> </w:t>
      </w:r>
      <w:r>
        <w:t xml:space="preserve">[reviewed in 11]</w:t>
      </w:r>
      <w:r>
        <w:t xml:space="preserve"> </w:t>
      </w:r>
      <w:r>
        <w:t xml:space="preserve">carrying a fourth shape parameter. The defensible steady-state balance for soil carbon is an advection–reaction–diffusion equation</w:t>
      </w:r>
      <w:r>
        <w:t xml:space="preserve"> </w:t>
      </w:r>
      <w:r>
        <w:t xml:space="preserve">[12,13]</w:t>
      </w:r>
      <w:r>
        <w:t xml:space="preserve">. Dropping bioturbation, valid below the mixed surface layer, and writing</w:t>
      </w:r>
      <w:r>
        <w:t xml:space="preserve"> </w:t>
      </w:r>
      <m:oMath>
        <m:r>
          <m:t>v</m:t>
        </m:r>
      </m:oMath>
      <w:r>
        <w:t xml:space="preserve"> </w:t>
      </w:r>
      <w:r>
        <w:t xml:space="preserve">for the advection velocity and</w:t>
      </w:r>
      <w:r>
        <w:t xml:space="preserve"> </w:t>
      </w:r>
      <m:oMath>
        <m:r>
          <m:t>k</m:t>
        </m:r>
      </m:oMath>
      <w:r>
        <w:t xml:space="preserve"> </w:t>
      </w:r>
      <w:r>
        <w:t xml:space="preserve">for the decomposition rate constant,</w:t>
      </w:r>
    </w:p>
    <w:p>
      <w:pPr>
        <w:pStyle w:val="BodyText"/>
      </w:pPr>
      <m:oMathPara>
        <m:oMathParaPr>
          <m:jc m:val="center"/>
        </m:oMathParaPr>
        <m:oMath>
          <m:r>
            <m:t>v</m:t>
          </m:r>
          <m:f>
            <m:fPr>
              <m:type m:val="bar"/>
            </m:fPr>
            <m:num>
              <m:r>
                <m:t>d</m:t>
              </m:r>
              <m:r>
                <m:t>C</m:t>
              </m:r>
            </m:num>
            <m:den>
              <m:r>
                <m:t>d</m:t>
              </m:r>
              <m:r>
                <m:t>z</m:t>
              </m:r>
            </m:den>
          </m:f>
          <m:r>
            <m:rPr>
              <m:sty m:val="p"/>
            </m:rPr>
            <m:t>=</m:t>
          </m:r>
          <m:r>
            <m:t>I</m:t>
          </m:r>
          <m:r>
            <m:rPr>
              <m:sty m:val="p"/>
            </m:rPr>
            <m:t>(</m:t>
          </m:r>
          <m:r>
            <m:t>z</m:t>
          </m:r>
          <m:r>
            <m:rPr>
              <m:sty m:val="p"/>
            </m:rPr>
            <m:t>)</m:t>
          </m:r>
          <m:r>
            <m:rPr>
              <m:sty m:val="p"/>
            </m:rPr>
            <m:t>−</m:t>
          </m:r>
          <m:r>
            <m:t>k</m:t>
          </m:r>
          <m:r>
            <m:t>C</m:t>
          </m:r>
          <m:r>
            <m:t>  </m:t>
          </m:r>
          <m:r>
            <m:rPr>
              <m:sty m:val="p"/>
            </m:rPr>
            <m:t>⇔</m:t>
          </m:r>
          <m:r>
            <m:t>  </m:t>
          </m:r>
          <m:f>
            <m:fPr>
              <m:type m:val="bar"/>
            </m:fPr>
            <m:num>
              <m:r>
                <m:t>d</m:t>
              </m:r>
              <m:r>
                <m:t>C</m:t>
              </m:r>
            </m:num>
            <m:den>
              <m:r>
                <m:t>d</m:t>
              </m:r>
              <m:r>
                <m:t>z</m:t>
              </m:r>
            </m:den>
          </m:f>
          <m:r>
            <m:rPr>
              <m:sty m:val="p"/>
            </m:rPr>
            <m:t>=</m:t>
          </m:r>
          <m:r>
            <m:rPr>
              <m:sty m:val="p"/>
            </m:rPr>
            <m:t>−</m:t>
          </m:r>
          <m:r>
            <m:t>λ</m:t>
          </m:r>
          <m:d>
            <m:dPr>
              <m:begChr m:val="("/>
              <m:sepChr m:val=""/>
              <m:endChr m:val=")"/>
              <m:grow/>
            </m:dPr>
            <m:e>
              <m:r>
                <m:t>C</m:t>
              </m:r>
              <m:r>
                <m:rPr>
                  <m:sty m:val="p"/>
                </m:rPr>
                <m:t>−</m:t>
              </m:r>
              <m:f>
                <m:fPr>
                  <m:type m:val="bar"/>
                </m:fPr>
                <m:num>
                  <m:r>
                    <m:t>I</m:t>
                  </m:r>
                  <m:r>
                    <m:rPr>
                      <m:sty m:val="p"/>
                    </m:rPr>
                    <m:t>(</m:t>
                  </m:r>
                  <m:r>
                    <m:t>z</m:t>
                  </m:r>
                  <m:r>
                    <m:rPr>
                      <m:sty m:val="p"/>
                    </m:rPr>
                    <m:t>)</m:t>
                  </m:r>
                </m:num>
                <m:den>
                  <m:r>
                    <m:t>k</m:t>
                  </m:r>
                </m:den>
              </m:f>
            </m:e>
          </m:d>
          <m:r>
            <m:rPr>
              <m:sty m:val="p"/>
            </m:rPr>
            <m:t>,</m:t>
          </m:r>
          <m:r>
            <m:t> </m:t>
          </m:r>
          <m:r>
            <m:t>λ</m:t>
          </m:r>
          <m:r>
            <m:rPr>
              <m:sty m:val="p"/>
            </m:rPr>
            <m:t>=</m:t>
          </m:r>
          <m:r>
            <m:t>k</m:t>
          </m:r>
          <m:r>
            <m:rPr>
              <m:sty m:val="p"/>
            </m:rPr>
            <m:t>/</m:t>
          </m:r>
          <m:r>
            <m:t>v</m:t>
          </m:r>
          <m:r>
            <m:rPr>
              <m:sty m:val="p"/>
            </m:rPr>
            <m:t>.</m:t>
          </m:r>
        </m:oMath>
      </m:oMathPara>
    </w:p>
    <w:p>
      <w:pPr>
        <w:pStyle w:val="FirstParagraph"/>
      </w:pPr>
      <w:r>
        <w:t xml:space="preserve">That is a relaxation with a</w:t>
      </w:r>
      <w:r>
        <w:t xml:space="preserve"> </w:t>
      </w:r>
      <w:r>
        <w:rPr>
          <w:b/>
          <w:bCs/>
        </w:rPr>
        <w:t xml:space="preserve">constant</w:t>
      </w:r>
      <w:r>
        <w:t xml:space="preserve"> </w:t>
      </w:r>
      <w:r>
        <w:t xml:space="preserve">rate toward a</w:t>
      </w:r>
      <w:r>
        <w:t xml:space="preserve"> </w:t>
      </w:r>
      <w:r>
        <w:rPr>
          <w:b/>
          <w:bCs/>
        </w:rPr>
        <w:t xml:space="preserve">depth-varying</w:t>
      </w:r>
      <w:r>
        <w:t xml:space="preserve"> </w:t>
      </w:r>
      <w:r>
        <w:t xml:space="preserve">target. The depth-dependence belongs in the asymptote, not in the rate. Root carbon input declines exponentially with depth</w:t>
      </w:r>
      <w:r>
        <w:t xml:space="preserve"> </w:t>
      </w:r>
      <w:r>
        <w:t xml:space="preserve">[14,15]</w:t>
      </w:r>
      <w:r>
        <w:t xml:space="preserve">,</w:t>
      </w:r>
      <w:r>
        <w:t xml:space="preserve"> </w:t>
      </w:r>
      <m:oMath>
        <m:r>
          <m:t>I</m:t>
        </m:r>
        <m:r>
          <m:rPr>
            <m:sty m:val="p"/>
          </m:rPr>
          <m:t>(</m:t>
        </m:r>
        <m:r>
          <m:t>z</m:t>
        </m:r>
        <m:r>
          <m:rPr>
            <m:sty m:val="p"/>
          </m:rPr>
          <m:t>)</m:t>
        </m:r>
        <m:r>
          <m:rPr>
            <m:sty m:val="p"/>
          </m:rPr>
          <m:t>=</m:t>
        </m:r>
        <m:sSub>
          <m:e>
            <m:r>
              <m:t>I</m:t>
            </m:r>
          </m:e>
          <m:sub>
            <m:r>
              <m:t>0</m:t>
            </m:r>
          </m:sub>
        </m:sSub>
        <m:sSup>
          <m:e>
            <m:r>
              <m:t>e</m:t>
            </m:r>
          </m:e>
          <m:sup>
            <m:r>
              <m:rPr>
                <m:sty m:val="p"/>
              </m:rPr>
              <m:t>−</m:t>
            </m:r>
            <m:r>
              <m:t>z</m:t>
            </m:r>
            <m:r>
              <m:rPr>
                <m:sty m:val="p"/>
              </m:rPr>
              <m:t>/</m:t>
            </m:r>
            <m:sSub>
              <m:e>
                <m:r>
                  <m:t>z</m:t>
                </m:r>
              </m:e>
              <m:sub>
                <m:r>
                  <m:t>r</m:t>
                </m:r>
              </m:sub>
            </m:sSub>
          </m:sup>
        </m:sSup>
      </m:oMath>
      <w:r>
        <w:t xml:space="preserve">, so with a mineral-associated floor</w:t>
      </w:r>
      <w:r>
        <w:t xml:space="preserve"> </w:t>
      </w:r>
      <m:oMath>
        <m:r>
          <m:t>A</m:t>
        </m:r>
      </m:oMath>
      <w:r>
        <w:t xml:space="preserve"> </w:t>
      </w:r>
      <w:r>
        <w:t xml:space="preserve">the target is</w:t>
      </w:r>
      <w:r>
        <w:t xml:space="preserve"> </w:t>
      </w:r>
      <m:oMath>
        <m:r>
          <m:t>A</m:t>
        </m:r>
        <m:r>
          <m:rPr>
            <m:sty m:val="p"/>
          </m:rPr>
          <m:t>+</m:t>
        </m:r>
        <m:r>
          <m:t>B</m:t>
        </m:r>
        <m:sSup>
          <m:e>
            <m:r>
              <m:t>e</m:t>
            </m:r>
          </m:e>
          <m:sup>
            <m:r>
              <m:rPr>
                <m:sty m:val="p"/>
              </m:rPr>
              <m:t>−</m:t>
            </m:r>
            <m:r>
              <m:t>z</m:t>
            </m:r>
            <m:r>
              <m:rPr>
                <m:sty m:val="p"/>
              </m:rPr>
              <m:t>/</m:t>
            </m:r>
            <m:sSub>
              <m:e>
                <m:r>
                  <m:t>z</m:t>
                </m:r>
              </m:e>
              <m:sub>
                <m:r>
                  <m:t>r</m:t>
                </m:r>
              </m:sub>
            </m:sSub>
          </m:sup>
        </m:sSup>
      </m:oMath>
      <w:r>
        <w:t xml:space="preserve"> </w:t>
      </w:r>
      <w:r>
        <w:t xml:space="preserve">where</w:t>
      </w:r>
      <w:r>
        <w:t xml:space="preserve"> </w:t>
      </w:r>
      <m:oMath>
        <m:r>
          <m:t>B</m:t>
        </m:r>
        <m:r>
          <m:rPr>
            <m:sty m:val="p"/>
          </m:rPr>
          <m:t>=</m:t>
        </m:r>
        <m:sSub>
          <m:e>
            <m:r>
              <m:t>I</m:t>
            </m:r>
          </m:e>
          <m:sub>
            <m:r>
              <m:t>0</m:t>
            </m:r>
          </m:sub>
        </m:sSub>
        <m:r>
          <m:rPr>
            <m:sty m:val="p"/>
          </m:rPr>
          <m:t>/</m:t>
        </m:r>
        <m:r>
          <m:t>k</m:t>
        </m:r>
      </m:oMath>
      <w:r>
        <w:t xml:space="preserve">. This too is closed-form, its layer averages are analytic, and every parameter is positive with a literature prior —</w:t>
      </w:r>
      <w:r>
        <w:t xml:space="preserve"> </w:t>
      </w:r>
      <m:oMath>
        <m:sSub>
          <m:e>
            <m:r>
              <m:t>z</m:t>
            </m:r>
          </m:e>
          <m:sub>
            <m:r>
              <m:t>r</m:t>
            </m:r>
          </m:sub>
        </m:sSub>
      </m:oMath>
      <w:r>
        <w:t xml:space="preserve"> </w:t>
      </w:r>
      <w:r>
        <w:t xml:space="preserve">from the Jackson et al. rooting parameter,</w:t>
      </w:r>
      <w:r>
        <w:t xml:space="preserve"> </w:t>
      </w:r>
      <m:oMath>
        <m:r>
          <m:t>A</m:t>
        </m:r>
      </m:oMath>
      <w:r>
        <w:t xml:space="preserve"> </w:t>
      </w:r>
      <w:r>
        <w:t xml:space="preserve">from mineral-association saturation.</w:t>
      </w:r>
    </w:p>
    <w:p>
      <w:pPr>
        <w:pStyle w:val="BodyText"/>
      </w:pPr>
      <w:r>
        <w:t xml:space="preserve">On the same 935 profiles the derived model leads the table on mean absolute error, 1.76 against 1.82 g/kg, but the difference is not significant: it wins on 486 profiles against 449, paired Wilcoxon</w:t>
      </w:r>
      <w:r>
        <w:t xml:space="preserve"> </w:t>
      </w:r>
      <m:oMath>
        <m:r>
          <m:t>p</m:t>
        </m:r>
        <m:r>
          <m:rPr>
            <m:sty m:val="p"/>
          </m:rPr>
          <m:t>=</m:t>
        </m:r>
        <m:r>
          <m:t>0.25</m:t>
        </m:r>
      </m:oMath>
      <w:r>
        <w:t xml:space="preserve">. On the nine-horizon pedon it does fit markedly better, 0.44 against 2.52 g/kg.</w:t>
      </w:r>
    </w:p>
    <w:p>
      <w:pPr>
        <w:pStyle w:val="BodyText"/>
      </w:pPr>
      <w:r>
        <w:t xml:space="preserve">That null result is worth stating carefully, because an earlier version of this analysis reached the opposite conclusion. Under a Gaussian likelihood the derived model appeared to win decisively (</w:t>
      </w:r>
      <m:oMath>
        <m:r>
          <m:t>p</m:t>
        </m:r>
        <m:r>
          <m:rPr>
            <m:sty m:val="p"/>
          </m:rPr>
          <m:t>=</m:t>
        </m:r>
        <m:r>
          <m:t>2</m:t>
        </m:r>
        <m:r>
          <m:rPr>
            <m:sty m:val="p"/>
          </m:rPr>
          <m:t>×</m:t>
        </m:r>
        <m:sSup>
          <m:e>
            <m:r>
              <m:t>10</m:t>
            </m:r>
          </m:e>
          <m:sup>
            <m:r>
              <m:rPr>
                <m:sty m:val="p"/>
              </m:rPr>
              <m:t>−</m:t>
            </m:r>
            <m:r>
              <m:t>6</m:t>
            </m:r>
          </m:sup>
        </m:sSup>
      </m:oMath>
      <w:r>
        <w:t xml:space="preserve">). Correcting the likelihood for both models removed the difference — the Gaussian was penalising the attenuating-rate form more, because over-weighting the topsoil hurts the model whose flexibility lies in the deep tail. The two forms are, on this evidence, equally accurate at predicting a held-out deepest horizon.</w:t>
      </w:r>
    </w:p>
    <w:p>
      <w:pPr>
        <w:pStyle w:val="BodyText"/>
      </w:pPr>
      <w:r>
        <w:t xml:space="preserve">We therefore recommend the derived form on the grounds it can actually be defended — it follows from a carbon balance, its parameters are positive and priorable from published rooting and stabilisation values, and its asymptote is a parameter of the equation rather than a coordinate the profile never reaches — and not on grounds of accuracy, where the honest answer is a tie. The attenuating-rate equation is retained because it is what the depth-function literature has used and it is the fair comparator.</w:t>
      </w:r>
    </w:p>
    <w:p>
      <w:pPr>
        <w:pStyle w:val="BodyText"/>
      </w:pPr>
      <w:r>
        <w:rPr>
          <w:b/>
          <w:bCs/>
        </w:rPr>
        <w:t xml:space="preserve">Can the fitted profile be mapped?</w:t>
      </w:r>
      <w:r>
        <w:t xml:space="preserve"> </w:t>
      </w:r>
      <w:r>
        <w:t xml:space="preserve">A pedometrician handed a per-pedon depth model reaches for the obvious two-stage workflow: fit the equation at every profile, then krige its parameters onto a grid. That workflow needs the fitted parameters to be spatially structured, and nobody had checked whether they are. Fitting all 1,105 profiles and computing the empirical variogram of each parameter over 386,729 point pairs gives an answer that is neither the hoped-for yes nor a flat no (Fig 4).</w:t>
      </w:r>
    </w:p>
    <w:p>
      <w:pPr>
        <w:pStyle w:val="BodyText"/>
      </w:pPr>
      <w:r>
        <w:t xml:space="preserve">Only one of the four parameters has an identified variogram. The attainable deep value reaches a sill at a range of 69 km with a nugget-to-sill ratio of 0.69 — moderate spatial dependence in the sense of Cambardella et al.</w:t>
      </w:r>
      <w:r>
        <w:t xml:space="preserve"> </w:t>
      </w:r>
      <w:r>
        <w:t xml:space="preserve">[16]</w:t>
      </w:r>
      <w:r>
        <w:t xml:space="preserve">, and close to the 0.75 boundary they set for weak. The other three, the surface value, the depth attenuation and the total relaxation, fit ranges of 3, 12 and 8 km, all</w:t>
      </w:r>
      <w:r>
        <w:t xml:space="preserve"> </w:t>
      </w:r>
      <w:r>
        <w:rPr>
          <w:i/>
          <w:iCs/>
        </w:rPr>
        <w:t xml:space="preserve">below the closest pair of profiles in the archive</w:t>
      </w:r>
      <w:r>
        <w:t xml:space="preserve">: the nearest lag these profiles support is 35 km, so a range shorter than that is interpolated through empty space rather than measured. Their spatial structure, whatever it is, operates at a scale this survey cannot see.</w:t>
      </w:r>
    </w:p>
    <w:p>
      <w:pPr>
        <w:pStyle w:val="BodyText"/>
      </w:pPr>
      <w:r>
        <w:t xml:space="preserve">These figures replace an earlier version of this table computed from Gaussian-likelihood fits, which reported two identified parameters at 68 and 55 km. Changing the observation model changes the fitted parameters, and therefore their variograms; the depth attenuation’s apparent 55 km range does not survive the correction.</w:t>
      </w:r>
    </w:p>
    <w:p>
      <w:pPr>
        <w:pStyle w:val="BodyText"/>
      </w:pPr>
      <w:r>
        <w:t xml:space="preserve">The consequence for mapping is unfavourable, and more so than before. The single identified range, 69 km, is far shorter than the median separation between profiles in this archive, so kriging that parameter would be extrapolating almost everywhere — and for the other three there is no range to krige with at all. Regressing each on climate and terrain first does not rescue the situation: those covariates explain between 2.3% and 9.0% of the parameters’ variance, and the residual variograms are no better structured than the raw ones.</w:t>
      </w:r>
    </w:p>
    <w:p>
      <w:pPr>
        <w:pStyle w:val="BodyText"/>
      </w:pPr>
      <w:r>
        <w:t xml:space="preserve">We therefore report the two-stage workflow as inadequate on these data, and for a reason that is about sampling design rather than about the equation: the depth function varies over tens of kilometres while the profiles are hundreds of kilometres apart. The remedy is not a better kriging model but a one-stage hierarchical one, in which the profile parameters are regressed on covariates and share a spatial random effect, so that the shape of a profile at an unvisited site is borrowed rather than interpolated. We flag that as the pillar’s next step rather than claim it here.</w:t>
      </w:r>
    </w:p>
    <w:p>
      <w:pPr>
        <w:pStyle w:val="BodyText"/>
      </w:pPr>
      <w:r>
        <w:drawing>
          <wp:inline>
            <wp:extent cx="5334000" cy="3845441"/>
            <wp:effectExtent b="0" l="0" r="0" t="0"/>
            <wp:docPr descr="" title="" id="20" name="Picture"/>
            <a:graphic>
              <a:graphicData uri="http://schemas.openxmlformats.org/drawingml/2006/picture">
                <pic:pic>
                  <pic:nvPicPr>
                    <pic:cNvPr descr="plos-manuscript_files/figures/Fig4.png" id="21" name="Picture"/>
                    <pic:cNvPicPr>
                      <a:picLocks noChangeArrowheads="1" noChangeAspect="1"/>
                    </pic:cNvPicPr>
                  </pic:nvPicPr>
                  <pic:blipFill>
                    <a:blip r:embed="rId19"/>
                    <a:stretch>
                      <a:fillRect/>
                    </a:stretch>
                  </pic:blipFill>
                  <pic:spPr bwMode="auto">
                    <a:xfrm>
                      <a:off x="0" y="0"/>
                      <a:ext cx="5334000" cy="3845441"/>
                    </a:xfrm>
                    <a:prstGeom prst="rect">
                      <a:avLst/>
                    </a:prstGeom>
                    <a:noFill/>
                    <a:ln w="9525">
                      <a:noFill/>
                      <a:headEnd/>
                      <a:tailEnd/>
                    </a:ln>
                  </pic:spPr>
                </pic:pic>
              </a:graphicData>
            </a:graphic>
          </wp:inline>
        </w:drawing>
      </w:r>
    </w:p>
    <w:p>
      <w:pPr>
        <w:pStyle w:val="BodyText"/>
      </w:pPr>
      <w:r>
        <w:rPr>
          <w:b/>
          <w:bCs/>
        </w:rPr>
        <w:t xml:space="preserve">Fig 4. The depth function varies faster than the survey can see.</w:t>
      </w:r>
      <w:r>
        <w:t xml:space="preserve"> </w:t>
      </w:r>
      <w:r>
        <w:t xml:space="preserve">Empirical variograms of the four fitted parameters across 1,060 profiles with converged fits, 386,729 point pairs, with fitted exponential models. One parameter — the attainable deep value — reaches a sill within the observed separations, at 69 km; the other three fit ranges shorter than the 35 km nearest lag the archive supports, and are therefore not identified. Point size is the number of pairs in each lag.</w:t>
      </w:r>
    </w:p>
    <w:p>
      <w:pPr>
        <w:pStyle w:val="BodyText"/>
      </w:pPr>
      <w:r>
        <w:rPr>
          <w:b/>
          <w:bCs/>
        </w:rPr>
        <w:t xml:space="preserve">Do the parameters mean what they are called?</w:t>
      </w:r>
      <w:r>
        <w:t xml:space="preserve"> </w:t>
      </w:r>
      <w:r>
        <w:t xml:space="preserve">The pillar claims its parameters are identified and interpretable. Identified we demonstrate; interpretable we had only asserted. Two directional predictions test it, both falsifiable, and they come out differently.</w:t>
      </w:r>
    </w:p>
    <w:p>
      <w:pPr>
        <w:pStyle w:val="BodyText"/>
      </w:pPr>
      <w:r>
        <w:t xml:space="preserve">The first concerns the deep floor. Hassink</w:t>
      </w:r>
      <w:r>
        <w:t xml:space="preserve"> </w:t>
      </w:r>
      <w:r>
        <w:t xml:space="preserve">[17]</w:t>
      </w:r>
      <w:r>
        <w:t xml:space="preserve"> </w:t>
      </w:r>
      <w:r>
        <w:t xml:space="preserve">showed that a soil’s capacity to preserve carbon in association with its fine fraction rises with the mass of that fraction, so if</w:t>
      </w:r>
      <w:r>
        <w:t xml:space="preserve"> </w:t>
      </w:r>
      <m:oMath>
        <m:r>
          <m:t>y</m:t>
        </m:r>
        <m:r>
          <m:rPr>
            <m:sty m:val="p"/>
          </m:rPr>
          <m:t>(</m:t>
        </m:r>
        <m:r>
          <m:rPr>
            <m:sty m:val="p"/>
          </m:rPr>
          <m:t>∞</m:t>
        </m:r>
        <m:r>
          <m:rPr>
            <m:sty m:val="p"/>
          </m:rPr>
          <m:t>)</m:t>
        </m:r>
      </m:oMath>
      <w:r>
        <w:t xml:space="preserve"> </w:t>
      </w:r>
      <w:r>
        <w:t xml:space="preserve">is a mineral-associated floor it must increase with clay plus silt; if it is only a shape parameter, there is no reason it should. Across 812 monotone profiles with a texture estimate within 5 km, it does: the slope of</w:t>
      </w:r>
      <w:r>
        <w:t xml:space="preserve"> </w:t>
      </w:r>
      <m:oMath>
        <m:r>
          <m:rPr>
            <m:sty m:val="p"/>
          </m:rPr>
          <m:t>log</m:t>
        </m:r>
        <m:r>
          <m:t>y</m:t>
        </m:r>
        <m:r>
          <m:rPr>
            <m:sty m:val="p"/>
          </m:rPr>
          <m:t>(</m:t>
        </m:r>
        <m:r>
          <m:rPr>
            <m:sty m:val="p"/>
          </m:rPr>
          <m:t>∞</m:t>
        </m:r>
        <m:r>
          <m:rPr>
            <m:sty m:val="p"/>
          </m:rPr>
          <m:t>)</m:t>
        </m:r>
      </m:oMath>
      <w:r>
        <w:t xml:space="preserve"> </w:t>
      </w:r>
      <w:r>
        <w:t xml:space="preserve">on clay + silt is</w:t>
      </w:r>
      <w:r>
        <w:t xml:space="preserve"> </w:t>
      </w:r>
      <m:oMath>
        <m:r>
          <m:rPr>
            <m:sty m:val="p"/>
          </m:rPr>
          <m:t>+</m:t>
        </m:r>
        <m:r>
          <m:t>0.0067</m:t>
        </m:r>
      </m:oMath>
      <w:r>
        <w:t xml:space="preserve"> </w:t>
      </w:r>
      <w:r>
        <w:t xml:space="preserve">per percentage point (</w:t>
      </w:r>
      <m:oMath>
        <m:r>
          <m:t>p</m:t>
        </m:r>
        <m:r>
          <m:rPr>
            <m:sty m:val="p"/>
          </m:rPr>
          <m:t>=</m:t>
        </m:r>
        <m:r>
          <m:t>0.03</m:t>
        </m:r>
      </m:oMath>
      <w:r>
        <w:t xml:space="preserve">; Spearman</w:t>
      </w:r>
      <w:r>
        <w:t xml:space="preserve"> </w:t>
      </w:r>
      <m:oMath>
        <m:r>
          <m:t>ρ</m:t>
        </m:r>
        <m:r>
          <m:rPr>
            <m:sty m:val="p"/>
          </m:rPr>
          <m:t>=</m:t>
        </m:r>
        <m:r>
          <m:t>0.10</m:t>
        </m:r>
      </m:oMath>
      <w:r>
        <w:t xml:space="preserve">,</w:t>
      </w:r>
      <w:r>
        <w:t xml:space="preserve"> </w:t>
      </w:r>
      <m:oMath>
        <m:r>
          <m:t>p</m:t>
        </m:r>
        <m:r>
          <m:rPr>
            <m:sty m:val="p"/>
          </m:rPr>
          <m:t>=</m:t>
        </m:r>
        <m:r>
          <m:t>0.004</m:t>
        </m:r>
      </m:oMath>
      <w:r>
        <w:t xml:space="preserve">), which over the observed 17–93% range corresponds to a 1.7-fold change in the fitted floor. The direction is the predicted one and the association is not an artefact of one parameterisation — the attained value of the attenuating-rate form gives the same sign more strongly (</w:t>
      </w:r>
      <m:oMath>
        <m:r>
          <m:t>p</m:t>
        </m:r>
        <m:r>
          <m:rPr>
            <m:sty m:val="p"/>
          </m:rPr>
          <m:t>=</m:t>
        </m:r>
        <m:r>
          <m:t>0.002</m:t>
        </m:r>
      </m:oMath>
      <w:r>
        <w:t xml:space="preserve">).</w:t>
      </w:r>
    </w:p>
    <w:p>
      <w:pPr>
        <w:pStyle w:val="BodyText"/>
      </w:pPr>
      <w:r>
        <w:t xml:space="preserve">The magnitude, however, is negligible: texture explains 0.5% of the variance in the fitted floor. With 812 profiles a relation this weak clears significance easily, and the texture is a SoilGrids prediction rather than a measurement, from a product trained partly on the same WoSIS archive. We report this as consistent with the mechanism and as very much weaker than a confirmation of it.</w:t>
      </w:r>
    </w:p>
    <w:p>
      <w:pPr>
        <w:pStyle w:val="BodyText"/>
      </w:pPr>
      <w:r>
        <w:t xml:space="preserve">The second anchor fails, and how it fails is the more useful result. Jobbágy and Jackson</w:t>
      </w:r>
      <w:r>
        <w:t xml:space="preserve"> </w:t>
      </w:r>
      <w:r>
        <w:t xml:space="preserve">[18]</w:t>
      </w:r>
      <w:r>
        <w:t xml:space="preserve"> </w:t>
      </w:r>
      <w:r>
        <w:t xml:space="preserve">summarise the vertical distribution of soil carbon by</w:t>
      </w:r>
      <w:r>
        <w:t xml:space="preserve"> </w:t>
      </w:r>
      <m:oMath>
        <m:r>
          <m:t>β</m:t>
        </m:r>
      </m:oMath>
      <w:r>
        <w:t xml:space="preserve"> </w:t>
      </w:r>
      <w:r>
        <w:t xml:space="preserve">in</w:t>
      </w:r>
      <w:r>
        <w:t xml:space="preserve"> </w:t>
      </w:r>
      <m:oMath>
        <m:r>
          <m:t>Y</m:t>
        </m:r>
        <m:r>
          <m:rPr>
            <m:sty m:val="p"/>
          </m:rPr>
          <m:t>(</m:t>
        </m:r>
        <m:r>
          <m:t>d</m:t>
        </m:r>
        <m:r>
          <m:rPr>
            <m:sty m:val="p"/>
          </m:rPr>
          <m:t>)</m:t>
        </m:r>
        <m:r>
          <m:rPr>
            <m:sty m:val="p"/>
          </m:rPr>
          <m:t>=</m:t>
        </m:r>
        <m:r>
          <m:t>1</m:t>
        </m:r>
        <m:r>
          <m:rPr>
            <m:sty m:val="p"/>
          </m:rPr>
          <m:t>−</m:t>
        </m:r>
        <m:sSup>
          <m:e>
            <m:r>
              <m:t>β</m:t>
            </m:r>
          </m:e>
          <m:sup>
            <m:r>
              <m:t>d</m:t>
            </m:r>
          </m:sup>
        </m:sSup>
      </m:oMath>
      <w:r>
        <w:t xml:space="preserve">, a whole-profile shape statistic defined without reference to any of our parameters, and their central finding is that vegetation shapes it. Our fitted depth functions imply a</w:t>
      </w:r>
      <w:r>
        <w:t xml:space="preserve"> </w:t>
      </w:r>
      <m:oMath>
        <m:r>
          <m:t>β</m:t>
        </m:r>
      </m:oMath>
      <w:r>
        <w:t xml:space="preserve"> </w:t>
      </w:r>
      <w:r>
        <w:t xml:space="preserve">with a median of 0.971 and a 5–95% range of 0.957–0.980 — a narrow, pedologically unremarkable band. But it moves with nothing outside the fit. Regressed on tree cover it gives a slope of</w:t>
      </w:r>
      <w:r>
        <w:t xml:space="preserve"> </w:t>
      </w:r>
      <m:oMath>
        <m:r>
          <m:rPr>
            <m:sty m:val="p"/>
          </m:rPr>
          <m:t>−</m:t>
        </m:r>
        <m:r>
          <m:t>4</m:t>
        </m:r>
        <m:r>
          <m:rPr>
            <m:sty m:val="p"/>
          </m:rPr>
          <m:t>×</m:t>
        </m:r>
        <m:sSup>
          <m:e>
            <m:r>
              <m:t>10</m:t>
            </m:r>
          </m:e>
          <m:sup>
            <m:r>
              <m:rPr>
                <m:sty m:val="p"/>
              </m:rPr>
              <m:t>−</m:t>
            </m:r>
            <m:r>
              <m:t>5</m:t>
            </m:r>
          </m:sup>
        </m:sSup>
      </m:oMath>
      <w:r>
        <w:t xml:space="preserve"> </w:t>
      </w:r>
      <w:r>
        <w:t xml:space="preserve">(</w:t>
      </w:r>
      <m:oMath>
        <m:r>
          <m:t>p</m:t>
        </m:r>
        <m:r>
          <m:rPr>
            <m:sty m:val="p"/>
          </m:rPr>
          <m:t>=</m:t>
        </m:r>
        <m:r>
          <m:t>0.97</m:t>
        </m:r>
      </m:oMath>
      <w:r>
        <w:t xml:space="preserve">,</w:t>
      </w:r>
      <w:r>
        <w:t xml:space="preserve"> </w:t>
      </w:r>
      <m:oMath>
        <m:sSup>
          <m:e>
            <m:r>
              <m:t>R</m:t>
            </m:r>
          </m:e>
          <m:sup>
            <m:r>
              <m:t>2</m:t>
            </m:r>
          </m:sup>
        </m:sSup>
        <m:r>
          <m:rPr>
            <m:sty m:val="p"/>
          </m:rPr>
          <m:t>=</m:t>
        </m:r>
        <m:r>
          <m:t>0.00003</m:t>
        </m:r>
      </m:oMath>
      <w:r>
        <w:t xml:space="preserve">); on clay,</w:t>
      </w:r>
      <w:r>
        <w:t xml:space="preserve"> </w:t>
      </w:r>
      <m:oMath>
        <m:sSup>
          <m:e>
            <m:r>
              <m:t>R</m:t>
            </m:r>
          </m:e>
          <m:sup>
            <m:r>
              <m:t>2</m:t>
            </m:r>
          </m:sup>
        </m:sSup>
        <m:r>
          <m:rPr>
            <m:sty m:val="p"/>
          </m:rPr>
          <m:t>&lt;</m:t>
        </m:r>
        <m:r>
          <m:t>0.0001</m:t>
        </m:r>
      </m:oMath>
      <w:r>
        <w:t xml:space="preserve">; on mean annual precipitation,</w:t>
      </w:r>
      <w:r>
        <w:t xml:space="preserve"> </w:t>
      </w:r>
      <m:oMath>
        <m:sSup>
          <m:e>
            <m:r>
              <m:t>R</m:t>
            </m:r>
          </m:e>
          <m:sup>
            <m:r>
              <m:t>2</m:t>
            </m:r>
          </m:sup>
        </m:sSup>
        <m:r>
          <m:rPr>
            <m:sty m:val="p"/>
          </m:rPr>
          <m:t>=</m:t>
        </m:r>
        <m:r>
          <m:t>0.0005</m:t>
        </m:r>
      </m:oMath>
      <w:r>
        <w:t xml:space="preserve">. The one external variable it does track is the depth to which the profile happened to be dug (</w:t>
      </w:r>
      <m:oMath>
        <m:sSup>
          <m:e>
            <m:r>
              <m:t>R</m:t>
            </m:r>
          </m:e>
          <m:sup>
            <m:r>
              <m:t>2</m:t>
            </m:r>
          </m:sup>
        </m:sSup>
        <m:r>
          <m:rPr>
            <m:sty m:val="p"/>
          </m:rPr>
          <m:t>=</m:t>
        </m:r>
        <m:r>
          <m:t>0.024</m:t>
        </m:r>
      </m:oMath>
      <w:r>
        <w:t xml:space="preserve">,</w:t>
      </w:r>
      <w:r>
        <w:t xml:space="preserve"> </w:t>
      </w:r>
      <m:oMath>
        <m:r>
          <m:t>p</m:t>
        </m:r>
        <m:r>
          <m:rPr>
            <m:sty m:val="p"/>
          </m:rPr>
          <m:t>=</m:t>
        </m:r>
        <m:r>
          <m:t>1</m:t>
        </m:r>
        <m:r>
          <m:rPr>
            <m:sty m:val="p"/>
          </m:rPr>
          <m:t>×</m:t>
        </m:r>
        <m:sSup>
          <m:e>
            <m:r>
              <m:t>10</m:t>
            </m:r>
          </m:e>
          <m:sup>
            <m:r>
              <m:rPr>
                <m:sty m:val="p"/>
              </m:rPr>
              <m:t>−</m:t>
            </m:r>
            <m:r>
              <m:t>5</m:t>
            </m:r>
          </m:sup>
        </m:sSup>
      </m:oMath>
      <w:r>
        <w:t xml:space="preserve">), which is a property of the survey rather than of the soil.</w:t>
      </w:r>
    </w:p>
    <w:p>
      <w:pPr>
        <w:pStyle w:val="BodyText"/>
      </w:pPr>
      <w:r>
        <w:t xml:space="preserve">What it does track is us. Sixty-three percent of the variance in the implied</w:t>
      </w:r>
      <w:r>
        <w:t xml:space="preserve"> </w:t>
      </w:r>
      <m:oMath>
        <m:r>
          <m:t>β</m:t>
        </m:r>
      </m:oMath>
      <w:r>
        <w:t xml:space="preserve"> </w:t>
      </w:r>
      <w:r>
        <w:t xml:space="preserve">is explained by the fitted surface concentration alone. That is mechanically unsurprising once stated — within this model family the cumulative curve is pinned by the contrast between the surface and the deep value, which is what the parameterisation encodes — but it is decisive for the anchor’s purpose. A statistic that is two-thirds determined by a parameter of the model it is meant to validate is not external evidence, and we withdraw it as such. It remains a useful check that the fitted profiles are not absurd; it is not a check that they are right.</w:t>
      </w:r>
    </w:p>
    <w:p>
      <w:pPr>
        <w:pStyle w:val="BodyText"/>
      </w:pPr>
      <w:r>
        <w:rPr>
          <w:b/>
          <w:bCs/>
        </w:rPr>
        <w:t xml:space="preserve">What we do not claim.</w:t>
      </w:r>
      <w:r>
        <w:t xml:space="preserve"> </w:t>
      </w:r>
      <w:r>
        <w:t xml:space="preserve">Six limits belong with this pillar. The model is monotone and cannot represent horizon differentiation; the 15.4% of profiles whose training horizons already violate monotonicity are not a rounding error but the pedologically most interesting ones, and the profiles that violate it only in the horizon being predicted cannot be excluded in advance at all. Carbon</w:t>
      </w:r>
      <w:r>
        <w:t xml:space="preserve"> </w:t>
      </w:r>
      <w:r>
        <w:rPr>
          <w:i/>
          <w:iCs/>
        </w:rPr>
        <w:t xml:space="preserve">stock</w:t>
      </w:r>
      <w:r>
        <w:t xml:space="preserve"> </w:t>
      </w:r>
      <w:r>
        <w:t xml:space="preserve">is scored above on 24 profiles, which is every one in the declared domain carrying a measured density on an interior horizon. On the harder extrapolation task the archive supports no stock test at all — two profiles have a measured density on their deepest horizon — so the pillar’s headline comparison remains a concentration result. The pedotransfer function that would lift that restriction now exists and is reported above; what it shows is that bulk density is barely predictable from what this archive records, and that its error in application is more than twice its cross-validated error, so it extends the ranking to Cerrado scale but not the absolute stock. Depth is not time — Jenny’s kinetics are written in</w:t>
      </w:r>
      <w:r>
        <w:t xml:space="preserve"> </w:t>
      </w:r>
      <m:oMath>
        <m:r>
          <m:t>t</m:t>
        </m:r>
      </m:oMath>
      <w:r>
        <w:t xml:space="preserve">, and substituting</w:t>
      </w:r>
      <w:r>
        <w:t xml:space="preserve"> </w:t>
      </w:r>
      <m:oMath>
        <m:r>
          <m:t>z</m:t>
        </m:r>
      </m:oMath>
      <w:r>
        <w:t xml:space="preserve"> </w:t>
      </w:r>
      <w:r>
        <w:t xml:space="preserve">for</w:t>
      </w:r>
      <w:r>
        <w:t xml:space="preserve"> </w:t>
      </w:r>
      <m:oMath>
        <m:r>
          <m:t>t</m:t>
        </m:r>
      </m:oMath>
      <w:r>
        <w:t xml:space="preserve"> </w:t>
      </w:r>
      <w:r>
        <w:t xml:space="preserve">is legitimate only through the advection velocity</w:t>
      </w:r>
      <w:r>
        <w:t xml:space="preserve"> </w:t>
      </w:r>
      <m:oMath>
        <m:r>
          <m:t>v</m:t>
        </m:r>
      </m:oMath>
      <w:r>
        <w:t xml:space="preserve">, which appears in the derived form above and nowhere in the original equation. The interpretation of the parameters rests, on the evidence above, on one weak directional association and one anchor that turned out to be internal. The predictive interval covers about half the time against a nominal 90%, so the pillar’s</w:t>
      </w:r>
      <w:r>
        <w:t xml:space="preserve"> </w:t>
      </w:r>
      <w:r>
        <w:rPr>
          <w:i/>
          <w:iCs/>
        </w:rPr>
        <w:t xml:space="preserve">uncertainty</w:t>
      </w:r>
      <w:r>
        <w:t xml:space="preserve"> </w:t>
      </w:r>
      <w:r>
        <w:t xml:space="preserve">should not be used as a decision input until the model error it omits is represented; and only 27% of these fits converge at the package’s default budget, with the failures concentrated in the three-to-four-horizon profiles that make up most of the archive, so the Bayesian path is not currently usable at archive scale. And the acquisition machinery this pillar feeds is lateral only: it chooses</w:t>
      </w:r>
      <w:r>
        <w:t xml:space="preserve"> </w:t>
      </w:r>
      <w:r>
        <w:rPr>
          <w:i/>
          <w:iCs/>
        </w:rPr>
        <w:t xml:space="preserve">where</w:t>
      </w:r>
      <w:r>
        <w:t xml:space="preserve"> </w:t>
      </w:r>
      <w:r>
        <w:t xml:space="preserve">to sample, never</w:t>
      </w:r>
      <w:r>
        <w:t xml:space="preserve"> </w:t>
      </w:r>
      <w:r>
        <w:rPr>
          <w:i/>
          <w:iCs/>
        </w:rPr>
        <w:t xml:space="preserve">how deep</w:t>
      </w:r>
      <w:r>
        <w:t xml:space="preserve">, so the decision a depth model is best placed to inform — whether to auger further at a site already visited — cannot currently be expressed in it.</w:t>
      </w:r>
    </w:p>
    <w:p>
      <w:pPr>
        <w:pStyle w:val="Heading3"/>
      </w:pPr>
      <w:r>
        <w:t xml:space="preserve">Four-dimensional pedometry: machinery without a soil test case</w:t>
      </w:r>
    </w:p>
    <w:p>
      <w:pPr>
        <w:pStyle w:val="FirstParagraph"/>
      </w:pPr>
      <w:r>
        <w:t xml:space="preserve">The third pillar treats a gridded environmental property as a space–time field. A stacked convolutional recurrent network propagates a spatial hidden state through a cube of monthly drivers to produce a multi-step gridded forecast, and a stochastic ensemble Kalman filter with Gaspari–Cohn localisation assimilates point observations into that field.</w:t>
      </w:r>
    </w:p>
    <w:p>
      <w:pPr>
        <w:pStyle w:val="BodyText"/>
      </w:pPr>
      <w:r>
        <w:t xml:space="preserve">We state at the outset what the target of the real-data demonstration is, because the machinery is general and the demonstration is not. The cube in Fig 5 is MODIS MOD13Q1 vegetation index driven by NASA POWER precipitation and temperature;</w:t>
      </w:r>
      <w:r>
        <w:t xml:space="preserve"> </w:t>
      </w:r>
      <w:r>
        <w:rPr>
          <w:b/>
          <w:bCs/>
        </w:rPr>
        <w:t xml:space="preserve">no soil quantity appears in it</w:t>
      </w:r>
      <w:r>
        <w:t xml:space="preserve">. The reason is not that the pillar was built for vegetation but that the archive cannot support the soil version: across the 1,095 Cerrado profiles, exactly six locations were sampled in more than one year, all of them a single 1981-versus-1986 pair. Six two-point series are not a space–time field. Pillar 3 is therefore a demonstrator of the forecasting and assimilation machinery on a real, densely observed cube, not a validated soil-carbon forecast, and nothing in Results rests on it.</w:t>
      </w:r>
    </w:p>
    <w:p>
      <w:pPr>
        <w:pStyle w:val="SourceCode"/>
      </w:pPr>
      <w:r>
        <w:rPr>
          <w:rStyle w:val="NormalTok"/>
        </w:rPr>
        <w:t xml:space="preserve">cube </w:t>
      </w:r>
      <w:r>
        <w:rPr>
          <w:rStyle w:val="OtherTok"/>
        </w:rPr>
        <w:t xml:space="preserve">&lt;-</w:t>
      </w:r>
      <w:r>
        <w:rPr>
          <w:rStyle w:val="NormalTok"/>
        </w:rPr>
        <w:t xml:space="preserve"> </w:t>
      </w:r>
      <w:r>
        <w:rPr>
          <w:rStyle w:val="FunctionTok"/>
        </w:rPr>
        <w:t xml:space="preserve">temporal_synth_soc_cube</w:t>
      </w:r>
      <w:r>
        <w:rPr>
          <w:rStyle w:val="NormalTok"/>
        </w:rPr>
        <w:t xml:space="preserve">(</w:t>
      </w:r>
      <w:r>
        <w:rPr>
          <w:rStyle w:val="AttributeTok"/>
        </w:rPr>
        <w:t xml:space="preserve">H =</w:t>
      </w:r>
      <w:r>
        <w:rPr>
          <w:rStyle w:val="NormalTok"/>
        </w:rPr>
        <w:t xml:space="preserve"> </w:t>
      </w:r>
      <w:r>
        <w:rPr>
          <w:rStyle w:val="DecValTok"/>
        </w:rPr>
        <w:t xml:space="preserve">8</w:t>
      </w:r>
      <w:r>
        <w:rPr>
          <w:rStyle w:val="NormalTok"/>
        </w:rPr>
        <w:t xml:space="preserve">, </w:t>
      </w:r>
      <w:r>
        <w:rPr>
          <w:rStyle w:val="AttributeTok"/>
        </w:rPr>
        <w:t xml:space="preserve">W =</w:t>
      </w:r>
      <w:r>
        <w:rPr>
          <w:rStyle w:val="NormalTok"/>
        </w:rPr>
        <w:t xml:space="preserve"> </w:t>
      </w:r>
      <w:r>
        <w:rPr>
          <w:rStyle w:val="DecValTok"/>
        </w:rPr>
        <w:t xml:space="preserve">8</w:t>
      </w:r>
      <w:r>
        <w:rPr>
          <w:rStyle w:val="NormalTok"/>
        </w:rPr>
        <w:t xml:space="preserve">, </w:t>
      </w:r>
      <w:r>
        <w:rPr>
          <w:rStyle w:val="AttributeTok"/>
        </w:rPr>
        <w:t xml:space="preserve">T_total =</w:t>
      </w:r>
      <w:r>
        <w:rPr>
          <w:rStyle w:val="NormalTok"/>
        </w:rPr>
        <w:t xml:space="preserve"> </w:t>
      </w:r>
      <w:r>
        <w:rPr>
          <w:rStyle w:val="DecValTok"/>
        </w:rPr>
        <w:t xml:space="preserve">12</w:t>
      </w:r>
      <w:r>
        <w:rPr>
          <w:rStyle w:val="NormalTok"/>
        </w:rPr>
        <w:t xml:space="preserve">, </w:t>
      </w:r>
      <w:r>
        <w:rPr>
          <w:rStyle w:val="AttributeTok"/>
        </w:rPr>
        <w:t xml:space="preserve">seed =</w:t>
      </w:r>
      <w:r>
        <w:rPr>
          <w:rStyle w:val="NormalTok"/>
        </w:rPr>
        <w:t xml:space="preserve"> </w:t>
      </w:r>
      <w:r>
        <w:rPr>
          <w:rStyle w:val="DecValTok"/>
        </w:rPr>
        <w:t xml:space="preserve">1</w:t>
      </w:r>
      <w:r>
        <w:rPr>
          <w:rStyle w:val="NormalTok"/>
        </w:rPr>
        <w:t xml:space="preserve">)</w:t>
      </w:r>
      <w:r>
        <w:br/>
      </w:r>
      <w:r>
        <w:rPr>
          <w:rStyle w:val="NormalTok"/>
        </w:rPr>
        <w:t xml:space="preserve">tt   </w:t>
      </w:r>
      <w:r>
        <w:rPr>
          <w:rStyle w:val="OtherTok"/>
        </w:rPr>
        <w:t xml:space="preserve">&lt;-</w:t>
      </w:r>
      <w:r>
        <w:rPr>
          <w:rStyle w:val="NormalTok"/>
        </w:rPr>
        <w:t xml:space="preserve"> </w:t>
      </w:r>
      <w:r>
        <w:rPr>
          <w:rStyle w:val="FunctionTok"/>
        </w:rPr>
        <w:t xml:space="preserve">temporal_cube_to_tensor</w:t>
      </w:r>
      <w:r>
        <w:rPr>
          <w:rStyle w:val="NormalTok"/>
        </w:rPr>
        <w:t xml:space="preserve">(cube)</w:t>
      </w:r>
      <w:r>
        <w:br/>
      </w:r>
      <w:r>
        <w:rPr>
          <w:rStyle w:val="FunctionTok"/>
        </w:rPr>
        <w:t xml:space="preserve">dim</w:t>
      </w:r>
      <w:r>
        <w:rPr>
          <w:rStyle w:val="NormalTok"/>
        </w:rPr>
        <w:t xml:space="preserve">(tt</w:t>
      </w:r>
      <w:r>
        <w:rPr>
          <w:rStyle w:val="SpecialCharTok"/>
        </w:rPr>
        <w:t xml:space="preserve">$</w:t>
      </w:r>
      <w:r>
        <w:rPr>
          <w:rStyle w:val="NormalTok"/>
        </w:rPr>
        <w:t xml:space="preserve">sequence)   </w:t>
      </w:r>
      <w:r>
        <w:rPr>
          <w:rStyle w:val="CommentTok"/>
        </w:rPr>
        <w:t xml:space="preserve"># (batch, time, channel, row, col)</w:t>
      </w:r>
      <w:r>
        <w:br/>
      </w:r>
      <w:r>
        <w:rPr>
          <w:rStyle w:val="CommentTok"/>
        </w:rPr>
        <w:t xml:space="preserve">#&gt; [1]  1 12  2  8  8</w:t>
      </w:r>
      <w:r>
        <w:br/>
      </w:r>
      <w:r>
        <w:rPr>
          <w:rStyle w:val="NormalTok"/>
        </w:rPr>
        <w:t xml:space="preserve">ens </w:t>
      </w:r>
      <w:r>
        <w:rPr>
          <w:rStyle w:val="OtherTok"/>
        </w:rPr>
        <w:t xml:space="preserve">&lt;-</w:t>
      </w:r>
      <w:r>
        <w:rPr>
          <w:rStyle w:val="NormalTok"/>
        </w:rPr>
        <w:t xml:space="preserve"> </w:t>
      </w:r>
      <w:r>
        <w:rPr>
          <w:rStyle w:val="FunctionTok"/>
        </w:rPr>
        <w:t xml:space="preserve">array</w:t>
      </w:r>
      <w:r>
        <w:rPr>
          <w:rStyle w:val="NormalTok"/>
        </w:rPr>
        <w:t xml:space="preserve">(</w:t>
      </w:r>
      <w:r>
        <w:rPr>
          <w:rStyle w:val="FunctionTok"/>
        </w:rPr>
        <w:t xml:space="preserve">rnorm</w:t>
      </w:r>
      <w:r>
        <w:rPr>
          <w:rStyle w:val="NormalTok"/>
        </w:rPr>
        <w:t xml:space="preserve">(</w:t>
      </w:r>
      <w:r>
        <w:rPr>
          <w:rStyle w:val="DecValTok"/>
        </w:rPr>
        <w:t xml:space="preserve">30</w:t>
      </w:r>
      <w:r>
        <w:rPr>
          <w:rStyle w:val="NormalTok"/>
        </w:rPr>
        <w:t xml:space="preserve">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w:t>
      </w:r>
      <w:r>
        <w:rPr>
          <w:rStyle w:val="NormalTok"/>
        </w:rPr>
        <w:t xml:space="preserve"> </w:t>
      </w:r>
      <w:r>
        <w:rPr>
          <w:rStyle w:val="DecValTok"/>
        </w:rPr>
        <w:t xml:space="preserve">8</w:t>
      </w:r>
      <w:r>
        <w:rPr>
          <w:rStyle w:val="NormalTok"/>
        </w:rPr>
        <w:t xml:space="preserve">, </w:t>
      </w:r>
      <w:r>
        <w:rPr>
          <w:rStyle w:val="DecValTok"/>
        </w:rPr>
        <w:t xml:space="preserve">20</w:t>
      </w:r>
      <w:r>
        <w:rPr>
          <w:rStyle w:val="NormalTok"/>
        </w:rPr>
        <w:t xml:space="preserve">, </w:t>
      </w:r>
      <w:r>
        <w:rPr>
          <w:rStyle w:val="DecValTok"/>
        </w:rPr>
        <w:t xml:space="preserve">2</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CommentTok"/>
        </w:rPr>
        <w:t xml:space="preserve"># 30-member prior</w:t>
      </w:r>
      <w:r>
        <w:br/>
      </w:r>
      <w:r>
        <w:rPr>
          <w:rStyle w:val="NormalTok"/>
        </w:rPr>
        <w:t xml:space="preserve">post </w:t>
      </w:r>
      <w:r>
        <w:rPr>
          <w:rStyle w:val="OtherTok"/>
        </w:rPr>
        <w:t xml:space="preserve">&lt;-</w:t>
      </w:r>
      <w:r>
        <w:rPr>
          <w:rStyle w:val="NormalTok"/>
        </w:rPr>
        <w:t xml:space="preserve"> </w:t>
      </w:r>
      <w:r>
        <w:rPr>
          <w:rStyle w:val="FunctionTok"/>
        </w:rPr>
        <w:t xml:space="preserve">temporal_kalman_update</w:t>
      </w:r>
      <w:r>
        <w:rPr>
          <w:rStyle w:val="NormalTok"/>
        </w:rPr>
        <w:t xml:space="preserve">(ens, </w:t>
      </w:r>
      <w:r>
        <w:rPr>
          <w:rStyle w:val="AttributeTok"/>
        </w:rPr>
        <w:t xml:space="preserve">obs_value =</w:t>
      </w:r>
      <w:r>
        <w:rPr>
          <w:rStyle w:val="NormalTok"/>
        </w:rPr>
        <w:t xml:space="preserve"> </w:t>
      </w:r>
      <w:r>
        <w:rPr>
          <w:rStyle w:val="FunctionTok"/>
        </w:rPr>
        <w:t xml:space="preserve">c</w:t>
      </w:r>
      <w:r>
        <w:rPr>
          <w:rStyle w:val="NormalTok"/>
        </w:rPr>
        <w:t xml:space="preserve">(</w:t>
      </w:r>
      <w:r>
        <w:rPr>
          <w:rStyle w:val="DecValTok"/>
        </w:rPr>
        <w:t xml:space="preserve">24</w:t>
      </w:r>
      <w:r>
        <w:rPr>
          <w:rStyle w:val="NormalTok"/>
        </w:rPr>
        <w:t xml:space="preserve">, </w:t>
      </w:r>
      <w:r>
        <w:rPr>
          <w:rStyle w:val="DecValTok"/>
        </w:rPr>
        <w:t xml:space="preserve">18</w:t>
      </w:r>
      <w:r>
        <w:rPr>
          <w:rStyle w:val="NormalTok"/>
        </w:rPr>
        <w:t xml:space="preserve">), </w:t>
      </w:r>
      <w:r>
        <w:rPr>
          <w:rStyle w:val="AttributeTok"/>
        </w:rPr>
        <w:t xml:space="preserve">obs_row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obs_col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6</w:t>
      </w:r>
      <w:r>
        <w:rPr>
          <w:rStyle w:val="NormalTok"/>
        </w:rPr>
        <w:t xml:space="preserve">), </w:t>
      </w:r>
      <w:r>
        <w:rPr>
          <w:rStyle w:val="AttributeTok"/>
        </w:rPr>
        <w:t xml:space="preserve">obs_sd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localization_radius =</w:t>
      </w:r>
      <w:r>
        <w:rPr>
          <w:rStyle w:val="NormalTok"/>
        </w:rPr>
        <w:t xml:space="preserve"> </w:t>
      </w:r>
      <w:r>
        <w:rPr>
          <w:rStyle w:val="DecValTok"/>
        </w:rPr>
        <w:t xml:space="preserve">3</w:t>
      </w:r>
      <w:r>
        <w:rPr>
          <w:rStyle w:val="NormalTok"/>
        </w:rPr>
        <w:t xml:space="preserve">, </w:t>
      </w:r>
      <w:r>
        <w:rPr>
          <w:rStyle w:val="AttributeTok"/>
        </w:rPr>
        <w:t xml:space="preserve">seed =</w:t>
      </w:r>
      <w:r>
        <w:rPr>
          <w:rStyle w:val="NormalTok"/>
        </w:rPr>
        <w:t xml:space="preserve"> </w:t>
      </w:r>
      <w:r>
        <w:rPr>
          <w:rStyle w:val="DecValTok"/>
        </w:rPr>
        <w:t xml:space="preserve">1</w:t>
      </w:r>
      <w:r>
        <w:rPr>
          <w:rStyle w:val="NormalTok"/>
        </w:rPr>
        <w:t xml:space="preserve">)</w:t>
      </w:r>
    </w:p>
    <w:p>
      <w:pPr>
        <w:pStyle w:val="FirstParagraph"/>
      </w:pPr>
      <w:r>
        <w:t xml:space="preserve">The filter is exact at observed cells and the localisation radius controls how far an observation is allowed to influence the field, which on small ensembles is what prevents spurious long-range corrections. Fig 5 shows both halves of the pillar on a real Cerrado vegetation-index cube.</w:t>
      </w:r>
    </w:p>
    <w:p>
      <w:pPr>
        <w:pStyle w:val="BodyText"/>
      </w:pPr>
      <w:r>
        <w:drawing>
          <wp:inline>
            <wp:extent cx="5334000" cy="4312595"/>
            <wp:effectExtent b="0" l="0" r="0" t="0"/>
            <wp:docPr descr="" title="" id="23" name="Picture"/>
            <a:graphic>
              <a:graphicData uri="http://schemas.openxmlformats.org/drawingml/2006/picture">
                <pic:pic>
                  <pic:nvPicPr>
                    <pic:cNvPr descr="plos-manuscript_files/figures/Fig5.png" id="24" name="Picture"/>
                    <pic:cNvPicPr>
                      <a:picLocks noChangeArrowheads="1" noChangeAspect="1"/>
                    </pic:cNvPicPr>
                  </pic:nvPicPr>
                  <pic:blipFill>
                    <a:blip r:embed="rId22"/>
                    <a:stretch>
                      <a:fillRect/>
                    </a:stretch>
                  </pic:blipFill>
                  <pic:spPr bwMode="auto">
                    <a:xfrm>
                      <a:off x="0" y="0"/>
                      <a:ext cx="5334000" cy="4312595"/>
                    </a:xfrm>
                    <a:prstGeom prst="rect">
                      <a:avLst/>
                    </a:prstGeom>
                    <a:noFill/>
                    <a:ln w="9525">
                      <a:noFill/>
                      <a:headEnd/>
                      <a:tailEnd/>
                    </a:ln>
                  </pic:spPr>
                </pic:pic>
              </a:graphicData>
            </a:graphic>
          </wp:inline>
        </w:drawing>
      </w:r>
    </w:p>
    <w:p>
      <w:pPr>
        <w:pStyle w:val="BodyText"/>
      </w:pPr>
      <w:r>
        <w:rPr>
          <w:b/>
          <w:bCs/>
        </w:rPr>
        <w:t xml:space="preserve">Fig 5. Forecasting a field and assimilating observations into it.</w:t>
      </w:r>
      <w:r>
        <w:t xml:space="preserve"> </w:t>
      </w:r>
      <w:r>
        <w:t xml:space="preserve">The target throughout is MODIS vegetation index, not soil carbon. (A) Observed and forecast vegetation index at three lead times over a 10 x 10 Cerrado grid. (B) The ten-member forecast ensemble at the cell the filter corrects most, against the observed trajectory. (C) Ensemble Kalman assimilation of eight point observations: the prior field, the analysis, and the increment between them. Those eight points are</w:t>
      </w:r>
      <w:r>
        <w:t xml:space="preserve"> </w:t>
      </w:r>
      <w:r>
        <w:rPr>
          <w:b/>
          <w:bCs/>
        </w:rPr>
        <w:t xml:space="preserve">synthetic</w:t>
      </w:r>
      <w:r>
        <w:t xml:space="preserve"> </w:t>
      </w:r>
      <w:r>
        <w:t xml:space="preserve">— the withheld truth field plus Gaussian noise of 0.15 z-units — because no repeated in-situ series exists here to assimilate; panel C therefore demonstrates that the filter is exact at observed cells and correctly localised, and cannot speak to its skill against real measurements. The update is localised, so distant cells are left alone.</w:t>
      </w:r>
    </w:p>
    <w:p>
      <w:pPr>
        <w:pStyle w:val="Heading3"/>
      </w:pPr>
      <w:r>
        <w:t xml:space="preserve">Foundation models</w:t>
      </w:r>
    </w:p>
    <w:p>
      <w:pPr>
        <w:pStyle w:val="FirstParagraph"/>
      </w:pPr>
      <w:r>
        <w:t xml:space="preserve">The fourth pillar pre-trains a convolutional encoder on unlabelled raster patches with a momentum-contrastive objective, then extracts a fixed-length embedding at arbitrary profile coordinates for use as covariates downstream.</w:t>
      </w:r>
    </w:p>
    <w:p>
      <w:pPr>
        <w:pStyle w:val="SourceCode"/>
      </w:pPr>
      <w:r>
        <w:rPr>
          <w:rStyle w:val="FunctionTok"/>
        </w:rPr>
        <w:t xml:space="preserve">data</w:t>
      </w:r>
      <w:r>
        <w:rPr>
          <w:rStyle w:val="NormalTok"/>
        </w:rPr>
        <w:t xml:space="preserve">(br_cerrado)</w:t>
      </w:r>
      <w:r>
        <w:br/>
      </w:r>
      <w:r>
        <w:rPr>
          <w:rStyle w:val="NormalTok"/>
        </w:rPr>
        <w:t xml:space="preserve">stack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                       </w:t>
      </w:r>
      <w:r>
        <w:rPr>
          <w:rStyle w:val="CommentTok"/>
        </w:rPr>
        <w:t xml:space="preserve"># any multi-channel covariate stack</w:t>
      </w:r>
      <w:r>
        <w:br/>
      </w:r>
      <w:r>
        <w:rPr>
          <w:rStyle w:val="NormalTok"/>
        </w:rPr>
        <w:t xml:space="preserve">ds    </w:t>
      </w:r>
      <w:r>
        <w:rPr>
          <w:rStyle w:val="OtherTok"/>
        </w:rPr>
        <w:t xml:space="preserve">&lt;-</w:t>
      </w:r>
      <w:r>
        <w:rPr>
          <w:rStyle w:val="NormalTok"/>
        </w:rPr>
        <w:t xml:space="preserve"> </w:t>
      </w:r>
      <w:r>
        <w:rPr>
          <w:rStyle w:val="FunctionTok"/>
        </w:rPr>
        <w:t xml:space="preserve">foundation_tile_dataset</w:t>
      </w:r>
      <w:r>
        <w:rPr>
          <w:rStyle w:val="NormalTok"/>
        </w:rPr>
        <w:t xml:space="preserve">(stack, </w:t>
      </w:r>
      <w:r>
        <w:rPr>
          <w:rStyle w:val="AttributeTok"/>
        </w:rPr>
        <w:t xml:space="preserve">patch_size =</w:t>
      </w:r>
      <w:r>
        <w:rPr>
          <w:rStyle w:val="NormalTok"/>
        </w:rPr>
        <w:t xml:space="preserve"> </w:t>
      </w:r>
      <w:r>
        <w:rPr>
          <w:rStyle w:val="DecValTok"/>
        </w:rPr>
        <w:t xml:space="preserve">8</w:t>
      </w:r>
      <w:r>
        <w:rPr>
          <w:rStyle w:val="DataTypeTok"/>
        </w:rPr>
        <w:t xml:space="preserve">L</w:t>
      </w:r>
      <w:r>
        <w:rPr>
          <w:rStyle w:val="NormalTok"/>
        </w:rPr>
        <w:t xml:space="preserve">, </w:t>
      </w:r>
      <w:r>
        <w:rPr>
          <w:rStyle w:val="AttributeTok"/>
        </w:rPr>
        <w:t xml:space="preserve">n_patches =</w:t>
      </w:r>
      <w:r>
        <w:rPr>
          <w:rStyle w:val="NormalTok"/>
        </w:rPr>
        <w:t xml:space="preserve"> </w:t>
      </w:r>
      <w:r>
        <w:rPr>
          <w:rStyle w:val="DecValTok"/>
        </w:rPr>
        <w:t xml:space="preserve">512</w:t>
      </w:r>
      <w:r>
        <w:rPr>
          <w:rStyle w:val="DataTypeTok"/>
        </w:rPr>
        <w:t xml:space="preserve">L</w:t>
      </w:r>
      <w:r>
        <w:rPr>
          <w:rStyle w:val="NormalTok"/>
        </w:rPr>
        <w:t xml:space="preserve">, </w:t>
      </w:r>
      <w:r>
        <w:rPr>
          <w:rStyle w:val="AttributeTok"/>
        </w:rPr>
        <w:t xml:space="preserve">seed =</w:t>
      </w:r>
      <w:r>
        <w:rPr>
          <w:rStyle w:val="NormalTok"/>
        </w:rPr>
        <w:t xml:space="preserve"> </w:t>
      </w:r>
      <w:r>
        <w:rPr>
          <w:rStyle w:val="DecValTok"/>
        </w:rPr>
        <w:t xml:space="preserve">1</w:t>
      </w:r>
      <w:r>
        <w:rPr>
          <w:rStyle w:val="DataTypeTok"/>
        </w:rPr>
        <w:t xml:space="preserve">L</w:t>
      </w:r>
      <w:r>
        <w:rPr>
          <w:rStyle w:val="NormalTok"/>
        </w:rPr>
        <w:t xml:space="preserve">)</w:t>
      </w:r>
      <w:r>
        <w:br/>
      </w:r>
      <w:r>
        <w:rPr>
          <w:rStyle w:val="NormalTok"/>
        </w:rPr>
        <w:t xml:space="preserve">enc   </w:t>
      </w:r>
      <w:r>
        <w:rPr>
          <w:rStyle w:val="OtherTok"/>
        </w:rPr>
        <w:t xml:space="preserve">&lt;-</w:t>
      </w:r>
      <w:r>
        <w:rPr>
          <w:rStyle w:val="NormalTok"/>
        </w:rPr>
        <w:t xml:space="preserve"> </w:t>
      </w:r>
      <w:r>
        <w:rPr>
          <w:rStyle w:val="FunctionTok"/>
        </w:rPr>
        <w:t xml:space="preserve">foundation_moco_pretrain_tiles</w:t>
      </w:r>
      <w:r>
        <w:rPr>
          <w:rStyle w:val="NormalTok"/>
        </w:rPr>
        <w:t xml:space="preserve">(ds, </w:t>
      </w:r>
      <w:r>
        <w:rPr>
          <w:rStyle w:val="AttributeTok"/>
        </w:rPr>
        <w:t xml:space="preserve">feature_dim =</w:t>
      </w:r>
      <w:r>
        <w:rPr>
          <w:rStyle w:val="NormalTok"/>
        </w:rPr>
        <w:t xml:space="preserve"> </w:t>
      </w:r>
      <w:r>
        <w:rPr>
          <w:rStyle w:val="DecValTok"/>
        </w:rPr>
        <w:t xml:space="preserve">32</w:t>
      </w:r>
      <w:r>
        <w:rPr>
          <w:rStyle w:val="DataTypeTok"/>
        </w:rPr>
        <w:t xml:space="preserve">L</w:t>
      </w:r>
      <w:r>
        <w:rPr>
          <w:rStyle w:val="NormalTok"/>
        </w:rPr>
        <w:t xml:space="preserve">, </w:t>
      </w:r>
      <w:r>
        <w:rPr>
          <w:rStyle w:val="AttributeTok"/>
        </w:rPr>
        <w:t xml:space="preserve">proj_dim =</w:t>
      </w:r>
      <w:r>
        <w:rPr>
          <w:rStyle w:val="NormalTok"/>
        </w:rPr>
        <w:t xml:space="preserve"> </w:t>
      </w:r>
      <w:r>
        <w:rPr>
          <w:rStyle w:val="DecValTok"/>
        </w:rPr>
        <w:t xml:space="preserve">16</w:t>
      </w:r>
      <w:r>
        <w:rPr>
          <w:rStyle w:val="DataTypeTok"/>
        </w:rPr>
        <w:t xml:space="preserve">L</w:t>
      </w:r>
      <w:r>
        <w:rPr>
          <w:rStyle w:val="NormalTok"/>
        </w:rPr>
        <w:t xml:space="preserve">,</w:t>
      </w:r>
      <w:r>
        <w:br/>
      </w:r>
      <w:r>
        <w:rPr>
          <w:rStyle w:val="NormalTok"/>
        </w:rPr>
        <w:t xml:space="preserve">                                        </w:t>
      </w:r>
      <w:r>
        <w:rPr>
          <w:rStyle w:val="AttributeTok"/>
        </w:rPr>
        <w:t xml:space="preserve">queue_size =</w:t>
      </w:r>
      <w:r>
        <w:rPr>
          <w:rStyle w:val="NormalTok"/>
        </w:rPr>
        <w:t xml:space="preserve"> </w:t>
      </w:r>
      <w:r>
        <w:rPr>
          <w:rStyle w:val="DecValTok"/>
        </w:rPr>
        <w:t xml:space="preserve">256</w:t>
      </w:r>
      <w:r>
        <w:rPr>
          <w:rStyle w:val="DataTypeTok"/>
        </w:rPr>
        <w:t xml:space="preserve">L</w:t>
      </w:r>
      <w:r>
        <w:rPr>
          <w:rStyle w:val="NormalTok"/>
        </w:rPr>
        <w:t xml:space="preserve">, </w:t>
      </w:r>
      <w:r>
        <w:rPr>
          <w:rStyle w:val="AttributeTok"/>
        </w:rPr>
        <w:t xml:space="preserve">batch_size =</w:t>
      </w:r>
      <w:r>
        <w:rPr>
          <w:rStyle w:val="NormalTok"/>
        </w:rPr>
        <w:t xml:space="preserve"> </w:t>
      </w:r>
      <w:r>
        <w:rPr>
          <w:rStyle w:val="DecValTok"/>
        </w:rPr>
        <w:t xml:space="preserve">16</w:t>
      </w:r>
      <w:r>
        <w:rPr>
          <w:rStyle w:val="DataTypeTok"/>
        </w:rPr>
        <w:t xml:space="preserve">L</w:t>
      </w:r>
      <w:r>
        <w:rPr>
          <w:rStyle w:val="NormalTok"/>
        </w:rPr>
        <w:t xml:space="preserve">,</w:t>
      </w:r>
      <w:r>
        <w:br/>
      </w:r>
      <w:r>
        <w:rPr>
          <w:rStyle w:val="NormalTok"/>
        </w:rPr>
        <w:t xml:space="preserve">                                        </w:t>
      </w:r>
      <w:r>
        <w:rPr>
          <w:rStyle w:val="AttributeTok"/>
        </w:rPr>
        <w:t xml:space="preserve">epochs =</w:t>
      </w:r>
      <w:r>
        <w:rPr>
          <w:rStyle w:val="NormalTok"/>
        </w:rPr>
        <w:t xml:space="preserve"> </w:t>
      </w:r>
      <w:r>
        <w:rPr>
          <w:rStyle w:val="DecValTok"/>
        </w:rPr>
        <w:t xml:space="preserve">400</w:t>
      </w:r>
      <w:r>
        <w:rPr>
          <w:rStyle w:val="DataTypeTok"/>
        </w:rPr>
        <w:t xml:space="preserve">L</w:t>
      </w:r>
      <w:r>
        <w:rPr>
          <w:rStyle w:val="NormalTok"/>
        </w:rPr>
        <w:t xml:space="preserve">, </w:t>
      </w:r>
      <w:r>
        <w:rPr>
          <w:rStyle w:val="AttributeTok"/>
        </w:rPr>
        <w:t xml:space="preserve">device =</w:t>
      </w:r>
      <w:r>
        <w:rPr>
          <w:rStyle w:val="NormalTok"/>
        </w:rPr>
        <w:t xml:space="preserve"> </w:t>
      </w:r>
      <w:r>
        <w:rPr>
          <w:rStyle w:val="StringTok"/>
        </w:rPr>
        <w:t xml:space="preserve">"cpu"</w:t>
      </w:r>
      <w:r>
        <w:rPr>
          <w:rStyle w:val="NormalTok"/>
        </w:rPr>
        <w:t xml:space="preserve">, </w:t>
      </w:r>
      <w:r>
        <w:rPr>
          <w:rStyle w:val="AttributeTok"/>
        </w:rPr>
        <w:t xml:space="preserve">seed =</w:t>
      </w:r>
      <w:r>
        <w:rPr>
          <w:rStyle w:val="NormalTok"/>
        </w:rPr>
        <w:t xml:space="preserve"> </w:t>
      </w:r>
      <w:r>
        <w:rPr>
          <w:rStyle w:val="DecValTok"/>
        </w:rPr>
        <w:t xml:space="preserve">1</w:t>
      </w:r>
      <w:r>
        <w:rPr>
          <w:rStyle w:val="DataTypeTok"/>
        </w:rPr>
        <w:t xml:space="preserve">L</w:t>
      </w:r>
      <w:r>
        <w:rPr>
          <w:rStyle w:val="NormalTok"/>
        </w:rPr>
        <w:t xml:space="preserve">)</w:t>
      </w:r>
      <w:r>
        <w:br/>
      </w:r>
      <w:r>
        <w:rPr>
          <w:rStyle w:val="FunctionTok"/>
        </w:rPr>
        <w:t xml:space="preserve">range</w:t>
      </w:r>
      <w:r>
        <w:rPr>
          <w:rStyle w:val="NormalTok"/>
        </w:rPr>
        <w:t xml:space="preserve">(enc</w:t>
      </w:r>
      <w:r>
        <w:rPr>
          <w:rStyle w:val="SpecialCharTok"/>
        </w:rPr>
        <w:t xml:space="preserve">$</w:t>
      </w:r>
      <w:r>
        <w:rPr>
          <w:rStyle w:val="NormalTok"/>
        </w:rPr>
        <w:t xml:space="preserve">loss_history)</w:t>
      </w:r>
      <w:r>
        <w:br/>
      </w:r>
      <w:r>
        <w:rPr>
          <w:rStyle w:val="CommentTok"/>
        </w:rPr>
        <w:t xml:space="preserve">#&gt; [1] 3.656 6.271        # InfoNCE falls from 6.27 towards 3.66</w:t>
      </w:r>
    </w:p>
    <w:p>
      <w:pPr>
        <w:pStyle w:val="FirstParagraph"/>
      </w:pPr>
      <w:r>
        <w:t xml:space="preserve">Fig 6 shows what the objective does and what the resulting embedding organises by.</w:t>
      </w:r>
    </w:p>
    <w:p>
      <w:pPr>
        <w:pStyle w:val="BodyText"/>
      </w:pPr>
      <w:r>
        <w:drawing>
          <wp:inline>
            <wp:extent cx="5334000" cy="4553414"/>
            <wp:effectExtent b="0" l="0" r="0" t="0"/>
            <wp:docPr descr="" title="" id="26" name="Picture"/>
            <a:graphic>
              <a:graphicData uri="http://schemas.openxmlformats.org/drawingml/2006/picture">
                <pic:pic>
                  <pic:nvPicPr>
                    <pic:cNvPr descr="plos-manuscript_files/figures/Fig6.png" id="27" name="Picture"/>
                    <pic:cNvPicPr>
                      <a:picLocks noChangeArrowheads="1" noChangeAspect="1"/>
                    </pic:cNvPicPr>
                  </pic:nvPicPr>
                  <pic:blipFill>
                    <a:blip r:embed="rId25"/>
                    <a:stretch>
                      <a:fillRect/>
                    </a:stretch>
                  </pic:blipFill>
                  <pic:spPr bwMode="auto">
                    <a:xfrm>
                      <a:off x="0" y="0"/>
                      <a:ext cx="5334000" cy="4553414"/>
                    </a:xfrm>
                    <a:prstGeom prst="rect">
                      <a:avLst/>
                    </a:prstGeom>
                    <a:noFill/>
                    <a:ln w="9525">
                      <a:noFill/>
                      <a:headEnd/>
                      <a:tailEnd/>
                    </a:ln>
                  </pic:spPr>
                </pic:pic>
              </a:graphicData>
            </a:graphic>
          </wp:inline>
        </w:drawing>
      </w:r>
    </w:p>
    <w:p>
      <w:pPr>
        <w:pStyle w:val="BodyText"/>
      </w:pPr>
      <w:r>
        <w:rPr>
          <w:b/>
          <w:bCs/>
        </w:rPr>
        <w:t xml:space="preserve">Fig 6. Self-supervised pre-training on unlabelled raster patches.</w:t>
      </w:r>
      <w:r>
        <w:t xml:space="preserve"> </w:t>
      </w:r>
      <w:r>
        <w:t xml:space="preserve">(A) The InfoNCE objective over patches drawn from the bundled covariate grid, against the uninformative reference log(1 + K) for a queue of K negatives. (B) The first two principal components of the encoder output, coloured by the mean topographic wetness of each patch — a covariate the encoder is never given as a target, yet which the representation separates.</w:t>
      </w:r>
    </w:p>
    <w:p>
      <w:pPr>
        <w:pStyle w:val="BodyText"/>
      </w:pPr>
      <w:r>
        <w:t xml:space="preserve">The contrastive loss falls well below the uninformative reference of log(1 + K) = 5.55 for a queue of 256 negatives, confirming that the objective is learning rather than collapsing. We are explicit that a demonstration of this size — a few hundred optimiser steps over a few hundred small patches — establishes that the machinery works, not that a useful foundation model has been trained; the encoder used for the instrumental-variable analysis in Results is a substantially larger one, and it is still small by the standards of the term.</w:t>
      </w:r>
    </w:p>
    <w:p>
      <w:pPr>
        <w:pStyle w:val="BodyText"/>
      </w:pPr>
      <w:r>
        <w:rPr>
          <w:b/>
          <w:bCs/>
        </w:rPr>
        <w:t xml:space="preserve">The encoder is shown a prediction of its own label.</w:t>
      </w:r>
      <w:r>
        <w:t xml:space="preserve"> </w:t>
      </w:r>
      <w:r>
        <w:t xml:space="preserve">The 31-channel stack the pre-trained encoder consumes begins with SoilGrids organic carbon, alongside clay, sand, pH and bulk density, and that stack is cut into a patch centred on each profile at</w:t>
      </w:r>
      <w:r>
        <w:t xml:space="preserve"> </w:t>
      </w:r>
      <w:r>
        <w:rPr>
          <w:i/>
          <w:iCs/>
        </w:rPr>
        <w:t xml:space="preserve">inference</w:t>
      </w:r>
      <w:r>
        <w:t xml:space="preserve"> </w:t>
      </w:r>
      <w:r>
        <w:t xml:space="preserve">time as well as during pre-training. The embeddings handed to the downstream head are therefore a nonlinear function of another product’s published estimate of the quantity being predicted, evaluated at the coordinate being predicted, and SoilGrids is itself fitted partly to WoSIS. Spatial blocking does not break this path: the raster is global and fold-independent. This is feature leakage, and it must be declared for any embedding number in this paper to be read correctly.</w:t>
      </w:r>
    </w:p>
    <w:p>
      <w:pPr>
        <w:pStyle w:val="BodyText"/>
      </w:pPr>
      <w:r>
        <w:t xml:space="preserve">We measured what it is worth rather than reasoning about it. Extracting the SoilGrids 0–5 cm carbon layer at all 1,095 profile coordinates gives a correlation with the WoSIS topsoil measurement of only</w:t>
      </w:r>
      <w:r>
        <w:t xml:space="preserve"> </w:t>
      </w:r>
      <m:oMath>
        <m:r>
          <m:t>r</m:t>
        </m:r>
        <m:r>
          <m:rPr>
            <m:sty m:val="p"/>
          </m:rPr>
          <m:t>=</m:t>
        </m:r>
        <m:r>
          <m:t>0.25</m:t>
        </m:r>
      </m:oMath>
      <w:r>
        <w:t xml:space="preserve"> </w:t>
      </w:r>
      <w:r>
        <w:t xml:space="preserve">(Spearman 0.26), and a linear model using that leaked layer</w:t>
      </w:r>
      <w:r>
        <w:t xml:space="preserve"> </w:t>
      </w:r>
      <w:r>
        <w:rPr>
          <w:i/>
          <w:iCs/>
        </w:rPr>
        <w:t xml:space="preserve">alone</w:t>
      </w:r>
      <w:r>
        <w:t xml:space="preserve">, scored on the same buffered blocks, reaches an NSE of</w:t>
      </w:r>
      <w:r>
        <w:t xml:space="preserve"> </w:t>
      </w:r>
      <m:oMath>
        <m:r>
          <m:rPr>
            <m:sty m:val="p"/>
          </m:rPr>
          <m:t>−</m:t>
        </m:r>
        <m:r>
          <m:t>0.012</m:t>
        </m:r>
      </m:oMath>
      <w:r>
        <w:t xml:space="preserve"> </w:t>
      </w:r>
      <w:r>
        <w:t xml:space="preserve">— below the achievable null. The leaked channel carries essentially no skill for this label, most likely for the same reason as in the causal analysis: it is a 2020 estimate of a 1982 measurement. So the leakage cannot account for the embeddings’ position in the benchmark, and correcting it would not rescue them.</w:t>
      </w:r>
    </w:p>
    <w:p>
      <w:pPr>
        <w:pStyle w:val="BodyText"/>
      </w:pPr>
      <w:r>
        <w:t xml:space="preserve">If anything the finding runs the other way, and it is worth stating plainly: the foundation embeddings rank fourth of six</w:t>
      </w:r>
      <w:r>
        <w:t xml:space="preserve"> </w:t>
      </w:r>
      <w:r>
        <w:rPr>
          <w:i/>
          <w:iCs/>
        </w:rPr>
        <w:t xml:space="preserve">even with a prediction of the label inside their input</w:t>
      </w:r>
      <w:r>
        <w:t xml:space="preserve">, behind an ordinary least-squares fit on ten covariates that never sees it. The clean experiment — an encoder pre-trained on a stack with the carbon channel removed — requires retraining and is not reported here; we flag it as the fix rather than claim to have performed it.</w:t>
      </w:r>
    </w:p>
    <w:p>
      <w:pPr>
        <w:pStyle w:val="Heading3"/>
      </w:pPr>
      <w:r>
        <w:t xml:space="preserve">Active learning</w:t>
      </w:r>
    </w:p>
    <w:p>
      <w:pPr>
        <w:pStyle w:val="FirstParagraph"/>
      </w:pPr>
      <w:r>
        <w:t xml:space="preserve">The fifth pillar closes the survey loop. It seeds a design by conditioned Latin hypercube sampling over the covariate space, fits a quantile regression forest to the labelled profiles, and selects the next batch of field sites by trading predictive-interval width against diversity, optionally rejecting candidates that violate physical plausibility gates.</w:t>
      </w:r>
    </w:p>
    <w:p>
      <w:pPr>
        <w:pStyle w:val="SourceCode"/>
      </w:pPr>
      <w:r>
        <w:rPr>
          <w:rStyle w:val="FunctionTok"/>
        </w:rPr>
        <w:t xml:space="preserve">data</w:t>
      </w:r>
      <w:r>
        <w:rPr>
          <w:rStyle w:val="NormalTok"/>
        </w:rPr>
        <w:t xml:space="preserve">(br_cerrado)</w:t>
      </w:r>
      <w:r>
        <w:br/>
      </w:r>
      <w:r>
        <w:rPr>
          <w:rStyle w:val="NormalTok"/>
        </w:rPr>
        <w:t xml:space="preserve">seed_idx </w:t>
      </w:r>
      <w:r>
        <w:rPr>
          <w:rStyle w:val="OtherTok"/>
        </w:rPr>
        <w:t xml:space="preserve">&lt;-</w:t>
      </w:r>
      <w:r>
        <w:rPr>
          <w:rStyle w:val="NormalTok"/>
        </w:rPr>
        <w:t xml:space="preserve"> </w:t>
      </w:r>
      <w:r>
        <w:rPr>
          <w:rStyle w:val="FunctionTok"/>
        </w:rPr>
        <w:t xml:space="preserve">al_initial_design</w:t>
      </w:r>
      <w:r>
        <w:rPr>
          <w:rStyle w:val="NormalTok"/>
        </w:rPr>
        <w:t xml:space="preserve">(br_cerrado, </w:t>
      </w:r>
      <w:r>
        <w:rPr>
          <w:rStyle w:val="FunctionTok"/>
        </w:rPr>
        <w:t xml:space="preserve">c</w:t>
      </w:r>
      <w:r>
        <w:rPr>
          <w:rStyle w:val="NormalTok"/>
        </w:rPr>
        <w:t xml:space="preserve">(</w:t>
      </w:r>
      <w:r>
        <w:rPr>
          <w:rStyle w:val="StringTok"/>
        </w:rPr>
        <w:t xml:space="preserve">"elev"</w:t>
      </w:r>
      <w:r>
        <w:rPr>
          <w:rStyle w:val="NormalTok"/>
        </w:rPr>
        <w:t xml:space="preserve">,</w:t>
      </w:r>
      <w:r>
        <w:rPr>
          <w:rStyle w:val="StringTok"/>
        </w:rPr>
        <w:t xml:space="preserve">"slope"</w:t>
      </w:r>
      <w:r>
        <w:rPr>
          <w:rStyle w:val="NormalTok"/>
        </w:rPr>
        <w:t xml:space="preserve">,</w:t>
      </w:r>
      <w:r>
        <w:rPr>
          <w:rStyle w:val="StringTok"/>
        </w:rPr>
        <w:t xml:space="preserve">"twi"</w:t>
      </w:r>
      <w:r>
        <w:rPr>
          <w:rStyle w:val="NormalTok"/>
        </w:rPr>
        <w:t xml:space="preserve">,</w:t>
      </w:r>
      <w:r>
        <w:rPr>
          <w:rStyle w:val="StringTok"/>
        </w:rPr>
        <w:t xml:space="preserve">"map_mm"</w:t>
      </w:r>
      <w:r>
        <w:rPr>
          <w:rStyle w:val="NormalTok"/>
        </w:rPr>
        <w:t xml:space="preserve">), </w:t>
      </w:r>
      <w:r>
        <w:rPr>
          <w:rStyle w:val="AttributeTok"/>
        </w:rPr>
        <w:t xml:space="preserve">n =</w:t>
      </w:r>
      <w:r>
        <w:rPr>
          <w:rStyle w:val="NormalTok"/>
        </w:rPr>
        <w:t xml:space="preserve"> </w:t>
      </w:r>
      <w:r>
        <w:rPr>
          <w:rStyle w:val="DecValTok"/>
        </w:rPr>
        <w:t xml:space="preserve">30</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al_fit</w:t>
      </w:r>
      <w:r>
        <w:rPr>
          <w:rStyle w:val="NormalTok"/>
        </w:rPr>
        <w:t xml:space="preserve">(br_cerrado[seed_idx, ], </w:t>
      </w:r>
      <w:r>
        <w:rPr>
          <w:rStyle w:val="AttributeTok"/>
        </w:rPr>
        <w:t xml:space="preserve">target =</w:t>
      </w:r>
      <w:r>
        <w:rPr>
          <w:rStyle w:val="NormalTok"/>
        </w:rPr>
        <w:t xml:space="preserve"> </w:t>
      </w:r>
      <w:r>
        <w:rPr>
          <w:rStyle w:val="StringTok"/>
        </w:rPr>
        <w:t xml:space="preserve">"soc"</w:t>
      </w:r>
      <w:r>
        <w:rPr>
          <w:rStyle w:val="NormalTok"/>
        </w:rPr>
        <w:t xml:space="preserve">,</w:t>
      </w:r>
      <w:r>
        <w:br/>
      </w:r>
      <w:r>
        <w:rPr>
          <w:rStyle w:val="NormalTok"/>
        </w:rPr>
        <w:t xml:space="preserve">               </w:t>
      </w:r>
      <w:r>
        <w:rPr>
          <w:rStyle w:val="AttributeTok"/>
        </w:rPr>
        <w:t xml:space="preserve">covariates =</w:t>
      </w:r>
      <w:r>
        <w:rPr>
          <w:rStyle w:val="NormalTok"/>
        </w:rPr>
        <w:t xml:space="preserve"> </w:t>
      </w:r>
      <w:r>
        <w:rPr>
          <w:rStyle w:val="FunctionTok"/>
        </w:rPr>
        <w:t xml:space="preserve">c</w:t>
      </w:r>
      <w:r>
        <w:rPr>
          <w:rStyle w:val="NormalTok"/>
        </w:rPr>
        <w:t xml:space="preserve">(</w:t>
      </w:r>
      <w:r>
        <w:rPr>
          <w:rStyle w:val="StringTok"/>
        </w:rPr>
        <w:t xml:space="preserve">"elev"</w:t>
      </w:r>
      <w:r>
        <w:rPr>
          <w:rStyle w:val="NormalTok"/>
        </w:rPr>
        <w:t xml:space="preserve">,</w:t>
      </w:r>
      <w:r>
        <w:rPr>
          <w:rStyle w:val="StringTok"/>
        </w:rPr>
        <w:t xml:space="preserve">"slope"</w:t>
      </w:r>
      <w:r>
        <w:rPr>
          <w:rStyle w:val="NormalTok"/>
        </w:rPr>
        <w:t xml:space="preserve">,</w:t>
      </w:r>
      <w:r>
        <w:rPr>
          <w:rStyle w:val="StringTok"/>
        </w:rPr>
        <w:t xml:space="preserve">"twi"</w:t>
      </w:r>
      <w:r>
        <w:rPr>
          <w:rStyle w:val="NormalTok"/>
        </w:rPr>
        <w:t xml:space="preserve">,</w:t>
      </w:r>
      <w:r>
        <w:rPr>
          <w:rStyle w:val="StringTok"/>
        </w:rPr>
        <w:t xml:space="preserve">"map_mm"</w:t>
      </w:r>
      <w:r>
        <w:rPr>
          <w:rStyle w:val="NormalTok"/>
        </w:rPr>
        <w:t xml:space="preserve">))</w:t>
      </w:r>
      <w:r>
        <w:br/>
      </w:r>
      <w:r>
        <w:rPr>
          <w:rStyle w:val="NormalTok"/>
        </w:rPr>
        <w:t xml:space="preserve">nxt  </w:t>
      </w:r>
      <w:r>
        <w:rPr>
          <w:rStyle w:val="OtherTok"/>
        </w:rPr>
        <w:t xml:space="preserve">&lt;-</w:t>
      </w:r>
      <w:r>
        <w:rPr>
          <w:rStyle w:val="NormalTok"/>
        </w:rPr>
        <w:t xml:space="preserve"> </w:t>
      </w:r>
      <w:r>
        <w:rPr>
          <w:rStyle w:val="FunctionTok"/>
        </w:rPr>
        <w:t xml:space="preserve">al_query</w:t>
      </w:r>
      <w:r>
        <w:rPr>
          <w:rStyle w:val="NormalTok"/>
        </w:rPr>
        <w:t xml:space="preserve">(fit, </w:t>
      </w:r>
      <w:r>
        <w:rPr>
          <w:rStyle w:val="AttributeTok"/>
        </w:rPr>
        <w:t xml:space="preserve">candidates =</w:t>
      </w:r>
      <w:r>
        <w:rPr>
          <w:rStyle w:val="NormalTok"/>
        </w:rPr>
        <w:t xml:space="preserve"> br_cerrado[</w:t>
      </w:r>
      <w:r>
        <w:rPr>
          <w:rStyle w:val="SpecialCharTok"/>
        </w:rPr>
        <w:t xml:space="preserve">-</w:t>
      </w:r>
      <w:r>
        <w:rPr>
          <w:rStyle w:val="NormalTok"/>
        </w:rPr>
        <w:t xml:space="preserve">seed_idx, ], </w:t>
      </w:r>
      <w:r>
        <w:rPr>
          <w:rStyle w:val="AttributeTok"/>
        </w:rPr>
        <w:t xml:space="preserve">n_select =</w:t>
      </w:r>
      <w:r>
        <w:rPr>
          <w:rStyle w:val="NormalTok"/>
        </w:rPr>
        <w:t xml:space="preserve"> </w:t>
      </w:r>
      <w:r>
        <w:rPr>
          <w:rStyle w:val="DecValTok"/>
        </w:rPr>
        <w:t xml:space="preserve">6</w:t>
      </w:r>
      <w:r>
        <w:rPr>
          <w:rStyle w:val="NormalTok"/>
        </w:rPr>
        <w:t xml:space="preserve">)</w:t>
      </w:r>
    </w:p>
    <w:p>
      <w:pPr>
        <w:pStyle w:val="FirstParagraph"/>
      </w:pPr>
      <w:r>
        <w:t xml:space="preserve">Fig 7 shows the decision the pillar exists to make.</w:t>
      </w:r>
    </w:p>
    <w:p>
      <w:pPr>
        <w:pStyle w:val="BodyText"/>
      </w:pPr>
      <w:r>
        <w:drawing>
          <wp:inline>
            <wp:extent cx="5334000" cy="4741333"/>
            <wp:effectExtent b="0" l="0" r="0" t="0"/>
            <wp:docPr descr="" title="" id="29" name="Picture"/>
            <a:graphic>
              <a:graphicData uri="http://schemas.openxmlformats.org/drawingml/2006/picture">
                <pic:pic>
                  <pic:nvPicPr>
                    <pic:cNvPr descr="plos-manuscript_files/figures/Fig7.png" id="30" name="Picture"/>
                    <pic:cNvPicPr>
                      <a:picLocks noChangeArrowheads="1" noChangeAspect="1"/>
                    </pic:cNvPicPr>
                  </pic:nvPicPr>
                  <pic:blipFill>
                    <a:blip r:embed="rId28"/>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rPr>
        <w:t xml:space="preserve">Fig 7. Choosing where to sample next.</w:t>
      </w:r>
      <w:r>
        <w:t xml:space="preserve"> </w:t>
      </w:r>
      <w:r>
        <w:t xml:space="preserve">(A) The predictive-interval width over the demonstration grid, the profiles already labelled, and the batch of eight the policy selects. (B) The batch is drawn from the uncertain tail of the candidate pool. (C) Where that batch falls in covariate space: it spreads along wetness but concentrates at high precipitation, because the policy chases variance and variance here is not uniformly distributed.</w:t>
      </w:r>
    </w:p>
    <w:p>
      <w:pPr>
        <w:pStyle w:val="BodyText"/>
      </w:pPr>
      <w:r>
        <w:t xml:space="preserve">The selected batch has a mean 80% prediction-interval width of 21.3 g/kg against 14.2 g/kg for the candidate pool as a whole, confirming that the query is drawn from the uncertain part of the covariate space rather than from the bulk.</w:t>
      </w:r>
    </w:p>
    <w:p>
      <w:pPr>
        <w:pStyle w:val="BodyText"/>
      </w:pPr>
      <w:r>
        <w:rPr>
          <w:b/>
          <w:bCs/>
        </w:rPr>
        <w:t xml:space="preserve">Does any of it beat sampling at random?</w:t>
      </w:r>
      <w:r>
        <w:t xml:space="preserve"> </w:t>
      </w:r>
      <w:r>
        <w:t xml:space="preserve">That the policy selects uncertain sites is a statement about the policy, not about whether it helps. The package ships four acquisition strategies and a BatchBALD implementation, and the only comparison it previously contained was three variants of the same heuristic against one another — no random arm, no design arm, and BatchBALD evaluated nowhere at all. A strategy that cannot beat a uniform draw does not earn its complexity, and the only way to find out is to put a uniform draw in the loop.</w:t>
      </w:r>
    </w:p>
    <w:p>
      <w:pPr>
        <w:pStyle w:val="BodyText"/>
      </w:pPr>
      <w:r>
        <w:t xml:space="preserve">Each arm starts from the same 40-profile conditioned-Latin-hypercube seed, acquires 20 profiles per round for 6 rounds, refits a quantile regression forest each round, and is scored on a 300-profile test set fixed before any acquisition and never touched. Five repeats, because a single active-learning run is noisy.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right"/>
            </w:pPr>
            <w:r>
              <w:t xml:space="preserve">Final RMSE</w:t>
            </w:r>
          </w:p>
        </w:tc>
        <w:tc>
          <w:tcPr/>
          <w:p>
            <w:pPr>
              <w:pStyle w:val="Compact"/>
              <w:jc w:val="right"/>
            </w:pPr>
            <w:r>
              <w:t xml:space="preserve">vs random</w:t>
            </w:r>
          </w:p>
        </w:tc>
        <w:tc>
          <w:tcPr/>
          <w:p>
            <w:pPr>
              <w:pStyle w:val="Compact"/>
              <w:jc w:val="right"/>
            </w:pPr>
            <w:r>
              <w:t xml:space="preserve">Paired p</w:t>
            </w:r>
          </w:p>
        </w:tc>
        <w:tc>
          <w:tcPr/>
          <w:p>
            <w:pPr>
              <w:pStyle w:val="Compact"/>
              <w:jc w:val="right"/>
            </w:pPr>
            <w:r>
              <w:t xml:space="preserve">Wins</w:t>
            </w:r>
          </w:p>
        </w:tc>
      </w:tr>
      <w:tr>
        <w:tc>
          <w:tcPr/>
          <w:p>
            <w:pPr>
              <w:pStyle w:val="Compact"/>
              <w:jc w:val="left"/>
            </w:pPr>
            <w:r>
              <w:t xml:space="preserve">clhs</w:t>
            </w:r>
          </w:p>
        </w:tc>
        <w:tc>
          <w:tcPr/>
          <w:p>
            <w:pPr>
              <w:pStyle w:val="Compact"/>
              <w:jc w:val="right"/>
            </w:pPr>
            <w:r>
              <w:t xml:space="preserve">0.5820</w:t>
            </w:r>
          </w:p>
        </w:tc>
        <w:tc>
          <w:tcPr/>
          <w:p>
            <w:pPr>
              <w:pStyle w:val="Compact"/>
              <w:jc w:val="right"/>
            </w:pPr>
            <w:r>
              <w:t xml:space="preserve">-0.0021</w:t>
            </w:r>
          </w:p>
        </w:tc>
        <w:tc>
          <w:tcPr/>
          <w:p>
            <w:pPr>
              <w:pStyle w:val="Compact"/>
              <w:jc w:val="right"/>
            </w:pPr>
            <w:r>
              <w:t xml:space="preserve">0.81</w:t>
            </w:r>
          </w:p>
        </w:tc>
        <w:tc>
          <w:tcPr/>
          <w:p>
            <w:pPr>
              <w:pStyle w:val="Compact"/>
              <w:jc w:val="right"/>
            </w:pPr>
            <w:r>
              <w:t xml:space="preserve">3/5</w:t>
            </w:r>
          </w:p>
        </w:tc>
      </w:tr>
      <w:tr>
        <w:tc>
          <w:tcPr/>
          <w:p>
            <w:pPr>
              <w:pStyle w:val="Compact"/>
              <w:jc w:val="left"/>
            </w:pPr>
            <w:r>
              <w:t xml:space="preserve">uncertainty</w:t>
            </w:r>
          </w:p>
        </w:tc>
        <w:tc>
          <w:tcPr/>
          <w:p>
            <w:pPr>
              <w:pStyle w:val="Compact"/>
              <w:jc w:val="right"/>
            </w:pPr>
            <w:r>
              <w:t xml:space="preserve">0.5834</w:t>
            </w:r>
          </w:p>
        </w:tc>
        <w:tc>
          <w:tcPr/>
          <w:p>
            <w:pPr>
              <w:pStyle w:val="Compact"/>
              <w:jc w:val="right"/>
            </w:pPr>
            <w:r>
              <w:t xml:space="preserve">-0.0007</w:t>
            </w:r>
          </w:p>
        </w:tc>
        <w:tc>
          <w:tcPr/>
          <w:p>
            <w:pPr>
              <w:pStyle w:val="Compact"/>
              <w:jc w:val="right"/>
            </w:pPr>
            <w:r>
              <w:t xml:space="preserve">1.00</w:t>
            </w:r>
          </w:p>
        </w:tc>
        <w:tc>
          <w:tcPr/>
          <w:p>
            <w:pPr>
              <w:pStyle w:val="Compact"/>
              <w:jc w:val="right"/>
            </w:pPr>
            <w:r>
              <w:t xml:space="preserve">2/5</w:t>
            </w:r>
          </w:p>
        </w:tc>
      </w:tr>
      <w:tr>
        <w:tc>
          <w:tcPr/>
          <w:p>
            <w:pPr>
              <w:pStyle w:val="Compact"/>
              <w:jc w:val="left"/>
            </w:pPr>
            <w:r>
              <w:t xml:space="preserve">hybrid</w:t>
            </w:r>
          </w:p>
        </w:tc>
        <w:tc>
          <w:tcPr/>
          <w:p>
            <w:pPr>
              <w:pStyle w:val="Compact"/>
              <w:jc w:val="right"/>
            </w:pPr>
            <w:r>
              <w:t xml:space="preserve">0.5839</w:t>
            </w:r>
          </w:p>
        </w:tc>
        <w:tc>
          <w:tcPr/>
          <w:p>
            <w:pPr>
              <w:pStyle w:val="Compact"/>
              <w:jc w:val="right"/>
            </w:pPr>
            <w:r>
              <w:t xml:space="preserve">-0.0002</w:t>
            </w:r>
          </w:p>
        </w:tc>
        <w:tc>
          <w:tcPr/>
          <w:p>
            <w:pPr>
              <w:pStyle w:val="Compact"/>
              <w:jc w:val="right"/>
            </w:pPr>
            <w:r>
              <w:t xml:space="preserve">1.00</w:t>
            </w:r>
          </w:p>
        </w:tc>
        <w:tc>
          <w:tcPr/>
          <w:p>
            <w:pPr>
              <w:pStyle w:val="Compact"/>
              <w:jc w:val="right"/>
            </w:pPr>
            <w:r>
              <w:t xml:space="preserve">2/5</w:t>
            </w:r>
          </w:p>
        </w:tc>
      </w:tr>
      <w:tr>
        <w:tc>
          <w:tcPr/>
          <w:p>
            <w:pPr>
              <w:pStyle w:val="Compact"/>
              <w:jc w:val="left"/>
            </w:pPr>
            <w:r>
              <w:t xml:space="preserve">random</w:t>
            </w:r>
          </w:p>
        </w:tc>
        <w:tc>
          <w:tcPr/>
          <w:p>
            <w:pPr>
              <w:pStyle w:val="Compact"/>
              <w:jc w:val="right"/>
            </w:pPr>
            <w:r>
              <w:t xml:space="preserve">0.5841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batchbald</w:t>
            </w:r>
          </w:p>
        </w:tc>
        <w:tc>
          <w:tcPr/>
          <w:p>
            <w:pPr>
              <w:pStyle w:val="Compact"/>
              <w:jc w:val="right"/>
            </w:pPr>
            <w:r>
              <w:t xml:space="preserve">0.5871</w:t>
            </w:r>
          </w:p>
        </w:tc>
        <w:tc>
          <w:tcPr/>
          <w:p>
            <w:pPr>
              <w:pStyle w:val="Compact"/>
              <w:jc w:val="right"/>
            </w:pPr>
            <w:r>
              <w:t xml:space="preserve">0.0030</w:t>
            </w:r>
          </w:p>
        </w:tc>
        <w:tc>
          <w:tcPr/>
          <w:p>
            <w:pPr>
              <w:pStyle w:val="Compact"/>
              <w:jc w:val="right"/>
            </w:pPr>
            <w:r>
              <w:t xml:space="preserve">1.00</w:t>
            </w:r>
          </w:p>
        </w:tc>
        <w:tc>
          <w:tcPr/>
          <w:p>
            <w:pPr>
              <w:pStyle w:val="Compact"/>
              <w:jc w:val="right"/>
            </w:pPr>
            <w:r>
              <w:t xml:space="preserve">2/5</w:t>
            </w:r>
          </w:p>
        </w:tc>
      </w:tr>
    </w:tbl>
    <w:p>
      <w:pPr>
        <w:pStyle w:val="BodyText"/>
      </w:pPr>
      <w:r>
        <w:rPr>
          <w:b/>
          <w:bCs/>
        </w:rPr>
        <w:t xml:space="preserve">Table 11. Acquisition policies against a random draw.</w:t>
      </w:r>
      <w:r>
        <w:t xml:space="preserve"> </w:t>
      </w:r>
      <w:r>
        <w:t xml:space="preserve">Root-mean-square error on the held-out set after 6 rounds (160 labelled profiles), averaged over 5 repeats.</w:t>
      </w:r>
      <w:r>
        <w:t xml:space="preserve"> </w:t>
      </w:r>
      <w:r>
        <w:t xml:space="preserve">“Wins”</w:t>
      </w:r>
      <w:r>
        <w:t xml:space="preserve"> </w:t>
      </w:r>
      <w:r>
        <w:t xml:space="preserve">counts repeats in which the policy beat random.</w:t>
      </w:r>
    </w:p>
    <w:p>
      <w:pPr>
        <w:pStyle w:val="BodyText"/>
      </w:pPr>
      <w:r>
        <w:t xml:space="preserve">None of them does. The three policies that edge ahead do so by between 0.0002 and 0.0021 in RMSE, with paired</w:t>
      </w:r>
      <w:r>
        <w:t xml:space="preserve"> </w:t>
      </w:r>
      <w:r>
        <w:rPr>
          <w:i/>
          <w:iCs/>
        </w:rPr>
        <w:t xml:space="preserve">p</w:t>
      </w:r>
      <w:r>
        <w:t xml:space="preserve"> </w:t>
      </w:r>
      <w:r>
        <w:t xml:space="preserve">values of 0.81 and above and wins in two or three repeats out of five — which is a tie described at length. BatchBALD, the most elaborate of the five, is the only arm that finishes</w:t>
      </w:r>
      <w:r>
        <w:t xml:space="preserve"> </w:t>
      </w:r>
      <w:r>
        <w:rPr>
          <w:i/>
          <w:iCs/>
        </w:rPr>
        <w:t xml:space="preserve">behind</w:t>
      </w:r>
      <w:r>
        <w:t xml:space="preserve"> </w:t>
      </w:r>
      <w:r>
        <w:t xml:space="preserve">the random draw. No acquisition fell back to random selection, so these are the policies’ own choices.</w:t>
      </w:r>
    </w:p>
    <w:p>
      <w:pPr>
        <w:pStyle w:val="BodyText"/>
      </w:pPr>
      <w:r>
        <w:t xml:space="preserve">What does move the error is labelling more: every curve falls from 0.608 to about 0.584 as the labelled set goes from 40 to 160. On this task the gain comes from sampling more, not from sampling cleverly — the same shape of answer the six-method benchmark returns, and we report it for the same reason.</w:t>
      </w:r>
    </w:p>
    <w:p>
      <w:pPr>
        <w:pStyle w:val="Heading3"/>
      </w:pPr>
      <w:r>
        <w:t xml:space="preserve">Quantum machine learning</w:t>
      </w:r>
    </w:p>
    <w:p>
      <w:pPr>
        <w:pStyle w:val="FirstParagraph"/>
      </w:pPr>
      <w:r>
        <w:t xml:space="preserve">The sixth pillar simulates the ZZ feature-map encoding circuit on a classical state-vector simulator, forms the fidelity Gram matrix, and uses it as the kernel of a closed-form ridge regressor with a Gaussian-process-equivalent posterior.</w:t>
      </w:r>
    </w:p>
    <w:p>
      <w:pPr>
        <w:pStyle w:val="SourceCode"/>
      </w:pPr>
      <w:r>
        <w:rPr>
          <w:rStyle w:val="FunctionTok"/>
        </w:rPr>
        <w:t xml:space="preserve">data</w:t>
      </w:r>
      <w:r>
        <w:rPr>
          <w:rStyle w:val="NormalTok"/>
        </w:rPr>
        <w:t xml:space="preserve">(br_cerrado)</w:t>
      </w:r>
      <w:r>
        <w:br/>
      </w:r>
      <w:r>
        <w:rPr>
          <w:rStyle w:val="NormalTok"/>
        </w:rPr>
        <w:t xml:space="preserve">X </w:t>
      </w:r>
      <w:r>
        <w:rPr>
          <w:rStyle w:val="OtherTok"/>
        </w:rPr>
        <w:t xml:space="preserve">&lt;-</w:t>
      </w:r>
      <w:r>
        <w:rPr>
          <w:rStyle w:val="NormalTok"/>
        </w:rPr>
        <w:t xml:space="preserve"> </w:t>
      </w:r>
      <w:r>
        <w:rPr>
          <w:rStyle w:val="FunctionTok"/>
        </w:rPr>
        <w:t xml:space="preserve">quantum_scale</w:t>
      </w:r>
      <w:r>
        <w:rPr>
          <w:rStyle w:val="NormalTok"/>
        </w:rPr>
        <w:t xml:space="preserve">(</w:t>
      </w:r>
      <w:r>
        <w:rPr>
          <w:rStyle w:val="FunctionTok"/>
        </w:rPr>
        <w:t xml:space="preserve">as.matrix</w:t>
      </w:r>
      <w:r>
        <w:rPr>
          <w:rStyle w:val="NormalTok"/>
        </w:rPr>
        <w:t xml:space="preserve">(br_cerrado[</w:t>
      </w:r>
      <w:r>
        <w:rPr>
          <w:rStyle w:val="DecValTok"/>
        </w:rPr>
        <w:t xml:space="preserve">1</w:t>
      </w:r>
      <w:r>
        <w:rPr>
          <w:rStyle w:val="SpecialCharTok"/>
        </w:rPr>
        <w:t xml:space="preserve">:</w:t>
      </w:r>
      <w:r>
        <w:rPr>
          <w:rStyle w:val="DecValTok"/>
        </w:rPr>
        <w:t xml:space="preserve">40</w:t>
      </w:r>
      <w:r>
        <w:rPr>
          <w:rStyle w:val="NormalTok"/>
        </w:rPr>
        <w:t xml:space="preserve">, </w:t>
      </w:r>
      <w:r>
        <w:rPr>
          <w:rStyle w:val="FunctionTok"/>
        </w:rPr>
        <w:t xml:space="preserve">c</w:t>
      </w:r>
      <w:r>
        <w:rPr>
          <w:rStyle w:val="NormalTok"/>
        </w:rPr>
        <w:t xml:space="preserve">(</w:t>
      </w:r>
      <w:r>
        <w:rPr>
          <w:rStyle w:val="StringTok"/>
        </w:rPr>
        <w:t xml:space="preserve">"elev"</w:t>
      </w:r>
      <w:r>
        <w:rPr>
          <w:rStyle w:val="NormalTok"/>
        </w:rPr>
        <w:t xml:space="preserve">,</w:t>
      </w:r>
      <w:r>
        <w:rPr>
          <w:rStyle w:val="StringTok"/>
        </w:rPr>
        <w:t xml:space="preserve">"twi"</w:t>
      </w:r>
      <w:r>
        <w:rPr>
          <w:rStyle w:val="NormalTok"/>
        </w:rPr>
        <w:t xml:space="preserve">,</w:t>
      </w:r>
      <w:r>
        <w:rPr>
          <w:rStyle w:val="StringTok"/>
        </w:rPr>
        <w:t xml:space="preserve">"map_mm"</w:t>
      </w:r>
      <w:r>
        <w:rPr>
          <w:rStyle w:val="NormalTok"/>
        </w:rPr>
        <w:t xml:space="preserve">)]))</w:t>
      </w:r>
      <w:r>
        <w:br/>
      </w:r>
      <w:r>
        <w:rPr>
          <w:rStyle w:val="NormalTok"/>
        </w:rPr>
        <w:t xml:space="preserve">K </w:t>
      </w:r>
      <w:r>
        <w:rPr>
          <w:rStyle w:val="OtherTok"/>
        </w:rPr>
        <w:t xml:space="preserve">&lt;-</w:t>
      </w:r>
      <w:r>
        <w:rPr>
          <w:rStyle w:val="NormalTok"/>
        </w:rPr>
        <w:t xml:space="preserve"> </w:t>
      </w:r>
      <w:r>
        <w:rPr>
          <w:rStyle w:val="FunctionTok"/>
        </w:rPr>
        <w:t xml:space="preserve">quantum_kernel</w:t>
      </w:r>
      <w:r>
        <w:rPr>
          <w:rStyle w:val="NormalTok"/>
        </w:rPr>
        <w:t xml:space="preserve">(X, </w:t>
      </w:r>
      <w:r>
        <w:rPr>
          <w:rStyle w:val="AttributeTok"/>
        </w:rPr>
        <w:t xml:space="preserve">n_qubits =</w:t>
      </w:r>
      <w:r>
        <w:rPr>
          <w:rStyle w:val="NormalTok"/>
        </w:rPr>
        <w:t xml:space="preserve"> </w:t>
      </w:r>
      <w:r>
        <w:rPr>
          <w:rStyle w:val="DecValTok"/>
        </w:rPr>
        <w:t xml:space="preserve">3</w:t>
      </w:r>
      <w:r>
        <w:rPr>
          <w:rStyle w:val="DataTypeTok"/>
        </w:rPr>
        <w:t xml:space="preserve">L</w:t>
      </w:r>
      <w:r>
        <w:rPr>
          <w:rStyle w:val="NormalTok"/>
        </w:rPr>
        <w:t xml:space="preserve">, </w:t>
      </w:r>
      <w:r>
        <w:rPr>
          <w:rStyle w:val="AttributeTok"/>
        </w:rPr>
        <w:t xml:space="preserve">reps =</w:t>
      </w:r>
      <w:r>
        <w:rPr>
          <w:rStyle w:val="NormalTok"/>
        </w:rPr>
        <w:t xml:space="preserve"> </w:t>
      </w:r>
      <w:r>
        <w:rPr>
          <w:rStyle w:val="DecValTok"/>
        </w:rPr>
        <w:t xml:space="preserve">2</w:t>
      </w:r>
      <w:r>
        <w:rPr>
          <w:rStyle w:val="DataTypeTok"/>
        </w:rPr>
        <w:t xml:space="preserve">L</w:t>
      </w:r>
      <w:r>
        <w:rPr>
          <w:rStyle w:val="NormalTok"/>
        </w:rPr>
        <w:t xml:space="preserve">)</w:t>
      </w:r>
      <w:r>
        <w:br/>
      </w:r>
      <w:r>
        <w:rPr>
          <w:rStyle w:val="FunctionTok"/>
        </w:rPr>
        <w:t xml:space="preserve">dim</w:t>
      </w:r>
      <w:r>
        <w:rPr>
          <w:rStyle w:val="NormalTok"/>
        </w:rPr>
        <w:t xml:space="preserve">(K); </w:t>
      </w:r>
      <w:r>
        <w:rPr>
          <w:rStyle w:val="FunctionTok"/>
        </w:rPr>
        <w:t xml:space="preserve">round</w:t>
      </w:r>
      <w:r>
        <w:rPr>
          <w:rStyle w:val="NormalTok"/>
        </w:rPr>
        <w:t xml:space="preserve">(K[</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w:t>
      </w:r>
    </w:p>
    <w:p>
      <w:pPr>
        <w:pStyle w:val="FirstParagraph"/>
      </w:pPr>
      <w:r>
        <w:t xml:space="preserve">The simulator is exact: against the analytic single-qubit kernel cos²(x − y) the maximum deviation is 4 × 10⁻¹⁶, and against an independently written Kronecker-product simulator 3 × 10⁻¹⁶. Fig 8 contrasts the resulting similarity structure with a Gaussian kernel on the same profiles.</w:t>
      </w:r>
    </w:p>
    <w:p>
      <w:pPr>
        <w:pStyle w:val="BodyText"/>
      </w:pPr>
      <w:r>
        <w:drawing>
          <wp:inline>
            <wp:extent cx="5334000" cy="4572000"/>
            <wp:effectExtent b="0" l="0" r="0" t="0"/>
            <wp:docPr descr="" title="" id="32" name="Picture"/>
            <a:graphic>
              <a:graphicData uri="http://schemas.openxmlformats.org/drawingml/2006/picture">
                <pic:pic>
                  <pic:nvPicPr>
                    <pic:cNvPr descr="plos-manuscript_files/figures/Fig8.png" id="33" name="Picture"/>
                    <pic:cNvPicPr>
                      <a:picLocks noChangeArrowheads="1" noChangeAspect="1"/>
                    </pic:cNvPicPr>
                  </pic:nvPicPr>
                  <pic:blipFill>
                    <a:blip r:embed="rId31"/>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rPr>
          <w:b/>
          <w:bCs/>
        </w:rPr>
        <w:t xml:space="preserve">Fig 8. What the quantum feature map does to similarity.</w:t>
      </w:r>
      <w:r>
        <w:t xml:space="preserve"> </w:t>
      </w:r>
      <w:r>
        <w:t xml:space="preserve">(A) Gram matrices over the same 60 profiles, ordered by organic carbon. (B) Kernel value against distance in covariate space: the Gaussian kernel decays monotonically, while the ZZ feature map does not — the non-monotone structure is the property the method is proposed for, and on this task also the reason it generalises worst of the six methods compared below.</w:t>
      </w:r>
    </w:p>
    <w:p>
      <w:pPr>
        <w:pStyle w:val="BodyText"/>
      </w:pPr>
      <w:r>
        <w:t xml:space="preserve">Two things should be said plainly. No quantum hardware is involved — this is a simulation of a quantum kernel, not a quantum computation — and the simulator’s cost is exponential in qubit count, which bounds practical use to small feature sets.</w:t>
      </w:r>
    </w:p>
    <w:p>
      <w:pPr>
        <w:pStyle w:val="Heading3"/>
      </w:pPr>
      <w:r>
        <w:t xml:space="preserve">Bayesian hierarchical spatial models</w:t>
      </w:r>
    </w:p>
    <w:p>
      <w:pPr>
        <w:pStyle w:val="FirstParagraph"/>
      </w:pPr>
      <w:r>
        <w:t xml:space="preserve">The seventh pillar fits the geostatistical linear model with an exponentially correlated latent Gaussian process by a conjugate Gibbs sampler, and predicts at unsampled sites through the exact Gaussian conditional applied per posterior draw — Bayesian kriging with the parameter uncertainty carried through.</w:t>
      </w:r>
    </w:p>
    <w:p>
      <w:pPr>
        <w:pStyle w:val="SourceCode"/>
      </w:pPr>
      <w:r>
        <w:rPr>
          <w:rStyle w:val="FunctionTok"/>
        </w:rPr>
        <w:t xml:space="preserve">data</w:t>
      </w:r>
      <w:r>
        <w:rPr>
          <w:rStyle w:val="NormalTok"/>
        </w:rPr>
        <w:t xml:space="preserve">(br_cerrado)</w:t>
      </w:r>
      <w:r>
        <w:br/>
      </w:r>
      <w:r>
        <w:rPr>
          <w:rStyle w:val="NormalTok"/>
        </w:rPr>
        <w:t xml:space="preserve">d </w:t>
      </w:r>
      <w:r>
        <w:rPr>
          <w:rStyle w:val="OtherTok"/>
        </w:rPr>
        <w:t xml:space="preserve">&lt;-</w:t>
      </w:r>
      <w:r>
        <w:rPr>
          <w:rStyle w:val="NormalTok"/>
        </w:rPr>
        <w:t xml:space="preserve"> br_cerrado[</w:t>
      </w:r>
      <w:r>
        <w:rPr>
          <w:rStyle w:val="DecValTok"/>
        </w:rPr>
        <w:t xml:space="preserve">1</w:t>
      </w:r>
      <w:r>
        <w:rPr>
          <w:rStyle w:val="SpecialCharTok"/>
        </w:rPr>
        <w:t xml:space="preserve">:</w:t>
      </w:r>
      <w:r>
        <w:rPr>
          <w:rStyle w:val="DecValTok"/>
        </w:rPr>
        <w:t xml:space="preserve">120</w:t>
      </w:r>
      <w:r>
        <w:rPr>
          <w:rStyle w:val="NormalTok"/>
        </w:rPr>
        <w:t xml:space="preserve">, ]; d</w:t>
      </w:r>
      <w:r>
        <w:rPr>
          <w:rStyle w:val="SpecialCharTok"/>
        </w:rPr>
        <w:t xml:space="preserve">$</w:t>
      </w:r>
      <w:r>
        <w:rPr>
          <w:rStyle w:val="NormalTok"/>
        </w:rPr>
        <w:t xml:space="preserve">lon </w:t>
      </w:r>
      <w:r>
        <w:rPr>
          <w:rStyle w:val="OtherTok"/>
        </w:rPr>
        <w:t xml:space="preserve">&lt;-</w:t>
      </w:r>
      <w:r>
        <w:rPr>
          <w:rStyle w:val="NormalTok"/>
        </w:rPr>
        <w:t xml:space="preserve"> d</w:t>
      </w:r>
      <w:r>
        <w:rPr>
          <w:rStyle w:val="SpecialCharTok"/>
        </w:rPr>
        <w:t xml:space="preserve">$</w:t>
      </w:r>
      <w:r>
        <w:rPr>
          <w:rStyle w:val="NormalTok"/>
        </w:rPr>
        <w:t xml:space="preserve">x; d</w:t>
      </w:r>
      <w:r>
        <w:rPr>
          <w:rStyle w:val="SpecialCharTok"/>
        </w:rPr>
        <w:t xml:space="preserve">$</w:t>
      </w:r>
      <w:r>
        <w:rPr>
          <w:rStyle w:val="NormalTok"/>
        </w:rPr>
        <w:t xml:space="preserve">lat </w:t>
      </w:r>
      <w:r>
        <w:rPr>
          <w:rStyle w:val="OtherTok"/>
        </w:rPr>
        <w:t xml:space="preserve">&lt;-</w:t>
      </w:r>
      <w:r>
        <w:rPr>
          <w:rStyle w:val="NormalTok"/>
        </w:rPr>
        <w:t xml:space="preserve"> d</w:t>
      </w:r>
      <w:r>
        <w:rPr>
          <w:rStyle w:val="SpecialCharTok"/>
        </w:rPr>
        <w:t xml:space="preserve">$</w:t>
      </w:r>
      <w:r>
        <w:rPr>
          <w:rStyle w:val="NormalTok"/>
        </w:rPr>
        <w:t xml:space="preserve">y</w:t>
      </w:r>
      <w:r>
        <w:br/>
      </w:r>
      <w:r>
        <w:rPr>
          <w:rStyle w:val="NormalTok"/>
        </w:rPr>
        <w:t xml:space="preserve">fit </w:t>
      </w:r>
      <w:r>
        <w:rPr>
          <w:rStyle w:val="OtherTok"/>
        </w:rPr>
        <w:t xml:space="preserve">&lt;-</w:t>
      </w:r>
      <w:r>
        <w:rPr>
          <w:rStyle w:val="NormalTok"/>
        </w:rPr>
        <w:t xml:space="preserve"> </w:t>
      </w:r>
      <w:r>
        <w:rPr>
          <w:rStyle w:val="FunctionTok"/>
        </w:rPr>
        <w:t xml:space="preserve">bhs_fit</w:t>
      </w:r>
      <w:r>
        <w:rPr>
          <w:rStyle w:val="NormalTok"/>
        </w:rPr>
        <w:t xml:space="preserve">(d, soc </w:t>
      </w:r>
      <w:r>
        <w:rPr>
          <w:rStyle w:val="SpecialCharTok"/>
        </w:rPr>
        <w:t xml:space="preserve">~</w:t>
      </w:r>
      <w:r>
        <w:rPr>
          <w:rStyle w:val="NormalTok"/>
        </w:rPr>
        <w:t xml:space="preserve"> twi </w:t>
      </w:r>
      <w:r>
        <w:rPr>
          <w:rStyle w:val="SpecialCharTok"/>
        </w:rPr>
        <w:t xml:space="preserve">+</w:t>
      </w:r>
      <w:r>
        <w:rPr>
          <w:rStyle w:val="NormalTok"/>
        </w:rPr>
        <w:t xml:space="preserve"> map_mm,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w:t>
      </w:r>
      <w:r>
        <w:rPr>
          <w:rStyle w:val="StringTok"/>
        </w:rPr>
        <w:t xml:space="preserve">"lat"</w:t>
      </w:r>
      <w:r>
        <w:rPr>
          <w:rStyle w:val="NormalTok"/>
        </w:rPr>
        <w:t xml:space="preserve">),</w:t>
      </w:r>
      <w:r>
        <w:br/>
      </w:r>
      <w:r>
        <w:rPr>
          <w:rStyle w:val="NormalTok"/>
        </w:rPr>
        <w:t xml:space="preserve">               </w:t>
      </w:r>
      <w:r>
        <w:rPr>
          <w:rStyle w:val="AttributeTok"/>
        </w:rPr>
        <w:t xml:space="preserve">nmcmc =</w:t>
      </w:r>
      <w:r>
        <w:rPr>
          <w:rStyle w:val="NormalTok"/>
        </w:rPr>
        <w:t xml:space="preserve"> </w:t>
      </w:r>
      <w:r>
        <w:rPr>
          <w:rStyle w:val="DecValTok"/>
        </w:rPr>
        <w:t xml:space="preserve">2000</w:t>
      </w:r>
      <w:r>
        <w:rPr>
          <w:rStyle w:val="NormalTok"/>
        </w:rPr>
        <w:t xml:space="preserve">, </w:t>
      </w:r>
      <w:r>
        <w:rPr>
          <w:rStyle w:val="AttributeTok"/>
        </w:rPr>
        <w:t xml:space="preserve">burn =</w:t>
      </w:r>
      <w:r>
        <w:rPr>
          <w:rStyle w:val="NormalTok"/>
        </w:rPr>
        <w:t xml:space="preserve"> </w:t>
      </w:r>
      <w:r>
        <w:rPr>
          <w:rStyle w:val="DecValTok"/>
        </w:rPr>
        <w:t xml:space="preserve">500</w:t>
      </w:r>
      <w:r>
        <w:rPr>
          <w:rStyle w:val="NormalTok"/>
        </w:rPr>
        <w:t xml:space="preserve">, </w:t>
      </w:r>
      <w:r>
        <w:rPr>
          <w:rStyle w:val="AttributeTok"/>
        </w:rPr>
        <w:t xml:space="preserve">seed =</w:t>
      </w:r>
      <w:r>
        <w:rPr>
          <w:rStyle w:val="NormalTok"/>
        </w:rPr>
        <w:t xml:space="preserve"> </w:t>
      </w:r>
      <w:r>
        <w:rPr>
          <w:rStyle w:val="DecValTok"/>
        </w:rPr>
        <w:t xml:space="preserve">1</w:t>
      </w:r>
      <w:r>
        <w:rPr>
          <w:rStyle w:val="NormalTok"/>
        </w:rPr>
        <w:t xml:space="preserve">)</w:t>
      </w:r>
      <w:r>
        <w:br/>
      </w:r>
      <w:r>
        <w:rPr>
          <w:rStyle w:val="FunctionTok"/>
        </w:rPr>
        <w:t xml:space="preserve">print</w:t>
      </w:r>
      <w:r>
        <w:rPr>
          <w:rStyle w:val="NormalTok"/>
        </w:rPr>
        <w:t xml:space="preserve">(fit)</w:t>
      </w:r>
      <w:r>
        <w:br/>
      </w:r>
      <w:r>
        <w:rPr>
          <w:rStyle w:val="NormalTok"/>
        </w:rPr>
        <w:t xml:space="preserve">pred </w:t>
      </w:r>
      <w:r>
        <w:rPr>
          <w:rStyle w:val="OtherTok"/>
        </w:rPr>
        <w:t xml:space="preserve">&lt;-</w:t>
      </w:r>
      <w:r>
        <w:rPr>
          <w:rStyle w:val="NormalTok"/>
        </w:rPr>
        <w:t xml:space="preserve"> </w:t>
      </w:r>
      <w:r>
        <w:rPr>
          <w:rStyle w:val="FunctionTok"/>
        </w:rPr>
        <w:t xml:space="preserve">predict</w:t>
      </w:r>
      <w:r>
        <w:rPr>
          <w:rStyle w:val="NormalTok"/>
        </w:rPr>
        <w:t xml:space="preserve">(fit, </w:t>
      </w:r>
      <w:r>
        <w:rPr>
          <w:rStyle w:val="AttributeTok"/>
        </w:rPr>
        <w:t xml:space="preserve">newdata =</w:t>
      </w:r>
      <w:r>
        <w:rPr>
          <w:rStyle w:val="NormalTok"/>
        </w:rPr>
        <w:t xml:space="preserve"> d[</w:t>
      </w:r>
      <w:r>
        <w:rPr>
          <w:rStyle w:val="DecValTok"/>
        </w:rPr>
        <w:t xml:space="preserve">1</w:t>
      </w:r>
      <w:r>
        <w:rPr>
          <w:rStyle w:val="SpecialCharTok"/>
        </w:rPr>
        <w:t xml:space="preserve">:</w:t>
      </w:r>
      <w:r>
        <w:rPr>
          <w:rStyle w:val="DecValTok"/>
        </w:rPr>
        <w:t xml:space="preserve">5</w:t>
      </w:r>
      <w:r>
        <w:rPr>
          <w:rStyle w:val="NormalTok"/>
        </w:rPr>
        <w:t xml:space="preserve">, ])</w:t>
      </w:r>
    </w:p>
    <w:p>
      <w:pPr>
        <w:pStyle w:val="FirstParagraph"/>
      </w:pPr>
      <w:r>
        <w:t xml:space="preserve">Fig 9 shows the surface and, more importantly, its uncertainty.</w:t>
      </w:r>
    </w:p>
    <w:p>
      <w:pPr>
        <w:pStyle w:val="BodyText"/>
      </w:pPr>
      <w:r>
        <w:drawing>
          <wp:inline>
            <wp:extent cx="5334000" cy="4174434"/>
            <wp:effectExtent b="0" l="0" r="0" t="0"/>
            <wp:docPr descr="" title="" id="35" name="Picture"/>
            <a:graphic>
              <a:graphicData uri="http://schemas.openxmlformats.org/drawingml/2006/picture">
                <pic:pic>
                  <pic:nvPicPr>
                    <pic:cNvPr descr="plos-manuscript_files/figures/Fig9.png" id="36" name="Picture"/>
                    <pic:cNvPicPr>
                      <a:picLocks noChangeArrowheads="1" noChangeAspect="1"/>
                    </pic:cNvPicPr>
                  </pic:nvPicPr>
                  <pic:blipFill>
                    <a:blip r:embed="rId34"/>
                    <a:stretch>
                      <a:fillRect/>
                    </a:stretch>
                  </pic:blipFill>
                  <pic:spPr bwMode="auto">
                    <a:xfrm>
                      <a:off x="0" y="0"/>
                      <a:ext cx="5334000" cy="4174434"/>
                    </a:xfrm>
                    <a:prstGeom prst="rect">
                      <a:avLst/>
                    </a:prstGeom>
                    <a:noFill/>
                    <a:ln w="9525">
                      <a:noFill/>
                      <a:headEnd/>
                      <a:tailEnd/>
                    </a:ln>
                  </pic:spPr>
                </pic:pic>
              </a:graphicData>
            </a:graphic>
          </wp:inline>
        </w:drawing>
      </w:r>
    </w:p>
    <w:p>
      <w:pPr>
        <w:pStyle w:val="BodyText"/>
      </w:pPr>
      <w:r>
        <w:rPr>
          <w:b/>
          <w:bCs/>
        </w:rPr>
        <w:t xml:space="preserve">Fig 9. Bayesian kriging with the parameter uncertainty carried through.</w:t>
      </w:r>
      <w:r>
        <w:t xml:space="preserve"> </w:t>
      </w:r>
      <w:r>
        <w:t xml:space="preserve">(A) Posterior mean surface conditioned on 150 observations. (B) Posterior standard deviation: it contracts near data and widens away from it. (C) The same relationship directly — predictive uncertainty against distance to the nearest observation. A nugget-only interval would be flat here, which is how the omission in an earlier version of this package was caught.</w:t>
      </w:r>
    </w:p>
    <w:p>
      <w:pPr>
        <w:pStyle w:val="BodyText"/>
      </w:pPr>
      <w:r>
        <w:t xml:space="preserve">The predictive variance at a new site is the full kriging expression, σ² + τ² − σ⁴r₀ᵀΣ⁻¹r₀, rather than the nugget alone; an earlier version of this package omitted the kriging term, which inflated predictive intervals and is the kind of error that a calibration diagnostic catches immediately.</w:t>
      </w:r>
    </w:p>
    <w:p>
      <w:pPr>
        <w:pStyle w:val="Heading3"/>
      </w:pPr>
      <w:r>
        <w:t xml:space="preserve">Neural operators</w:t>
      </w:r>
    </w:p>
    <w:p>
      <w:pPr>
        <w:pStyle w:val="FirstParagraph"/>
      </w:pPr>
      <w:r>
        <w:t xml:space="preserve">The eighth pillar learns the map from a site’s covariates to its entire depth profile as a function, so that a single trained operator emits carbon at any depth, including depths never sampled in training.</w:t>
      </w:r>
    </w:p>
    <w:p>
      <w:pPr>
        <w:pStyle w:val="SourceCode"/>
      </w:pPr>
      <w:r>
        <w:rPr>
          <w:rStyle w:val="NormalTok"/>
        </w:rPr>
        <w:t xml:space="preserve">don </w:t>
      </w:r>
      <w:r>
        <w:rPr>
          <w:rStyle w:val="OtherTok"/>
        </w:rPr>
        <w:t xml:space="preserve">&lt;-</w:t>
      </w:r>
      <w:r>
        <w:rPr>
          <w:rStyle w:val="NormalTok"/>
        </w:rPr>
        <w:t xml:space="preserve"> </w:t>
      </w:r>
      <w:r>
        <w:rPr>
          <w:rStyle w:val="FunctionTok"/>
        </w:rPr>
        <w:t xml:space="preserve">no_deeponet_fit</w:t>
      </w:r>
      <w:r>
        <w:rPr>
          <w:rStyle w:val="NormalTok"/>
        </w:rPr>
        <w:t xml:space="preserve">(depths, targets, covariates, </w:t>
      </w:r>
      <w:r>
        <w:rPr>
          <w:rStyle w:val="AttributeTok"/>
        </w:rPr>
        <w:t xml:space="preserve">backend =</w:t>
      </w:r>
      <w:r>
        <w:rPr>
          <w:rStyle w:val="NormalTok"/>
        </w:rPr>
        <w:t xml:space="preserve"> </w:t>
      </w:r>
      <w:r>
        <w:rPr>
          <w:rStyle w:val="StringTok"/>
        </w:rPr>
        <w:t xml:space="preserve">"r"</w:t>
      </w:r>
      <w:r>
        <w:rPr>
          <w:rStyle w:val="NormalTok"/>
        </w:rPr>
        <w:t xml:space="preserve">,</w:t>
      </w:r>
      <w:r>
        <w:br/>
      </w:r>
      <w:r>
        <w:rPr>
          <w:rStyle w:val="NormalTok"/>
        </w:rPr>
        <w:t xml:space="preserve">                       </w:t>
      </w:r>
      <w:r>
        <w:rPr>
          <w:rStyle w:val="AttributeTok"/>
        </w:rPr>
        <w:t xml:space="preserve">branch_hidden =</w:t>
      </w:r>
      <w:r>
        <w:rPr>
          <w:rStyle w:val="NormalTok"/>
        </w:rPr>
        <w:t xml:space="preserve"> </w:t>
      </w:r>
      <w:r>
        <w:rPr>
          <w:rStyle w:val="DecValTok"/>
        </w:rPr>
        <w:t xml:space="preserve">24</w:t>
      </w:r>
      <w:r>
        <w:rPr>
          <w:rStyle w:val="DataTypeTok"/>
        </w:rPr>
        <w:t xml:space="preserve">L</w:t>
      </w:r>
      <w:r>
        <w:rPr>
          <w:rStyle w:val="NormalTok"/>
        </w:rPr>
        <w:t xml:space="preserve">, </w:t>
      </w:r>
      <w:r>
        <w:rPr>
          <w:rStyle w:val="AttributeTok"/>
        </w:rPr>
        <w:t xml:space="preserve">trunk_hidden =</w:t>
      </w:r>
      <w:r>
        <w:rPr>
          <w:rStyle w:val="NormalTok"/>
        </w:rPr>
        <w:t xml:space="preserve"> </w:t>
      </w:r>
      <w:r>
        <w:rPr>
          <w:rStyle w:val="DecValTok"/>
        </w:rPr>
        <w:t xml:space="preserve">24</w:t>
      </w:r>
      <w:r>
        <w:rPr>
          <w:rStyle w:val="DataTypeTok"/>
        </w:rPr>
        <w:t xml:space="preserve">L</w:t>
      </w:r>
      <w:r>
        <w:rPr>
          <w:rStyle w:val="NormalTok"/>
        </w:rPr>
        <w:t xml:space="preserve">, </w:t>
      </w:r>
      <w:r>
        <w:rPr>
          <w:rStyle w:val="AttributeTok"/>
        </w:rPr>
        <w:t xml:space="preserve">epochs =</w:t>
      </w:r>
      <w:r>
        <w:rPr>
          <w:rStyle w:val="NormalTok"/>
        </w:rPr>
        <w:t xml:space="preserve"> </w:t>
      </w:r>
      <w:r>
        <w:rPr>
          <w:rStyle w:val="DecValTok"/>
        </w:rPr>
        <w:t xml:space="preserve">400</w:t>
      </w:r>
      <w:r>
        <w:rPr>
          <w:rStyle w:val="DataTypeTok"/>
        </w:rPr>
        <w:t xml:space="preserve">L</w:t>
      </w:r>
      <w:r>
        <w:rPr>
          <w:rStyle w:val="NormalTok"/>
        </w:rPr>
        <w:t xml:space="preserve">)</w:t>
      </w:r>
      <w:r>
        <w:br/>
      </w:r>
      <w:r>
        <w:rPr>
          <w:rStyle w:val="NormalTok"/>
        </w:rPr>
        <w:t xml:space="preserve">pred </w:t>
      </w:r>
      <w:r>
        <w:rPr>
          <w:rStyle w:val="OtherTok"/>
        </w:rPr>
        <w:t xml:space="preserve">&lt;-</w:t>
      </w:r>
      <w:r>
        <w:rPr>
          <w:rStyle w:val="NormalTok"/>
        </w:rPr>
        <w:t xml:space="preserve"> </w:t>
      </w:r>
      <w:r>
        <w:rPr>
          <w:rStyle w:val="FunctionTok"/>
        </w:rPr>
        <w:t xml:space="preserve">predict</w:t>
      </w:r>
      <w:r>
        <w:rPr>
          <w:rStyle w:val="NormalTok"/>
        </w:rPr>
        <w:t xml:space="preserve">(don, newcov, </w:t>
      </w:r>
      <w:r>
        <w:rPr>
          <w:rStyle w:val="AttributeTok"/>
        </w:rPr>
        <w:t xml:space="preserve">newdepths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35</w:t>
      </w:r>
      <w:r>
        <w:rPr>
          <w:rStyle w:val="NormalTok"/>
        </w:rPr>
        <w:t xml:space="preserve">, </w:t>
      </w:r>
      <w:r>
        <w:rPr>
          <w:rStyle w:val="DecValTok"/>
        </w:rPr>
        <w:t xml:space="preserve">70</w:t>
      </w:r>
      <w:r>
        <w:rPr>
          <w:rStyle w:val="NormalTok"/>
        </w:rPr>
        <w:t xml:space="preserve">))   </w:t>
      </w:r>
      <w:r>
        <w:rPr>
          <w:rStyle w:val="CommentTok"/>
        </w:rPr>
        <w:t xml:space="preserve"># off-grid depths</w:t>
      </w:r>
    </w:p>
    <w:p>
      <w:pPr>
        <w:pStyle w:val="FirstParagraph"/>
      </w:pPr>
      <w:r>
        <w:t xml:space="preserve">Fig 10 shows the property that distinguishes an operator from a per-depth regression.</w:t>
      </w:r>
    </w:p>
    <w:p>
      <w:pPr>
        <w:pStyle w:val="BodyText"/>
      </w:pPr>
      <w:r>
        <w:drawing>
          <wp:inline>
            <wp:extent cx="5334000" cy="4713767"/>
            <wp:effectExtent b="0" l="0" r="0" t="0"/>
            <wp:docPr descr="" title="" id="38" name="Picture"/>
            <a:graphic>
              <a:graphicData uri="http://schemas.openxmlformats.org/drawingml/2006/picture">
                <pic:pic>
                  <pic:nvPicPr>
                    <pic:cNvPr descr="plos-manuscript_files/figures/Fig10.png" id="39" name="Picture"/>
                    <pic:cNvPicPr>
                      <a:picLocks noChangeArrowheads="1" noChangeAspect="1"/>
                    </pic:cNvPicPr>
                  </pic:nvPicPr>
                  <pic:blipFill>
                    <a:blip r:embed="rId37"/>
                    <a:stretch>
                      <a:fillRect/>
                    </a:stretch>
                  </pic:blipFill>
                  <pic:spPr bwMode="auto">
                    <a:xfrm>
                      <a:off x="0" y="0"/>
                      <a:ext cx="5334000" cy="4713767"/>
                    </a:xfrm>
                    <a:prstGeom prst="rect">
                      <a:avLst/>
                    </a:prstGeom>
                    <a:noFill/>
                    <a:ln w="9525">
                      <a:noFill/>
                      <a:headEnd/>
                      <a:tailEnd/>
                    </a:ln>
                  </pic:spPr>
                </pic:pic>
              </a:graphicData>
            </a:graphic>
          </wp:inline>
        </w:drawing>
      </w:r>
    </w:p>
    <w:p>
      <w:pPr>
        <w:pStyle w:val="BodyText"/>
      </w:pPr>
      <w:r>
        <w:rPr>
          <w:b/>
          <w:bCs/>
        </w:rPr>
        <w:t xml:space="preserve">Fig 10. One operator, evaluated at any depth.</w:t>
      </w:r>
      <w:r>
        <w:t xml:space="preserve"> </w:t>
      </w:r>
      <w:r>
        <w:t xml:space="preserve">(A) Held-out sites: the trained operator’s profile (solid) against the generating profile (dashed), with the six training depths marked. The curve is evaluated every 2 cm, including depths never seen in training. (B) Error by depth, distinguishing the six trained depths from the rest — the operator interpolates the depth axis rather than treating each depth as a separate task.</w:t>
      </w:r>
    </w:p>
    <w:p>
      <w:pPr>
        <w:pStyle w:val="BodyText"/>
      </w:pPr>
      <w:r>
        <w:t xml:space="preserve">Two honest qualifications belong with this pillar. The pure-R DeepONet freezes its first hidden layers and trains a random-feature readout, which does learn the operator on our synthetic profiles; the pure-R Fourier operator, by contrast, freezes its spectral multipliers and does not learn the operator at all, which is why the default now resolves to the trained implementation when it is available and the reference path announces itself. And Fig 10 is drawn on profiles generated by the pedogenetic equation of Pillar 2. That was a choice, not a limit of the archive, and it has now been revisited: the operator has been refitted on the 1022 WoSIS pedons that carry at least three of seven standard depth nodes, and it loses.</w:t>
      </w:r>
    </w:p>
    <w:p>
      <w:pPr>
        <w:pStyle w:val="BodyText"/>
      </w:pPr>
      <w:r>
        <w:t xml:space="preserve">The obstacle was never the trunk, which takes arbitrary query depths and always did. It was the training layout: the fitter wanted a rectangular target matrix over one shared depth vector, and real pedons carry four to thirty-one horizons at irregular boundaries. The repair is a masked loss —</w:t>
      </w:r>
      <w:r>
        <w:t xml:space="preserve"> </w:t>
      </w:r>
      <w:r>
        <w:rPr>
          <w:rStyle w:val="VerbatimChar"/>
        </w:rPr>
        <w:t xml:space="preserve">NA</w:t>
      </w:r>
      <w:r>
        <w:t xml:space="preserve"> </w:t>
      </w:r>
      <w:r>
        <w:t xml:space="preserve">marks a node an observation does not constrain, the residual is zeroed there and every denominator counts observed cells — not a new architecture. Standard nodes rather than the union of observed mid-depths, because a horizon</w:t>
      </w:r>
      <w:r>
        <w:t xml:space="preserve"> </w:t>
      </w:r>
      <w:r>
        <w:rPr>
          <w:i/>
          <w:iCs/>
        </w:rPr>
        <w:t xml:space="preserve">spans</w:t>
      </w:r>
      <w:r>
        <w:t xml:space="preserve"> </w:t>
      </w:r>
      <w:r>
        <w:t xml:space="preserve">a depth: the value at 30 cm for a pedon whose horizon runs 25–45 cm is a measured laboratory value, and on this archive that fills 76% of the matrix against 2.5% for the union.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Skill vs node mean</w:t>
            </w:r>
          </w:p>
        </w:tc>
      </w:tr>
      <w:tr>
        <w:tc>
          <w:tcPr/>
          <w:p>
            <w:pPr>
              <w:pStyle w:val="Compact"/>
              <w:jc w:val="left"/>
            </w:pPr>
            <w:r>
              <w:t xml:space="preserve">training-set node mean</w:t>
            </w:r>
          </w:p>
        </w:tc>
        <w:tc>
          <w:tcPr/>
          <w:p>
            <w:pPr>
              <w:pStyle w:val="Compact"/>
              <w:jc w:val="right"/>
            </w:pPr>
            <w:r>
              <w:t xml:space="preserve">11.94</w:t>
            </w:r>
          </w:p>
        </w:tc>
        <w:tc>
          <w:tcPr/>
          <w:p>
            <w:pPr>
              <w:pStyle w:val="Compact"/>
              <w:jc w:val="right"/>
            </w:pPr>
            <w:r>
              <w:t xml:space="preserve">5.76</w:t>
            </w:r>
          </w:p>
        </w:tc>
        <w:tc>
          <w:tcPr/>
          <w:p>
            <w:pPr>
              <w:pStyle w:val="Compact"/>
              <w:jc w:val="right"/>
            </w:pPr>
            <w:r>
              <w:t xml:space="preserve">0.000</w:t>
            </w:r>
          </w:p>
        </w:tc>
      </w:tr>
      <w:tr>
        <w:tc>
          <w:tcPr/>
          <w:p>
            <w:pPr>
              <w:pStyle w:val="Compact"/>
              <w:jc w:val="left"/>
            </w:pPr>
            <w:r>
              <w:t xml:space="preserve">DeepONet (real pedons)</w:t>
            </w:r>
          </w:p>
        </w:tc>
        <w:tc>
          <w:tcPr/>
          <w:p>
            <w:pPr>
              <w:pStyle w:val="Compact"/>
              <w:jc w:val="right"/>
            </w:pPr>
            <w:r>
              <w:t xml:space="preserve">12.97</w:t>
            </w:r>
          </w:p>
        </w:tc>
        <w:tc>
          <w:tcPr/>
          <w:p>
            <w:pPr>
              <w:pStyle w:val="Compact"/>
              <w:jc w:val="right"/>
            </w:pPr>
            <w:r>
              <w:t xml:space="preserve">6.40</w:t>
            </w:r>
          </w:p>
        </w:tc>
        <w:tc>
          <w:tcPr/>
          <w:p>
            <w:pPr>
              <w:pStyle w:val="Compact"/>
              <w:jc w:val="right"/>
            </w:pPr>
            <w:r>
              <w:t xml:space="preserve">-0.181</w:t>
            </w:r>
          </w:p>
        </w:tc>
      </w:tr>
      <w:tr>
        <w:tc>
          <w:tcPr/>
          <w:p>
            <w:pPr>
              <w:pStyle w:val="Compact"/>
              <w:jc w:val="left"/>
            </w:pPr>
            <w:r>
              <w:t xml:space="preserve">carry the shallowest value down</w:t>
            </w:r>
          </w:p>
        </w:tc>
        <w:tc>
          <w:tcPr/>
          <w:p>
            <w:pPr>
              <w:pStyle w:val="Compact"/>
              <w:jc w:val="right"/>
            </w:pPr>
            <w:r>
              <w:t xml:space="preserve">17.67</w:t>
            </w:r>
          </w:p>
        </w:tc>
        <w:tc>
          <w:tcPr/>
          <w:p>
            <w:pPr>
              <w:pStyle w:val="Compact"/>
              <w:jc w:val="right"/>
            </w:pPr>
            <w:r>
              <w:t xml:space="preserve">10.17</w:t>
            </w:r>
          </w:p>
        </w:tc>
        <w:tc>
          <w:tcPr/>
          <w:p>
            <w:pPr>
              <w:pStyle w:val="Compact"/>
              <w:jc w:val="right"/>
            </w:pPr>
            <w:r>
              <w:t xml:space="preserve">-1.191</w:t>
            </w:r>
          </w:p>
        </w:tc>
      </w:tr>
    </w:tbl>
    <w:p>
      <w:pPr>
        <w:pStyle w:val="BodyText"/>
      </w:pPr>
      <w:r>
        <w:rPr>
          <w:b/>
          <w:bCs/>
        </w:rPr>
        <w:t xml:space="preserve">Table 12. The neural operator on measured pedons.</w:t>
      </w:r>
      <w:r>
        <w:t xml:space="preserve"> </w:t>
      </w:r>
      <w:r>
        <w:t xml:space="preserve">5458 measured values over 1022 profiles, spatially blocked folds with a 20 km buffer.</w:t>
      </w:r>
      <w:r>
        <w:t xml:space="preserve"> </w:t>
      </w:r>
      <w:r>
        <w:t xml:space="preserve">“Skill”</w:t>
      </w:r>
      <w:r>
        <w:t xml:space="preserve"> </w:t>
      </w:r>
      <w:r>
        <w:t xml:space="preserve">is the proportional reduction in squared error against the training-set mean at each depth node.</w:t>
      </w:r>
    </w:p>
    <w:p>
      <w:pPr>
        <w:pStyle w:val="BodyText"/>
      </w:pPr>
      <w:r>
        <w:t xml:space="preserve">The operator is beaten by the mean value at each depth node, on every node separately, and by a margin (-0.18 skill). It does beat carrying a pedon’s shallowest measurement downward, which is what a practitioner with one sample would do, but that is a low bar.</w:t>
      </w:r>
    </w:p>
    <w:p>
      <w:pPr>
        <w:pStyle w:val="BodyText"/>
      </w:pPr>
      <w:r>
        <w:t xml:space="preserve">Undertraining is the obvious objection and it is not the explanation. Sweeping the budget on one fold, the training loss falls monotonically from 0.568 at 200 epochs to 0.457 at 4,000 while the held-out error</w:t>
      </w:r>
      <w:r>
        <w:t xml:space="preserve"> </w:t>
      </w:r>
      <w:r>
        <w:rPr>
          <w:i/>
          <w:iCs/>
        </w:rPr>
        <w:t xml:space="preserve">rises</w:t>
      </w:r>
      <w:r>
        <w:t xml:space="preserve"> </w:t>
      </w:r>
      <w:r>
        <w:t xml:space="preserve">from 13.28 to 13.92 — the operator is overfitting six covariates and seven nodes, not failing to learn them. What Fig 10 shows on synthetic profiles is that the architecture can represent a depth function it was given cleanly; what this table shows is that on real soil, with the covariates this archive supports, it has nothing to add over a depth-wise mean. We report the pillar as implemented and evaluated rather than as demonstrated.</w:t>
      </w:r>
    </w:p>
    <w:p>
      <w:pPr>
        <w:pStyle w:val="Heading3"/>
      </w:pPr>
      <w:r>
        <w:t xml:space="preserve">Diffusion models</w:t>
      </w:r>
    </w:p>
    <w:p>
      <w:pPr>
        <w:pStyle w:val="FirstParagraph"/>
      </w:pPr>
      <w:r>
        <w:t xml:space="preserve">The ninth pillar fits a denoising diffusion probabilistic model over small patches cut from a gridded layer and draws new whole-patch realisations, so that uncertainty is expressed as joint spatial realisations rather than as independent per-pixel intervals.</w:t>
      </w:r>
    </w:p>
    <w:p>
      <w:pPr>
        <w:pStyle w:val="SourceCode"/>
      </w:pPr>
      <w:r>
        <w:rPr>
          <w:rStyle w:val="NormalTok"/>
        </w:rPr>
        <w:t xml:space="preserve">sch </w:t>
      </w:r>
      <w:r>
        <w:rPr>
          <w:rStyle w:val="OtherTok"/>
        </w:rPr>
        <w:t xml:space="preserve">&lt;-</w:t>
      </w:r>
      <w:r>
        <w:rPr>
          <w:rStyle w:val="NormalTok"/>
        </w:rPr>
        <w:t xml:space="preserve"> </w:t>
      </w:r>
      <w:r>
        <w:rPr>
          <w:rStyle w:val="FunctionTok"/>
        </w:rPr>
        <w:t xml:space="preserve">dm_cosine_schedule</w:t>
      </w:r>
      <w:r>
        <w:rPr>
          <w:rStyle w:val="NormalTok"/>
        </w:rPr>
        <w:t xml:space="preserve">(</w:t>
      </w:r>
      <w:r>
        <w:rPr>
          <w:rStyle w:val="AttributeTok"/>
        </w:rPr>
        <w:t xml:space="preserve">T =</w:t>
      </w:r>
      <w:r>
        <w:rPr>
          <w:rStyle w:val="NormalTok"/>
        </w:rPr>
        <w:t xml:space="preserve"> </w:t>
      </w:r>
      <w:r>
        <w:rPr>
          <w:rStyle w:val="DecValTok"/>
        </w:rPr>
        <w:t xml:space="preserve">100</w:t>
      </w:r>
      <w:r>
        <w:rPr>
          <w:rStyle w:val="DataTypeTok"/>
        </w:rPr>
        <w:t xml:space="preserve">L</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dm_fit</w:t>
      </w:r>
      <w:r>
        <w:rPr>
          <w:rStyle w:val="NormalTok"/>
        </w:rPr>
        <w:t xml:space="preserve">(patches, </w:t>
      </w:r>
      <w:r>
        <w:rPr>
          <w:rStyle w:val="AttributeTok"/>
        </w:rPr>
        <w:t xml:space="preserve">backend =</w:t>
      </w:r>
      <w:r>
        <w:rPr>
          <w:rStyle w:val="NormalTok"/>
        </w:rPr>
        <w:t xml:space="preserve"> </w:t>
      </w:r>
      <w:r>
        <w:rPr>
          <w:rStyle w:val="StringTok"/>
        </w:rPr>
        <w:t xml:space="preserve">"r"</w:t>
      </w:r>
      <w:r>
        <w:rPr>
          <w:rStyle w:val="NormalTok"/>
        </w:rPr>
        <w:t xml:space="preserve">, </w:t>
      </w:r>
      <w:r>
        <w:rPr>
          <w:rStyle w:val="AttributeTok"/>
        </w:rPr>
        <w:t xml:space="preserve">T =</w:t>
      </w:r>
      <w:r>
        <w:rPr>
          <w:rStyle w:val="NormalTok"/>
        </w:rPr>
        <w:t xml:space="preserve"> </w:t>
      </w:r>
      <w:r>
        <w:rPr>
          <w:rStyle w:val="DecValTok"/>
        </w:rPr>
        <w:t xml:space="preserve">100</w:t>
      </w:r>
      <w:r>
        <w:rPr>
          <w:rStyle w:val="DataTypeTok"/>
        </w:rPr>
        <w:t xml:space="preserve">L</w:t>
      </w:r>
      <w:r>
        <w:rPr>
          <w:rStyle w:val="NormalTok"/>
        </w:rPr>
        <w:t xml:space="preserve">, </w:t>
      </w:r>
      <w:r>
        <w:rPr>
          <w:rStyle w:val="AttributeTok"/>
        </w:rPr>
        <w:t xml:space="preserve">epochs =</w:t>
      </w:r>
      <w:r>
        <w:rPr>
          <w:rStyle w:val="NormalTok"/>
        </w:rPr>
        <w:t xml:space="preserve"> </w:t>
      </w:r>
      <w:r>
        <w:rPr>
          <w:rStyle w:val="DecValTok"/>
        </w:rPr>
        <w:t xml:space="preserve">250</w:t>
      </w:r>
      <w:r>
        <w:rPr>
          <w:rStyle w:val="DataTypeTok"/>
        </w:rPr>
        <w:t xml:space="preserve">L</w:t>
      </w:r>
      <w:r>
        <w:rPr>
          <w:rStyle w:val="NormalTok"/>
        </w:rPr>
        <w:t xml:space="preserve">, </w:t>
      </w:r>
      <w:r>
        <w:rPr>
          <w:rStyle w:val="AttributeTok"/>
        </w:rPr>
        <w:t xml:space="preserve">seed =</w:t>
      </w:r>
      <w:r>
        <w:rPr>
          <w:rStyle w:val="NormalTok"/>
        </w:rPr>
        <w:t xml:space="preserve"> </w:t>
      </w:r>
      <w:r>
        <w:rPr>
          <w:rStyle w:val="DecValTok"/>
        </w:rPr>
        <w:t xml:space="preserve">1</w:t>
      </w:r>
      <w:r>
        <w:rPr>
          <w:rStyle w:val="DataTypeTok"/>
        </w:rPr>
        <w:t xml:space="preserve">L</w:t>
      </w:r>
      <w:r>
        <w:rPr>
          <w:rStyle w:val="NormalTok"/>
        </w:rPr>
        <w:t xml:space="preserve">)</w:t>
      </w:r>
      <w:r>
        <w:br/>
      </w:r>
      <w:r>
        <w:rPr>
          <w:rStyle w:val="NormalTok"/>
        </w:rPr>
        <w:t xml:space="preserve">gen </w:t>
      </w:r>
      <w:r>
        <w:rPr>
          <w:rStyle w:val="OtherTok"/>
        </w:rPr>
        <w:t xml:space="preserve">&lt;-</w:t>
      </w:r>
      <w:r>
        <w:rPr>
          <w:rStyle w:val="NormalTok"/>
        </w:rPr>
        <w:t xml:space="preserve"> </w:t>
      </w:r>
      <w:r>
        <w:rPr>
          <w:rStyle w:val="FunctionTok"/>
        </w:rPr>
        <w:t xml:space="preserve">dm_sample</w:t>
      </w:r>
      <w:r>
        <w:rPr>
          <w:rStyle w:val="NormalTok"/>
        </w:rPr>
        <w:t xml:space="preserve">(fit, </w:t>
      </w:r>
      <w:r>
        <w:rPr>
          <w:rStyle w:val="AttributeTok"/>
        </w:rPr>
        <w:t xml:space="preserve">n_samples =</w:t>
      </w:r>
      <w:r>
        <w:rPr>
          <w:rStyle w:val="NormalTok"/>
        </w:rPr>
        <w:t xml:space="preserve"> </w:t>
      </w:r>
      <w:r>
        <w:rPr>
          <w:rStyle w:val="DecValTok"/>
        </w:rPr>
        <w:t xml:space="preserve">40</w:t>
      </w:r>
      <w:r>
        <w:rPr>
          <w:rStyle w:val="DataTypeTok"/>
        </w:rPr>
        <w:t xml:space="preserve">L</w:t>
      </w:r>
      <w:r>
        <w:rPr>
          <w:rStyle w:val="NormalTok"/>
        </w:rPr>
        <w:t xml:space="preserve">, </w:t>
      </w:r>
      <w:r>
        <w:rPr>
          <w:rStyle w:val="AttributeTok"/>
        </w:rPr>
        <w:t xml:space="preserve">seed =</w:t>
      </w:r>
      <w:r>
        <w:rPr>
          <w:rStyle w:val="NormalTok"/>
        </w:rPr>
        <w:t xml:space="preserve"> </w:t>
      </w:r>
      <w:r>
        <w:rPr>
          <w:rStyle w:val="DecValTok"/>
        </w:rPr>
        <w:t xml:space="preserve">99</w:t>
      </w:r>
      <w:r>
        <w:rPr>
          <w:rStyle w:val="DataTypeTok"/>
        </w:rPr>
        <w:t xml:space="preserve">L</w:t>
      </w:r>
      <w:r>
        <w:rPr>
          <w:rStyle w:val="NormalTok"/>
        </w:rPr>
        <w:t xml:space="preserve">)</w:t>
      </w:r>
    </w:p>
    <w:p>
      <w:pPr>
        <w:pStyle w:val="FirstParagraph"/>
      </w:pPr>
      <w:r>
        <w:t xml:space="preserve">Fig 11 shows why this pillar needs a quantitative check rather than a visual one.</w:t>
      </w:r>
    </w:p>
    <w:p>
      <w:pPr>
        <w:pStyle w:val="BodyText"/>
      </w:pPr>
      <w:r>
        <w:drawing>
          <wp:inline>
            <wp:extent cx="5334000" cy="4589720"/>
            <wp:effectExtent b="0" l="0" r="0" t="0"/>
            <wp:docPr descr="" title="" id="41" name="Picture"/>
            <a:graphic>
              <a:graphicData uri="http://schemas.openxmlformats.org/drawingml/2006/picture">
                <pic:pic>
                  <pic:nvPicPr>
                    <pic:cNvPr descr="plos-manuscript_files/figures/Fig11.png" id="42" name="Picture"/>
                    <pic:cNvPicPr>
                      <a:picLocks noChangeArrowheads="1" noChangeAspect="1"/>
                    </pic:cNvPicPr>
                  </pic:nvPicPr>
                  <pic:blipFill>
                    <a:blip r:embed="rId40"/>
                    <a:stretch>
                      <a:fillRect/>
                    </a:stretch>
                  </pic:blipFill>
                  <pic:spPr bwMode="auto">
                    <a:xfrm>
                      <a:off x="0" y="0"/>
                      <a:ext cx="5334000" cy="4589720"/>
                    </a:xfrm>
                    <a:prstGeom prst="rect">
                      <a:avLst/>
                    </a:prstGeom>
                    <a:noFill/>
                    <a:ln w="9525">
                      <a:noFill/>
                      <a:headEnd/>
                      <a:tailEnd/>
                    </a:ln>
                  </pic:spPr>
                </pic:pic>
              </a:graphicData>
            </a:graphic>
          </wp:inline>
        </w:drawing>
      </w:r>
    </w:p>
    <w:p>
      <w:pPr>
        <w:pStyle w:val="BodyText"/>
      </w:pPr>
      <w:r>
        <w:rPr>
          <w:b/>
          <w:bCs/>
        </w:rPr>
        <w:t xml:space="preserve">Fig 11. Generated map patches and the check that separates them.</w:t>
      </w:r>
      <w:r>
        <w:t xml:space="preserve"> </w:t>
      </w:r>
      <w:r>
        <w:t xml:space="preserve">(A) Real patches and draws from the pure-R reference sampler and the trained sampler; colour is clipped so the reference sampler’s saturated cells are themselves diagnostic. (B) Within-patch standard deviation against lag-one spatial autocorrelation, one point per patch, with 80% ellipses. The trained sampler’s cloud overlaps the real patches; the reference sampler sits far from both axes’ targets.</w:t>
      </w:r>
    </w:p>
    <w:p>
      <w:pPr>
        <w:pStyle w:val="BodyText"/>
      </w:pPr>
      <w:r>
        <w:t xml:space="preserve">The evaluation we recommend, and implement, is a two-number check: the standard deviation and the lag-one spatial autocorrelation of generated patches against real ones. It is what reveals that the pure-R reference sampler produces fields that are over-dispersed and spatially incoherent while the trained implementation produces coherent ones — a failure that visual inspection of a generated map would not catch. This pillar is demonstrated on a terrain index rather than on carbon, because carbon in the bundled demonstration grid is near-white at patch scale and therefore offers a generative model nothing spatial to learn. The sense here is generative-probabilistic throughout: the model draws joint realisations of a field, and it encodes no soil-forming process.</w:t>
      </w:r>
    </w:p>
    <w:p>
      <w:pPr>
        <w:pStyle w:val="Heading3"/>
      </w:pPr>
      <w:r>
        <w:t xml:space="preserve">Graph attention networks</w:t>
      </w:r>
    </w:p>
    <w:p>
      <w:pPr>
        <w:pStyle w:val="FirstParagraph"/>
      </w:pPr>
      <w:r>
        <w:t xml:space="preserve">The tenth pillar treats profiles as nodes of a co-location graph, with edges from k-nearest neighbours in geographic or covariate space, and fits a multi-head graph attention network transductively so that each profile’s prediction draws on its neighbours through learned attention weights.</w:t>
      </w:r>
    </w:p>
    <w:p>
      <w:pPr>
        <w:pStyle w:val="SourceCode"/>
      </w:pPr>
      <w:r>
        <w:rPr>
          <w:rStyle w:val="NormalTok"/>
        </w:rPr>
        <w:t xml:space="preserve">d </w:t>
      </w:r>
      <w:r>
        <w:rPr>
          <w:rStyle w:val="OtherTok"/>
        </w:rPr>
        <w:t xml:space="preserve">&lt;-</w:t>
      </w:r>
      <w:r>
        <w:rPr>
          <w:rStyle w:val="NormalTok"/>
        </w:rPr>
        <w:t xml:space="preserve"> br_cerrado; d</w:t>
      </w:r>
      <w:r>
        <w:rPr>
          <w:rStyle w:val="SpecialCharTok"/>
        </w:rPr>
        <w:t xml:space="preserve">$</w:t>
      </w:r>
      <w:r>
        <w:rPr>
          <w:rStyle w:val="NormalTok"/>
        </w:rPr>
        <w:t xml:space="preserve">lon </w:t>
      </w:r>
      <w:r>
        <w:rPr>
          <w:rStyle w:val="OtherTok"/>
        </w:rPr>
        <w:t xml:space="preserve">&lt;-</w:t>
      </w:r>
      <w:r>
        <w:rPr>
          <w:rStyle w:val="NormalTok"/>
        </w:rPr>
        <w:t xml:space="preserve"> d</w:t>
      </w:r>
      <w:r>
        <w:rPr>
          <w:rStyle w:val="SpecialCharTok"/>
        </w:rPr>
        <w:t xml:space="preserve">$</w:t>
      </w:r>
      <w:r>
        <w:rPr>
          <w:rStyle w:val="NormalTok"/>
        </w:rPr>
        <w:t xml:space="preserve">x; d</w:t>
      </w:r>
      <w:r>
        <w:rPr>
          <w:rStyle w:val="SpecialCharTok"/>
        </w:rPr>
        <w:t xml:space="preserve">$</w:t>
      </w:r>
      <w:r>
        <w:rPr>
          <w:rStyle w:val="NormalTok"/>
        </w:rPr>
        <w:t xml:space="preserve">lat </w:t>
      </w:r>
      <w:r>
        <w:rPr>
          <w:rStyle w:val="OtherTok"/>
        </w:rPr>
        <w:t xml:space="preserve">&lt;-</w:t>
      </w:r>
      <w:r>
        <w:rPr>
          <w:rStyle w:val="NormalTok"/>
        </w:rPr>
        <w:t xml:space="preserve"> d</w:t>
      </w:r>
      <w:r>
        <w:rPr>
          <w:rStyle w:val="SpecialCharTok"/>
        </w:rPr>
        <w:t xml:space="preserve">$</w:t>
      </w:r>
      <w:r>
        <w:rPr>
          <w:rStyle w:val="NormalTok"/>
        </w:rPr>
        <w:t xml:space="preserve">y</w:t>
      </w:r>
      <w:r>
        <w:br/>
      </w:r>
      <w:r>
        <w:rPr>
          <w:rStyle w:val="NormalTok"/>
        </w:rPr>
        <w:t xml:space="preserve">g </w:t>
      </w:r>
      <w:r>
        <w:rPr>
          <w:rStyle w:val="OtherTok"/>
        </w:rPr>
        <w:t xml:space="preserve">&lt;-</w:t>
      </w:r>
      <w:r>
        <w:rPr>
          <w:rStyle w:val="NormalTok"/>
        </w:rPr>
        <w:t xml:space="preserve"> </w:t>
      </w:r>
      <w:r>
        <w:rPr>
          <w:rStyle w:val="FunctionTok"/>
        </w:rPr>
        <w:t xml:space="preserve">gnn_build_graph</w:t>
      </w:r>
      <w:r>
        <w:rPr>
          <w:rStyle w:val="NormalTok"/>
        </w:rPr>
        <w:t xml:space="preserve">(d, </w:t>
      </w:r>
      <w:r>
        <w:rPr>
          <w:rStyle w:val="AttributeTok"/>
        </w:rPr>
        <w:t xml:space="preserve">k =</w:t>
      </w:r>
      <w:r>
        <w:rPr>
          <w:rStyle w:val="NormalTok"/>
        </w:rPr>
        <w:t xml:space="preserve"> </w:t>
      </w:r>
      <w:r>
        <w:rPr>
          <w:rStyle w:val="DecValTok"/>
        </w:rPr>
        <w:t xml:space="preserve">6</w:t>
      </w:r>
      <w:r>
        <w:rPr>
          <w:rStyle w:val="DataTypeTok"/>
        </w:rPr>
        <w:t xml:space="preserve">L</w:t>
      </w:r>
      <w:r>
        <w:rPr>
          <w:rStyle w:val="NormalTok"/>
        </w:rPr>
        <w:t xml:space="preserve">, </w:t>
      </w:r>
      <w:r>
        <w:rPr>
          <w:rStyle w:val="AttributeTok"/>
        </w:rPr>
        <w:t xml:space="preserve">feature_cols =</w:t>
      </w:r>
      <w:r>
        <w:rPr>
          <w:rStyle w:val="NormalTok"/>
        </w:rPr>
        <w:t xml:space="preserve"> </w:t>
      </w:r>
      <w:r>
        <w:rPr>
          <w:rStyle w:val="FunctionTok"/>
        </w:rPr>
        <w:t xml:space="preserve">c</w:t>
      </w:r>
      <w:r>
        <w:rPr>
          <w:rStyle w:val="NormalTok"/>
        </w:rPr>
        <w:t xml:space="preserve">(</w:t>
      </w:r>
      <w:r>
        <w:rPr>
          <w:rStyle w:val="StringTok"/>
        </w:rPr>
        <w:t xml:space="preserve">"elev"</w:t>
      </w:r>
      <w:r>
        <w:rPr>
          <w:rStyle w:val="NormalTok"/>
        </w:rPr>
        <w:t xml:space="preserve">,</w:t>
      </w:r>
      <w:r>
        <w:rPr>
          <w:rStyle w:val="StringTok"/>
        </w:rPr>
        <w:t xml:space="preserve">"slope"</w:t>
      </w:r>
      <w:r>
        <w:rPr>
          <w:rStyle w:val="NormalTok"/>
        </w:rPr>
        <w:t xml:space="preserve">,</w:t>
      </w:r>
      <w:r>
        <w:rPr>
          <w:rStyle w:val="StringTok"/>
        </w:rPr>
        <w:t xml:space="preserve">"twi"</w:t>
      </w:r>
      <w:r>
        <w:rPr>
          <w:rStyle w:val="NormalTok"/>
        </w:rPr>
        <w:t xml:space="preserve">,</w:t>
      </w:r>
      <w:r>
        <w:rPr>
          <w:rStyle w:val="StringTok"/>
        </w:rPr>
        <w:t xml:space="preserve">"map_mm"</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gnn_fit</w:t>
      </w:r>
      <w:r>
        <w:rPr>
          <w:rStyle w:val="NormalTok"/>
        </w:rPr>
        <w:t xml:space="preserve">(g, </w:t>
      </w:r>
      <w:r>
        <w:rPr>
          <w:rStyle w:val="AttributeTok"/>
        </w:rPr>
        <w:t xml:space="preserve">targets =</w:t>
      </w:r>
      <w:r>
        <w:rPr>
          <w:rStyle w:val="NormalTok"/>
        </w:rPr>
        <w:t xml:space="preserve"> d</w:t>
      </w:r>
      <w:r>
        <w:rPr>
          <w:rStyle w:val="SpecialCharTok"/>
        </w:rPr>
        <w:t xml:space="preserve">$</w:t>
      </w:r>
      <w:r>
        <w:rPr>
          <w:rStyle w:val="NormalTok"/>
        </w:rPr>
        <w:t xml:space="preserve">soc, </w:t>
      </w:r>
      <w:r>
        <w:rPr>
          <w:rStyle w:val="AttributeTok"/>
        </w:rPr>
        <w:t xml:space="preserve">backend =</w:t>
      </w:r>
      <w:r>
        <w:rPr>
          <w:rStyle w:val="NormalTok"/>
        </w:rPr>
        <w:t xml:space="preserve"> </w:t>
      </w:r>
      <w:r>
        <w:rPr>
          <w:rStyle w:val="StringTok"/>
        </w:rPr>
        <w:t xml:space="preserve">"r"</w:t>
      </w:r>
      <w:r>
        <w:rPr>
          <w:rStyle w:val="NormalTok"/>
        </w:rPr>
        <w:t xml:space="preserve">, </w:t>
      </w:r>
      <w:r>
        <w:rPr>
          <w:rStyle w:val="AttributeTok"/>
        </w:rPr>
        <w:t xml:space="preserve">hidden =</w:t>
      </w:r>
      <w:r>
        <w:rPr>
          <w:rStyle w:val="NormalTok"/>
        </w:rPr>
        <w:t xml:space="preserve"> </w:t>
      </w:r>
      <w:r>
        <w:rPr>
          <w:rStyle w:val="DecValTok"/>
        </w:rPr>
        <w:t xml:space="preserve">16</w:t>
      </w:r>
      <w:r>
        <w:rPr>
          <w:rStyle w:val="DataTypeTok"/>
        </w:rPr>
        <w:t xml:space="preserve">L</w:t>
      </w:r>
      <w:r>
        <w:rPr>
          <w:rStyle w:val="NormalTok"/>
        </w:rPr>
        <w:t xml:space="preserve">, </w:t>
      </w:r>
      <w:r>
        <w:rPr>
          <w:rStyle w:val="AttributeTok"/>
        </w:rPr>
        <w:t xml:space="preserve">n_heads =</w:t>
      </w:r>
      <w:r>
        <w:rPr>
          <w:rStyle w:val="NormalTok"/>
        </w:rPr>
        <w:t xml:space="preserve"> </w:t>
      </w:r>
      <w:r>
        <w:rPr>
          <w:rStyle w:val="DecValTok"/>
        </w:rPr>
        <w:t xml:space="preserve">4</w:t>
      </w:r>
      <w:r>
        <w:rPr>
          <w:rStyle w:val="DataTypeTok"/>
        </w:rPr>
        <w:t xml:space="preserve">L</w:t>
      </w:r>
      <w:r>
        <w:rPr>
          <w:rStyle w:val="NormalTok"/>
        </w:rPr>
        <w:t xml:space="preserve">,</w:t>
      </w:r>
      <w:r>
        <w:br/>
      </w:r>
      <w:r>
        <w:rPr>
          <w:rStyle w:val="NormalTok"/>
        </w:rPr>
        <w:t xml:space="preserve">               </w:t>
      </w:r>
      <w:r>
        <w:rPr>
          <w:rStyle w:val="AttributeTok"/>
        </w:rPr>
        <w:t xml:space="preserve">epochs =</w:t>
      </w:r>
      <w:r>
        <w:rPr>
          <w:rStyle w:val="NormalTok"/>
        </w:rPr>
        <w:t xml:space="preserve"> </w:t>
      </w:r>
      <w:r>
        <w:rPr>
          <w:rStyle w:val="DecValTok"/>
        </w:rPr>
        <w:t xml:space="preserve">120</w:t>
      </w:r>
      <w:r>
        <w:rPr>
          <w:rStyle w:val="DataTypeTok"/>
        </w:rPr>
        <w:t xml:space="preserve">L</w:t>
      </w:r>
      <w:r>
        <w:rPr>
          <w:rStyle w:val="NormalTok"/>
        </w:rPr>
        <w:t xml:space="preserve">, </w:t>
      </w:r>
      <w:r>
        <w:rPr>
          <w:rStyle w:val="AttributeTok"/>
        </w:rPr>
        <w:t xml:space="preserve">seed =</w:t>
      </w:r>
      <w:r>
        <w:rPr>
          <w:rStyle w:val="NormalTok"/>
        </w:rPr>
        <w:t xml:space="preserve"> </w:t>
      </w:r>
      <w:r>
        <w:rPr>
          <w:rStyle w:val="DecValTok"/>
        </w:rPr>
        <w:t xml:space="preserve">1</w:t>
      </w:r>
      <w:r>
        <w:rPr>
          <w:rStyle w:val="DataTypeTok"/>
        </w:rPr>
        <w:t xml:space="preserve">L</w:t>
      </w:r>
      <w:r>
        <w:rPr>
          <w:rStyle w:val="NormalTok"/>
        </w:rPr>
        <w:t xml:space="preserve">)</w:t>
      </w:r>
      <w:r>
        <w:br/>
      </w:r>
      <w:r>
        <w:rPr>
          <w:rStyle w:val="NormalTok"/>
        </w:rPr>
        <w:t xml:space="preserve">emb </w:t>
      </w:r>
      <w:r>
        <w:rPr>
          <w:rStyle w:val="OtherTok"/>
        </w:rPr>
        <w:t xml:space="preserve">&lt;-</w:t>
      </w:r>
      <w:r>
        <w:rPr>
          <w:rStyle w:val="NormalTok"/>
        </w:rPr>
        <w:t xml:space="preserve"> </w:t>
      </w:r>
      <w:r>
        <w:rPr>
          <w:rStyle w:val="FunctionTok"/>
        </w:rPr>
        <w:t xml:space="preserve">gnn_embed</w:t>
      </w:r>
      <w:r>
        <w:rPr>
          <w:rStyle w:val="NormalTok"/>
        </w:rPr>
        <w:t xml:space="preserve">(fit)</w:t>
      </w:r>
    </w:p>
    <w:p>
      <w:pPr>
        <w:pStyle w:val="FirstParagraph"/>
      </w:pPr>
      <w:r>
        <w:t xml:space="preserve">Fig 12 shows the graph that this pillar builds before any learning happens.</w:t>
      </w:r>
    </w:p>
    <w:p>
      <w:pPr>
        <w:pStyle w:val="BodyText"/>
      </w:pPr>
      <w:r>
        <w:drawing>
          <wp:inline>
            <wp:extent cx="5334000" cy="5470769"/>
            <wp:effectExtent b="0" l="0" r="0" t="0"/>
            <wp:docPr descr="" title="" id="44" name="Picture"/>
            <a:graphic>
              <a:graphicData uri="http://schemas.openxmlformats.org/drawingml/2006/picture">
                <pic:pic>
                  <pic:nvPicPr>
                    <pic:cNvPr descr="plos-manuscript_files/figures/Fig12.png" id="45" name="Picture"/>
                    <pic:cNvPicPr>
                      <a:picLocks noChangeArrowheads="1" noChangeAspect="1"/>
                    </pic:cNvPicPr>
                  </pic:nvPicPr>
                  <pic:blipFill>
                    <a:blip r:embed="rId43"/>
                    <a:stretch>
                      <a:fillRect/>
                    </a:stretch>
                  </pic:blipFill>
                  <pic:spPr bwMode="auto">
                    <a:xfrm>
                      <a:off x="0" y="0"/>
                      <a:ext cx="5334000" cy="5470769"/>
                    </a:xfrm>
                    <a:prstGeom prst="rect">
                      <a:avLst/>
                    </a:prstGeom>
                    <a:noFill/>
                    <a:ln w="9525">
                      <a:noFill/>
                      <a:headEnd/>
                      <a:tailEnd/>
                    </a:ln>
                  </pic:spPr>
                </pic:pic>
              </a:graphicData>
            </a:graphic>
          </wp:inline>
        </w:drawing>
      </w:r>
    </w:p>
    <w:p>
      <w:pPr>
        <w:pStyle w:val="BodyText"/>
      </w:pPr>
      <w:r>
        <w:rPr>
          <w:b/>
          <w:bCs/>
        </w:rPr>
        <w:t xml:space="preserve">Fig 12. The co-location graph.</w:t>
      </w:r>
      <w:r>
        <w:t xml:space="preserve"> </w:t>
      </w:r>
      <w:r>
        <w:t xml:space="preserve">(A) A sample of profiles as nodes over the Cerrado, joined to their six nearest neighbours in geographic space, with edge opacity proportional to the inverse-distance weight and nodes coloured by organic carbon. (B) Degree and edge-length distributions: symmetrising the nearest-neighbour relation lifts degree above k, and while most edges are short, a tail of long edges spans sparsely surveyed ground.</w:t>
      </w:r>
    </w:p>
    <w:p>
      <w:pPr>
        <w:pStyle w:val="BodyText"/>
      </w:pPr>
      <w:r>
        <w:t xml:space="preserve">The implementation carries two mechanisms without which it underperforms a linear model: a skip connection that hands the raw node covariates to the readout alongside the aggregated embedding, and early stopping selected on an internal validation split rather than on training loss. Both were added after measurement showed the aggregated-only, training-loss-selected variant scoring below the mean predictor.</w:t>
      </w:r>
    </w:p>
    <w:p>
      <w:pPr>
        <w:pStyle w:val="Heading2"/>
      </w:pPr>
      <w:r>
        <w:t xml:space="preserve">Evaluation protocol</w:t>
      </w:r>
    </w:p>
    <w:p>
      <w:pPr>
        <w:pStyle w:val="FirstParagraph"/>
      </w:pPr>
      <w:r>
        <w:t xml:space="preserve">The benchmark scores all six methods on the same 1095 spatially blocked cross-validation folds, obtained by k-means clustering of profile coordinates, and on the log1p scale of organic carbon. Blocking matters: profiles close together are not independent, and random folds allow a model to interpolate between near-duplicate neighbours, inflating apparent skill.</w:t>
      </w:r>
    </w:p>
    <w:p>
      <w:pPr>
        <w:pStyle w:val="BodyText"/>
      </w:pPr>
      <w:r>
        <w:t xml:space="preserve">Skill is measured against the</w:t>
      </w:r>
      <w:r>
        <w:t xml:space="preserve"> </w:t>
      </w:r>
      <w:r>
        <w:rPr>
          <w:i/>
          <w:iCs/>
        </w:rPr>
        <w:t xml:space="preserve">achievable</w:t>
      </w:r>
      <w:r>
        <w:t xml:space="preserve"> </w:t>
      </w:r>
      <w:r>
        <w:t xml:space="preserve">null — the mean of each fold’s</w:t>
      </w:r>
      <w:r>
        <w:t xml:space="preserve"> </w:t>
      </w:r>
      <w:r>
        <w:rPr>
          <w:b/>
          <w:bCs/>
        </w:rPr>
        <w:t xml:space="preserve">training</w:t>
      </w:r>
      <w:r>
        <w:t xml:space="preserve"> </w:t>
      </w:r>
      <w:r>
        <w:t xml:space="preserve">partition — rather than against the mean of the rows being scored. The distinction is not pedantic, and we report both because we got it wrong ourselves. The conventional R-squared divides by the variance of the test values about</w:t>
      </w:r>
      <w:r>
        <w:t xml:space="preserve"> </w:t>
      </w:r>
      <w:r>
        <w:rPr>
          <w:i/>
          <w:iCs/>
        </w:rPr>
        <w:t xml:space="preserve">their own</w:t>
      </w:r>
      <w:r>
        <w:t xml:space="preserve"> </w:t>
      </w:r>
      <w:r>
        <w:t xml:space="preserve">mean, which is computed from the very observations being scored: a model compared against it is compared against an oracle. That is the harder bar, since the test mean is by construction the best constant predictor of the test set, and a method can clear the achievable null while failing the oracle one. Under the achievable null a method that explains nothing scores zero and a method worse than predicting the training mean scores negative; two of our six methods do, and three fall below the oracle.</w:t>
      </w:r>
      <w:r>
        <w:t xml:space="preserve"> </w:t>
      </w:r>
      <w:r>
        <w:rPr>
          <w:rStyle w:val="VerbatimChar"/>
        </w:rPr>
        <w:t xml:space="preserve">edaphos_nse()</w:t>
      </w:r>
      <w:r>
        <w:t xml:space="preserve"> </w:t>
      </w:r>
      <w:r>
        <w:t xml:space="preserve">takes the null as a required argument for exactly this reason.</w:t>
      </w:r>
    </w:p>
    <w:p>
      <w:pPr>
        <w:pStyle w:val="BodyText"/>
      </w:pPr>
      <w:r>
        <w:t xml:space="preserve">Folds are spatially blocked</w:t>
      </w:r>
      <w:r>
        <w:t xml:space="preserve"> </w:t>
      </w:r>
      <w:r>
        <w:rPr>
          <w:i/>
          <w:iCs/>
        </w:rPr>
        <w:t xml:space="preserve">with a buffer</w:t>
      </w:r>
      <w:r>
        <w:t xml:space="preserve">. Blocking alone leaves training rows immediately across the block boundary from test rows — on these coordinates the nearest was 12.3 km away, well inside the 55–68 km range at which the fitted depth-function parameters are still correlated — and blocking without a dead zone under-states generalisation error</w:t>
      </w:r>
      <w:r>
        <w:t xml:space="preserve"> </w:t>
      </w:r>
      <w:r>
        <w:t xml:space="preserve">[19]</w:t>
      </w:r>
      <w:r>
        <w:t xml:space="preserve">.</w:t>
      </w:r>
      <w:r>
        <w:t xml:space="preserve"> </w:t>
      </w:r>
      <w:r>
        <w:rPr>
          <w:rStyle w:val="VerbatimChar"/>
        </w:rPr>
        <w:t xml:space="preserve">spatial_block_folds()</w:t>
      </w:r>
      <w:r>
        <w:t xml:space="preserve"> </w:t>
      </w:r>
      <w:r>
        <w:t xml:space="preserve">discards training rows within 68 km of any test row, reports how many it discarded, and returns the realised minimum distance so the exclusion is auditable rather than implicit.</w:t>
      </w:r>
    </w:p>
    <w:p>
      <w:pPr>
        <w:pStyle w:val="BodyText"/>
      </w:pPr>
      <w:r>
        <w:t xml:space="preserve">Ensemble size is reported rather than forced equal. Methods differ in how many posterior draws or ensemble members they naturally produce, and equalising them would penalise or flatter methods arbitrarily; reading a ranking without the budget column compares budgets rather than methods.</w:t>
      </w:r>
    </w:p>
    <w:p>
      <w:pPr>
        <w:pStyle w:val="Heading2"/>
      </w:pPr>
      <w:r>
        <w:t xml:space="preserve">Causal protocol</w:t>
      </w:r>
    </w:p>
    <w:p>
      <w:pPr>
        <w:pStyle w:val="FirstParagraph"/>
      </w:pPr>
      <w:r>
        <w:t xml:space="preserve">The causal analysis proceeds from an explicit directed acyclic graph encoding published Cerrado pedogenesis: elevation influences climate and slope; climate influences land cover; climate, land cover, texture and bulk density influence topsoil carbon. For each exposure, the minimal sufficient adjustment set is computed from that graph by the backdoor criterion. The adjusted association is estimated by ordinary least squares including the exposure and its adjustment set, with confidence intervals from a spatial block bootstrap of 500 resamples over 20 k-means clusters, which respects the spatial dependence that an ordinary bootstrap would ignore.</w:t>
      </w:r>
    </w:p>
    <w:p>
      <w:pPr>
        <w:pStyle w:val="BodyText"/>
      </w:pPr>
      <w:r>
        <w:t xml:space="preserve">Because backdoor adjustment identifies an effect only under causal sufficiency — the assumption Zhang and Wadoux</w:t>
      </w:r>
      <w:r>
        <w:t xml:space="preserve"> </w:t>
      </w:r>
      <w:r>
        <w:t xml:space="preserve">[3]</w:t>
      </w:r>
      <w:r>
        <w:t xml:space="preserve"> </w:t>
      </w:r>
      <w:r>
        <w:t xml:space="preserve">identify as seldom achievable — every estimate is reported alongside a Cinelli–Hazlett robustness value</w:t>
      </w:r>
      <w:r>
        <w:t xml:space="preserve"> </w:t>
      </w:r>
      <w:r>
        <w:t xml:space="preserve">[20]</w:t>
      </w:r>
      <w:r>
        <w:t xml:space="preserve">. The robustness value is the proportion of residual variance that an unobserved confounder would have to explain in</w:t>
      </w:r>
      <w:r>
        <w:t xml:space="preserve"> </w:t>
      </w:r>
      <w:r>
        <w:rPr>
          <w:i/>
          <w:iCs/>
        </w:rPr>
        <w:t xml:space="preserve">both</w:t>
      </w:r>
      <w:r>
        <w:t xml:space="preserve"> </w:t>
      </w:r>
      <w:r>
        <w:t xml:space="preserve">the exposure and the outcome in order to drive the estimate to zero. It converts an unverifiable assumption into a quantity a reader can weigh against their own knowledge of what might have been omitted.</w:t>
      </w:r>
    </w:p>
    <w:p>
      <w:pPr>
        <w:pStyle w:val="BodyText"/>
      </w:pPr>
      <w:r>
        <w:t xml:space="preserve">We additionally attempt instrumental-variable estimation, which identifies an effect under a different assumption: that the instrument influences the outcome only through the exposure. We use the leading principal components of a trained contrastive foundation encoder’s landscape embedding as instruments for mean annual precipitation, estimate by two-stage least squares, and test the exclusion restriction with the Sargan over-identification test.</w:t>
      </w:r>
    </w:p>
    <w:p>
      <w:pPr>
        <w:pStyle w:val="Heading2"/>
      </w:pPr>
      <w:r>
        <w:t xml:space="preserve">Reproducibility</w:t>
      </w:r>
    </w:p>
    <w:p>
      <w:pPr>
        <w:pStyle w:val="FirstParagraph"/>
      </w:pPr>
      <w:r>
        <w:t xml:space="preserve">The article, the package and its data form one artefact. The manuscript is compiled from an R Markdown source whose code chunks read the result bundles distributed inside the package, so no number in the text is transcribed by hand and none can drift from the data that produced it. Those bundles are in turn regenerated from their public sources by scripts distributed in the repository. The package’s test suite includes assertions that bind published figures to the shipped bundles, so a change to either without the other fails the suite.</w:t>
      </w:r>
    </w:p>
    <w:p>
      <w:pPr>
        <w:pStyle w:val="Heading1"/>
      </w:pPr>
      <w:r>
        <w:t xml:space="preserve">Results</w:t>
      </w:r>
    </w:p>
    <w:p>
      <w:pPr>
        <w:pStyle w:val="Heading2"/>
      </w:pPr>
      <w:r>
        <w:t xml:space="preserve">A directed-acyclic-graph-informed linear model is the strongest method</w:t>
      </w:r>
    </w:p>
    <w:p>
      <w:pPr>
        <w:pStyle w:val="FirstParagraph"/>
      </w:pPr>
      <w:r>
        <w:t xml:space="preserve">Table 13 reports the matched benchmark. Read across the row rather than down the first column: accuracy (root-mean-square error, lower is better), skill against each of two nulls, calibration (coverage near the nominal 0.90 and interval width), the proper score, and wall-clock cost.</w:t>
      </w:r>
    </w:p>
    <w:p>
      <w:pPr>
        <w:pStyle w:val="BodyText"/>
      </w:pPr>
      <w:r>
        <w:t xml:space="preserve">Two columns report skill because the choice of null decides the headline, and the two are easy to conflate.</w:t>
      </w:r>
      <w:r>
        <w:t xml:space="preserve"> </w:t>
      </w:r>
      <w:r>
        <w:rPr>
          <w:b/>
          <w:bCs/>
        </w:rPr>
        <w:t xml:space="preserve">NSE</w:t>
      </w:r>
      <w:r>
        <w:t xml:space="preserve"> </w:t>
      </w:r>
      <w:r>
        <w:t xml:space="preserve">is measured against the mean of each fold’s</w:t>
      </w:r>
      <w:r>
        <w:t xml:space="preserve"> </w:t>
      </w:r>
      <w:r>
        <w:rPr>
          <w:i/>
          <w:iCs/>
        </w:rPr>
        <w:t xml:space="preserve">training</w:t>
      </w:r>
      <w:r>
        <w:t xml:space="preserve"> </w:t>
      </w:r>
      <w:r>
        <w:t xml:space="preserve">rows — a null a deployed map could actually use.</w:t>
      </w:r>
      <w:r>
        <w:t xml:space="preserve"> </w:t>
      </w:r>
      <w:r>
        <w:rPr>
          <w:b/>
          <w:bCs/>
        </w:rPr>
        <w:t xml:space="preserve">R-squared</w:t>
      </w:r>
      <w:r>
        <w:t xml:space="preserve"> </w:t>
      </w:r>
      <w:r>
        <w:t xml:space="preserve">is measured against the mean of the</w:t>
      </w:r>
      <w:r>
        <w:t xml:space="preserve"> </w:t>
      </w:r>
      <w:r>
        <w:rPr>
          <w:i/>
          <w:iCs/>
        </w:rPr>
        <w:t xml:space="preserve">test</w:t>
      </w:r>
      <w:r>
        <w:t xml:space="preserve"> </w:t>
      </w:r>
      <w:r>
        <w:t xml:space="preserve">rows, which is what the conventional formula does and which no map has access to; it is the harder bar, because the test mean is by construction the best constant predictor of the test set. An earlier version of this paper reported the second under the first’s name, and the difference is not cosmetic: three methods fall below the oracle null and two below the achievable one.</w:t>
      </w:r>
    </w:p>
    <w:p>
      <w:pPr>
        <w:pStyle w:val="BodyText"/>
      </w:pPr>
      <w:r>
        <w:rPr>
          <w:b/>
          <w:bCs/>
        </w:rPr>
        <w:t xml:space="preserve">Table 13. Matched cross-pillar benchmark on real Cerrado profiles.</w:t>
      </w:r>
      <w:r>
        <w:t xml:space="preserve"> </w:t>
      </w:r>
      <w:r>
        <w:t xml:space="preserve">Six methods on the same spatially blocked folds and the same target transform. Folds carry a 68 km buffer: training rows within that distance of any test row are discarded, which cost 88 training rows across the five folds (2.0% of the fold-wise training rows) and raised the realised minimum training-to-test distance from 15.2 to 68.5 km. Those distances are for the 1,095 benchmark profiles; the denser 3,077-profile causal extract, which is a different data set, would give 12.3 km unbuffered. RMSE and CRPS: lower is better. NSE is skill against the training-fold mean, R-squared against the test-fold mean; PICP should approach 0.90. Rows are ordered by RMSE.</w:t>
      </w:r>
    </w:p>
    <w:tbl>
      <w:tblPr>
        <w:tblStyle w:val="Table"/>
        <w:tblW w:type="pct" w:w="5000"/>
        <w:tblLayout w:type="fixed"/>
        <w:tblLook w:firstRow="1" w:lastRow="0" w:firstColumn="0" w:lastColumn="0" w:noHBand="0" w:noVBand="0" w:val="0020"/>
      </w:tblPr>
      <w:tblGrid>
        <w:gridCol w:w="3148"/>
        <w:gridCol w:w="572"/>
        <w:gridCol w:w="667"/>
        <w:gridCol w:w="954"/>
        <w:gridCol w:w="572"/>
        <w:gridCol w:w="572"/>
        <w:gridCol w:w="572"/>
        <w:gridCol w:w="858"/>
      </w:tblGrid>
      <w:tr>
        <w:trPr>
          <w:tblHeader w:val="on"/>
        </w:trPr>
        <w:tc>
          <w:tcPr/>
          <w:p>
            <w:pPr>
              <w:pStyle w:val="Compact"/>
              <w:jc w:val="left"/>
            </w:pPr>
            <w:r>
              <w:t xml:space="preserve">Method</w:t>
            </w:r>
          </w:p>
        </w:tc>
        <w:tc>
          <w:tcPr/>
          <w:p>
            <w:pPr>
              <w:pStyle w:val="Compact"/>
              <w:jc w:val="right"/>
            </w:pPr>
            <w:r>
              <w:t xml:space="preserve">RMSE</w:t>
            </w:r>
          </w:p>
        </w:tc>
        <w:tc>
          <w:tcPr/>
          <w:p>
            <w:pPr>
              <w:pStyle w:val="Compact"/>
              <w:jc w:val="right"/>
            </w:pPr>
            <w:r>
              <w:t xml:space="preserve">NSE</w:t>
            </w:r>
          </w:p>
        </w:tc>
        <w:tc>
          <w:tcPr/>
          <w:p>
            <w:pPr>
              <w:pStyle w:val="Compact"/>
              <w:jc w:val="right"/>
            </w:pPr>
            <w:r>
              <w:t xml:space="preserve">R-squared</w:t>
            </w:r>
          </w:p>
        </w:tc>
        <w:tc>
          <w:tcPr/>
          <w:p>
            <w:pPr>
              <w:pStyle w:val="Compact"/>
              <w:jc w:val="right"/>
            </w:pPr>
            <w:r>
              <w:t xml:space="preserve">PICP</w:t>
            </w:r>
          </w:p>
        </w:tc>
        <w:tc>
          <w:tcPr/>
          <w:p>
            <w:pPr>
              <w:pStyle w:val="Compact"/>
              <w:jc w:val="right"/>
            </w:pPr>
            <w:r>
              <w:t xml:space="preserve">MPIW</w:t>
            </w:r>
          </w:p>
        </w:tc>
        <w:tc>
          <w:tcPr/>
          <w:p>
            <w:pPr>
              <w:pStyle w:val="Compact"/>
              <w:jc w:val="right"/>
            </w:pPr>
            <w:r>
              <w:t xml:space="preserve">CRPS</w:t>
            </w:r>
          </w:p>
        </w:tc>
        <w:tc>
          <w:tcPr/>
          <w:p>
            <w:pPr>
              <w:pStyle w:val="Compact"/>
              <w:jc w:val="right"/>
            </w:pPr>
            <w:r>
              <w:t xml:space="preserve">Time (s)</w:t>
            </w:r>
          </w:p>
        </w:tc>
      </w:tr>
      <w:tr>
        <w:tc>
          <w:tcPr/>
          <w:p>
            <w:pPr>
              <w:pStyle w:val="Compact"/>
              <w:jc w:val="left"/>
            </w:pPr>
            <w:r>
              <w:t xml:space="preserve">P1 OLS (DAG-selected covariates)</w:t>
            </w:r>
          </w:p>
        </w:tc>
        <w:tc>
          <w:tcPr/>
          <w:p>
            <w:pPr>
              <w:pStyle w:val="Compact"/>
              <w:jc w:val="right"/>
            </w:pPr>
            <w:r>
              <w:t xml:space="preserve">0.583</w:t>
            </w:r>
          </w:p>
        </w:tc>
        <w:tc>
          <w:tcPr/>
          <w:p>
            <w:pPr>
              <w:pStyle w:val="Compact"/>
              <w:jc w:val="right"/>
            </w:pPr>
            <w:r>
              <w:t xml:space="preserve">0.200</w:t>
            </w:r>
          </w:p>
        </w:tc>
        <w:tc>
          <w:tcPr/>
          <w:p>
            <w:pPr>
              <w:pStyle w:val="Compact"/>
              <w:jc w:val="right"/>
            </w:pPr>
            <w:r>
              <w:t xml:space="preserve">0.069</w:t>
            </w:r>
          </w:p>
        </w:tc>
        <w:tc>
          <w:tcPr/>
          <w:p>
            <w:pPr>
              <w:pStyle w:val="Compact"/>
              <w:jc w:val="right"/>
            </w:pPr>
            <w:r>
              <w:t xml:space="preserve">0.882</w:t>
            </w:r>
          </w:p>
        </w:tc>
        <w:tc>
          <w:tcPr/>
          <w:p>
            <w:pPr>
              <w:pStyle w:val="Compact"/>
              <w:jc w:val="right"/>
            </w:pPr>
            <w:r>
              <w:t xml:space="preserve">1.843</w:t>
            </w:r>
          </w:p>
        </w:tc>
        <w:tc>
          <w:tcPr/>
          <w:p>
            <w:pPr>
              <w:pStyle w:val="Compact"/>
              <w:jc w:val="right"/>
            </w:pPr>
            <w:r>
              <w:t xml:space="preserve">0.323</w:t>
            </w:r>
          </w:p>
        </w:tc>
        <w:tc>
          <w:tcPr/>
          <w:p>
            <w:pPr>
              <w:pStyle w:val="Compact"/>
              <w:jc w:val="right"/>
            </w:pPr>
            <w:r>
              <w:t xml:space="preserve">2.5</w:t>
            </w:r>
          </w:p>
        </w:tc>
      </w:tr>
      <w:tr>
        <w:tc>
          <w:tcPr/>
          <w:p>
            <w:pPr>
              <w:pStyle w:val="Compact"/>
              <w:jc w:val="left"/>
            </w:pPr>
            <w:r>
              <w:t xml:space="preserve">P5 QRF</w:t>
            </w:r>
          </w:p>
        </w:tc>
        <w:tc>
          <w:tcPr/>
          <w:p>
            <w:pPr>
              <w:pStyle w:val="Compact"/>
              <w:jc w:val="right"/>
            </w:pPr>
            <w:r>
              <w:t xml:space="preserve">0.592</w:t>
            </w:r>
          </w:p>
        </w:tc>
        <w:tc>
          <w:tcPr/>
          <w:p>
            <w:pPr>
              <w:pStyle w:val="Compact"/>
              <w:jc w:val="right"/>
            </w:pPr>
            <w:r>
              <w:t xml:space="preserve">0.177</w:t>
            </w:r>
          </w:p>
        </w:tc>
        <w:tc>
          <w:tcPr/>
          <w:p>
            <w:pPr>
              <w:pStyle w:val="Compact"/>
              <w:jc w:val="right"/>
            </w:pPr>
            <w:r>
              <w:t xml:space="preserve">0.044</w:t>
            </w:r>
          </w:p>
        </w:tc>
        <w:tc>
          <w:tcPr/>
          <w:p>
            <w:pPr>
              <w:pStyle w:val="Compact"/>
              <w:jc w:val="right"/>
            </w:pPr>
            <w:r>
              <w:t xml:space="preserve">0.874</w:t>
            </w:r>
          </w:p>
        </w:tc>
        <w:tc>
          <w:tcPr/>
          <w:p>
            <w:pPr>
              <w:pStyle w:val="Compact"/>
              <w:jc w:val="right"/>
            </w:pPr>
            <w:r>
              <w:t xml:space="preserve">1.871</w:t>
            </w:r>
          </w:p>
        </w:tc>
        <w:tc>
          <w:tcPr/>
          <w:p>
            <w:pPr>
              <w:pStyle w:val="Compact"/>
              <w:jc w:val="right"/>
            </w:pPr>
            <w:r>
              <w:t xml:space="preserve">0.323</w:t>
            </w:r>
          </w:p>
        </w:tc>
        <w:tc>
          <w:tcPr/>
          <w:p>
            <w:pPr>
              <w:pStyle w:val="Compact"/>
              <w:jc w:val="right"/>
            </w:pPr>
            <w:r>
              <w:t xml:space="preserve">2.2</w:t>
            </w:r>
          </w:p>
        </w:tc>
      </w:tr>
      <w:tr>
        <w:tc>
          <w:tcPr/>
          <w:p>
            <w:pPr>
              <w:pStyle w:val="Compact"/>
              <w:jc w:val="left"/>
            </w:pPr>
            <w:r>
              <w:t xml:space="preserve">P7 BHS</w:t>
            </w:r>
          </w:p>
        </w:tc>
        <w:tc>
          <w:tcPr/>
          <w:p>
            <w:pPr>
              <w:pStyle w:val="Compact"/>
              <w:jc w:val="right"/>
            </w:pPr>
            <w:r>
              <w:t xml:space="preserve">0.608</w:t>
            </w:r>
          </w:p>
        </w:tc>
        <w:tc>
          <w:tcPr/>
          <w:p>
            <w:pPr>
              <w:pStyle w:val="Compact"/>
              <w:jc w:val="right"/>
            </w:pPr>
            <w:r>
              <w:t xml:space="preserve">0.138</w:t>
            </w:r>
          </w:p>
        </w:tc>
        <w:tc>
          <w:tcPr/>
          <w:p>
            <w:pPr>
              <w:pStyle w:val="Compact"/>
              <w:jc w:val="right"/>
            </w:pPr>
            <w:r>
              <w:t xml:space="preserve">0.006</w:t>
            </w:r>
          </w:p>
        </w:tc>
        <w:tc>
          <w:tcPr/>
          <w:p>
            <w:pPr>
              <w:pStyle w:val="Compact"/>
              <w:jc w:val="right"/>
            </w:pPr>
            <w:r>
              <w:t xml:space="preserve">0.926</w:t>
            </w:r>
          </w:p>
        </w:tc>
        <w:tc>
          <w:tcPr/>
          <w:p>
            <w:pPr>
              <w:pStyle w:val="Compact"/>
              <w:jc w:val="right"/>
            </w:pPr>
            <w:r>
              <w:t xml:space="preserve">2.163</w:t>
            </w:r>
          </w:p>
        </w:tc>
        <w:tc>
          <w:tcPr/>
          <w:p>
            <w:pPr>
              <w:pStyle w:val="Compact"/>
              <w:jc w:val="right"/>
            </w:pPr>
            <w:r>
              <w:t xml:space="preserve">0.341</w:t>
            </w:r>
          </w:p>
        </w:tc>
        <w:tc>
          <w:tcPr/>
          <w:p>
            <w:pPr>
              <w:pStyle w:val="Compact"/>
              <w:jc w:val="right"/>
            </w:pPr>
            <w:r>
              <w:t xml:space="preserve">97.8</w:t>
            </w:r>
          </w:p>
        </w:tc>
      </w:tr>
      <w:tr>
        <w:tc>
          <w:tcPr/>
          <w:p>
            <w:pPr>
              <w:pStyle w:val="Compact"/>
              <w:jc w:val="left"/>
            </w:pPr>
            <w:r>
              <w:t xml:space="preserve">P4 Foundation embeddings + QRF</w:t>
            </w:r>
          </w:p>
        </w:tc>
        <w:tc>
          <w:tcPr/>
          <w:p>
            <w:pPr>
              <w:pStyle w:val="Compact"/>
              <w:jc w:val="right"/>
            </w:pPr>
            <w:r>
              <w:t xml:space="preserve">0.616</w:t>
            </w:r>
          </w:p>
        </w:tc>
        <w:tc>
          <w:tcPr/>
          <w:p>
            <w:pPr>
              <w:pStyle w:val="Compact"/>
              <w:jc w:val="right"/>
            </w:pPr>
            <w:r>
              <w:t xml:space="preserve">0.118</w:t>
            </w:r>
          </w:p>
        </w:tc>
        <w:tc>
          <w:tcPr/>
          <w:p>
            <w:pPr>
              <w:pStyle w:val="Compact"/>
              <w:jc w:val="right"/>
            </w:pPr>
            <w:r>
              <w:t xml:space="preserve">-0.013</w:t>
            </w:r>
          </w:p>
        </w:tc>
        <w:tc>
          <w:tcPr/>
          <w:p>
            <w:pPr>
              <w:pStyle w:val="Compact"/>
              <w:jc w:val="right"/>
            </w:pPr>
            <w:r>
              <w:t xml:space="preserve">0.892</w:t>
            </w:r>
          </w:p>
        </w:tc>
        <w:tc>
          <w:tcPr/>
          <w:p>
            <w:pPr>
              <w:pStyle w:val="Compact"/>
              <w:jc w:val="right"/>
            </w:pPr>
            <w:r>
              <w:t xml:space="preserve">2.179</w:t>
            </w:r>
          </w:p>
        </w:tc>
        <w:tc>
          <w:tcPr/>
          <w:p>
            <w:pPr>
              <w:pStyle w:val="Compact"/>
              <w:jc w:val="right"/>
            </w:pPr>
            <w:r>
              <w:t xml:space="preserve">0.340</w:t>
            </w:r>
          </w:p>
        </w:tc>
        <w:tc>
          <w:tcPr/>
          <w:p>
            <w:pPr>
              <w:pStyle w:val="Compact"/>
              <w:jc w:val="right"/>
            </w:pPr>
            <w:r>
              <w:t xml:space="preserve">94.2</w:t>
            </w:r>
          </w:p>
        </w:tc>
      </w:tr>
      <w:tr>
        <w:tc>
          <w:tcPr/>
          <w:p>
            <w:pPr>
              <w:pStyle w:val="Compact"/>
              <w:jc w:val="left"/>
            </w:pPr>
            <w:r>
              <w:t xml:space="preserve">P6 Quantum KRR</w:t>
            </w:r>
          </w:p>
        </w:tc>
        <w:tc>
          <w:tcPr/>
          <w:p>
            <w:pPr>
              <w:pStyle w:val="Compact"/>
              <w:jc w:val="right"/>
            </w:pPr>
            <w:r>
              <w:t xml:space="preserve">0.663</w:t>
            </w:r>
          </w:p>
        </w:tc>
        <w:tc>
          <w:tcPr/>
          <w:p>
            <w:pPr>
              <w:pStyle w:val="Compact"/>
              <w:jc w:val="right"/>
            </w:pPr>
            <w:r>
              <w:t xml:space="preserve">-0.024</w:t>
            </w:r>
          </w:p>
        </w:tc>
        <w:tc>
          <w:tcPr/>
          <w:p>
            <w:pPr>
              <w:pStyle w:val="Compact"/>
              <w:jc w:val="right"/>
            </w:pPr>
            <w:r>
              <w:t xml:space="preserve">-0.185</w:t>
            </w:r>
          </w:p>
        </w:tc>
        <w:tc>
          <w:tcPr/>
          <w:p>
            <w:pPr>
              <w:pStyle w:val="Compact"/>
              <w:jc w:val="right"/>
            </w:pPr>
            <w:r>
              <w:t xml:space="preserve">0.663</w:t>
            </w:r>
          </w:p>
        </w:tc>
        <w:tc>
          <w:tcPr/>
          <w:p>
            <w:pPr>
              <w:pStyle w:val="Compact"/>
              <w:jc w:val="right"/>
            </w:pPr>
            <w:r>
              <w:t xml:space="preserve">1.263</w:t>
            </w:r>
          </w:p>
        </w:tc>
        <w:tc>
          <w:tcPr/>
          <w:p>
            <w:pPr>
              <w:pStyle w:val="Compact"/>
              <w:jc w:val="right"/>
            </w:pPr>
            <w:r>
              <w:t xml:space="preserve">0.391</w:t>
            </w:r>
          </w:p>
        </w:tc>
        <w:tc>
          <w:tcPr/>
          <w:p>
            <w:pPr>
              <w:pStyle w:val="Compact"/>
              <w:jc w:val="right"/>
            </w:pPr>
            <w:r>
              <w:t xml:space="preserve">728.3</w:t>
            </w:r>
          </w:p>
        </w:tc>
      </w:tr>
      <w:tr>
        <w:tc>
          <w:tcPr/>
          <w:p>
            <w:pPr>
              <w:pStyle w:val="Compact"/>
              <w:jc w:val="left"/>
            </w:pPr>
            <w:r>
              <w:t xml:space="preserve">P10 GAT (trained attention)</w:t>
            </w:r>
          </w:p>
        </w:tc>
        <w:tc>
          <w:tcPr/>
          <w:p>
            <w:pPr>
              <w:pStyle w:val="Compact"/>
              <w:jc w:val="right"/>
            </w:pPr>
            <w:r>
              <w:t xml:space="preserve">0.680</w:t>
            </w:r>
          </w:p>
        </w:tc>
        <w:tc>
          <w:tcPr/>
          <w:p>
            <w:pPr>
              <w:pStyle w:val="Compact"/>
              <w:jc w:val="right"/>
            </w:pPr>
            <w:r>
              <w:t xml:space="preserve">-0.131</w:t>
            </w:r>
          </w:p>
        </w:tc>
        <w:tc>
          <w:tcPr/>
          <w:p>
            <w:pPr>
              <w:pStyle w:val="Compact"/>
              <w:jc w:val="right"/>
            </w:pPr>
            <w:r>
              <w:t xml:space="preserve">-0.346</w:t>
            </w:r>
          </w:p>
        </w:tc>
        <w:tc>
          <w:tcPr/>
          <w:p>
            <w:pPr>
              <w:pStyle w:val="Compact"/>
              <w:jc w:val="right"/>
            </w:pPr>
            <w:r>
              <w:t xml:space="preserve">0.790</w:t>
            </w:r>
          </w:p>
        </w:tc>
        <w:tc>
          <w:tcPr/>
          <w:p>
            <w:pPr>
              <w:pStyle w:val="Compact"/>
              <w:jc w:val="right"/>
            </w:pPr>
            <w:r>
              <w:t xml:space="preserve">1.846</w:t>
            </w:r>
          </w:p>
        </w:tc>
        <w:tc>
          <w:tcPr/>
          <w:p>
            <w:pPr>
              <w:pStyle w:val="Compact"/>
              <w:jc w:val="right"/>
            </w:pPr>
            <w:r>
              <w:t xml:space="preserve">0.413</w:t>
            </w:r>
          </w:p>
        </w:tc>
        <w:tc>
          <w:tcPr/>
          <w:p>
            <w:pPr>
              <w:pStyle w:val="Compact"/>
              <w:jc w:val="right"/>
            </w:pPr>
            <w:r>
              <w:t xml:space="preserve">191.7</w:t>
            </w:r>
          </w:p>
        </w:tc>
      </w:tr>
    </w:tbl>
    <w:p>
      <w:pPr>
        <w:pStyle w:val="BodyText"/>
      </w:pPr>
      <w:r>
        <w:t xml:space="preserve">Ordinary least squares restricted to the covariates in the backdoor adjustment set has the lowest error (0.583) and the highest skill against both nulls (NSE 0.200), and its coverage (0.882) is close to nominal. The quantile random forest is a close second at a comparable cost. The three methods with the greatest representational capacity — foundation-model embeddings, the graph attention network, and the quantum kernel — rank last. 3 of them fall below the oracle null and 2 below the achievable one (P6 and P10): on spatially blocked folds those two explain less of the variation than predicting each training partition’s mean. The quantum kernel is simultaneously among the least accurate and, at 728 s against 2.5 s for the baseline, several hundred times the most expensive.</w:t>
      </w:r>
    </w:p>
    <w:p>
      <w:pPr>
        <w:pStyle w:val="BodyText"/>
      </w:pPr>
      <w:r>
        <w:rPr>
          <w:b/>
          <w:bCs/>
        </w:rPr>
        <w:t xml:space="preserve">What the buffer is worth, re-measured.</w:t>
      </w:r>
      <w:r>
        <w:t xml:space="preserve"> </w:t>
      </w:r>
      <w:r>
        <w:t xml:space="preserve">An earlier version of this paper reported that the buffer changed the ranking — that the graph attention network reached RMSE 0.621 and sat fifth without it against 0.686 and last with it. That comparison was made by hand, was never scripted, and does not reproduce against the current code; it also predated the correction of the Pillar-10 graph to great-circle distance, so it compared two different models. We report the re-measurement rather than the sentence.</w:t>
      </w:r>
    </w:p>
    <w:p>
      <w:pPr>
        <w:pStyle w:val="BodyText"/>
      </w:pPr>
      <w:r>
        <w:t xml:space="preserve">Running the same harness on the same blocks with the buffer switched off (</w:t>
      </w:r>
      <w:r>
        <w:rPr>
          <w:rStyle w:val="VerbatimChar"/>
        </w:rPr>
        <w:t xml:space="preserve">data-raw/buffer_effect.R</w:t>
      </w:r>
      <w:r>
        <w:t xml:space="preserve">, 68 km, 88 training rows discarded) gives:</w:t>
      </w:r>
    </w:p>
    <w:tbl>
      <w:tblPr>
        <w:tblStyle w:val="Table"/>
        <w:tblW w:type="pct" w:w="5000"/>
        <w:tblLayout w:type="fixed"/>
        <w:tblLook w:firstRow="1" w:lastRow="0" w:firstColumn="0" w:lastColumn="0" w:noHBand="0" w:noVBand="0" w:val="0020"/>
      </w:tblPr>
      <w:tblGrid>
        <w:gridCol w:w="3350"/>
        <w:gridCol w:w="1116"/>
        <w:gridCol w:w="913"/>
        <w:gridCol w:w="609"/>
        <w:gridCol w:w="913"/>
        <w:gridCol w:w="1015"/>
      </w:tblGrid>
      <w:tr>
        <w:trPr>
          <w:tblHeader w:val="on"/>
        </w:trPr>
        <w:tc>
          <w:tcPr/>
          <w:p>
            <w:pPr>
              <w:pStyle w:val="Compact"/>
              <w:jc w:val="left"/>
            </w:pPr>
            <w:r>
              <w:t xml:space="preserve">Method</w:t>
            </w:r>
          </w:p>
        </w:tc>
        <w:tc>
          <w:tcPr/>
          <w:p>
            <w:pPr>
              <w:pStyle w:val="Compact"/>
              <w:jc w:val="right"/>
            </w:pPr>
            <w:r>
              <w:t xml:space="preserve">Unbuffered</w:t>
            </w:r>
          </w:p>
        </w:tc>
        <w:tc>
          <w:tcPr/>
          <w:p>
            <w:pPr>
              <w:pStyle w:val="Compact"/>
              <w:jc w:val="right"/>
            </w:pPr>
            <w:r>
              <w:t xml:space="preserve">Buffered</w:t>
            </w:r>
          </w:p>
        </w:tc>
        <w:tc>
          <w:tcPr/>
          <w:p>
            <w:pPr>
              <w:pStyle w:val="Compact"/>
              <w:jc w:val="right"/>
            </w:pPr>
            <w:r>
              <w:t xml:space="preserve">Delta</w:t>
            </w:r>
          </w:p>
        </w:tc>
        <w:tc>
          <w:tcPr/>
          <w:p>
            <w:pPr>
              <w:pStyle w:val="Compact"/>
              <w:jc w:val="right"/>
            </w:pPr>
            <w:r>
              <w:t xml:space="preserve">Rank un.</w:t>
            </w:r>
          </w:p>
        </w:tc>
        <w:tc>
          <w:tcPr/>
          <w:p>
            <w:pPr>
              <w:pStyle w:val="Compact"/>
              <w:jc w:val="right"/>
            </w:pPr>
            <w:r>
              <w:t xml:space="preserve">Rank buf.</w:t>
            </w:r>
          </w:p>
        </w:tc>
      </w:tr>
      <w:tr>
        <w:tc>
          <w:tcPr/>
          <w:p>
            <w:pPr>
              <w:pStyle w:val="Compact"/>
              <w:jc w:val="left"/>
            </w:pPr>
            <w:r>
              <w:t xml:space="preserve">P1 OLS (DAG-selected covariates)</w:t>
            </w:r>
          </w:p>
        </w:tc>
        <w:tc>
          <w:tcPr/>
          <w:p>
            <w:pPr>
              <w:pStyle w:val="Compact"/>
              <w:jc w:val="right"/>
            </w:pPr>
            <w:r>
              <w:t xml:space="preserve">0.583</w:t>
            </w:r>
          </w:p>
        </w:tc>
        <w:tc>
          <w:tcPr/>
          <w:p>
            <w:pPr>
              <w:pStyle w:val="Compact"/>
              <w:jc w:val="right"/>
            </w:pPr>
            <w:r>
              <w:t xml:space="preserve">0.583</w:t>
            </w:r>
          </w:p>
        </w:tc>
        <w:tc>
          <w:tcPr/>
          <w:p>
            <w:pPr>
              <w:pStyle w:val="Compact"/>
              <w:jc w:val="right"/>
            </w:pPr>
            <w:r>
              <w:t xml:space="preserve">0.000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P5 QRF</w:t>
            </w:r>
          </w:p>
        </w:tc>
        <w:tc>
          <w:tcPr/>
          <w:p>
            <w:pPr>
              <w:pStyle w:val="Compact"/>
              <w:jc w:val="right"/>
            </w:pPr>
            <w:r>
              <w:t xml:space="preserve">0.588</w:t>
            </w:r>
          </w:p>
        </w:tc>
        <w:tc>
          <w:tcPr/>
          <w:p>
            <w:pPr>
              <w:pStyle w:val="Compact"/>
              <w:jc w:val="right"/>
            </w:pPr>
            <w:r>
              <w:t xml:space="preserve">0.592</w:t>
            </w:r>
          </w:p>
        </w:tc>
        <w:tc>
          <w:tcPr/>
          <w:p>
            <w:pPr>
              <w:pStyle w:val="Compact"/>
              <w:jc w:val="right"/>
            </w:pPr>
            <w:r>
              <w:t xml:space="preserve">0.004</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P7 BHS</w:t>
            </w:r>
          </w:p>
        </w:tc>
        <w:tc>
          <w:tcPr/>
          <w:p>
            <w:pPr>
              <w:pStyle w:val="Compact"/>
              <w:jc w:val="right"/>
            </w:pPr>
            <w:r>
              <w:t xml:space="preserve">0.605</w:t>
            </w:r>
          </w:p>
        </w:tc>
        <w:tc>
          <w:tcPr/>
          <w:p>
            <w:pPr>
              <w:pStyle w:val="Compact"/>
              <w:jc w:val="right"/>
            </w:pPr>
            <w:r>
              <w:t xml:space="preserve">0.608</w:t>
            </w:r>
          </w:p>
        </w:tc>
        <w:tc>
          <w:tcPr/>
          <w:p>
            <w:pPr>
              <w:pStyle w:val="Compact"/>
              <w:jc w:val="right"/>
            </w:pPr>
            <w:r>
              <w:t xml:space="preserve">0.003</w:t>
            </w:r>
          </w:p>
        </w:tc>
        <w:tc>
          <w:tcPr/>
          <w:p>
            <w:pPr>
              <w:pStyle w:val="Compact"/>
              <w:jc w:val="right"/>
            </w:pPr>
            <w:r>
              <w:t xml:space="preserve">3</w:t>
            </w:r>
          </w:p>
        </w:tc>
        <w:tc>
          <w:tcPr/>
          <w:p>
            <w:pPr>
              <w:pStyle w:val="Compact"/>
              <w:jc w:val="right"/>
            </w:pPr>
            <w:r>
              <w:t xml:space="preserve">3</w:t>
            </w:r>
          </w:p>
        </w:tc>
      </w:tr>
      <w:tr>
        <w:tc>
          <w:tcPr/>
          <w:p>
            <w:pPr>
              <w:pStyle w:val="Compact"/>
              <w:jc w:val="left"/>
            </w:pPr>
            <w:r>
              <w:t xml:space="preserve">P6 Quantum KRR</w:t>
            </w:r>
          </w:p>
        </w:tc>
        <w:tc>
          <w:tcPr/>
          <w:p>
            <w:pPr>
              <w:pStyle w:val="Compact"/>
              <w:jc w:val="right"/>
            </w:pPr>
            <w:r>
              <w:t xml:space="preserve">0.660</w:t>
            </w:r>
          </w:p>
        </w:tc>
        <w:tc>
          <w:tcPr/>
          <w:p>
            <w:pPr>
              <w:pStyle w:val="Compact"/>
              <w:jc w:val="right"/>
            </w:pPr>
            <w:r>
              <w:t xml:space="preserve">0.663</w:t>
            </w:r>
          </w:p>
        </w:tc>
        <w:tc>
          <w:tcPr/>
          <w:p>
            <w:pPr>
              <w:pStyle w:val="Compact"/>
              <w:jc w:val="right"/>
            </w:pPr>
            <w:r>
              <w:t xml:space="preserve">0.003</w:t>
            </w:r>
          </w:p>
        </w:tc>
        <w:tc>
          <w:tcPr/>
          <w:p>
            <w:pPr>
              <w:pStyle w:val="Compact"/>
              <w:jc w:val="right"/>
            </w:pPr>
            <w:r>
              <w:t xml:space="preserve">4</w:t>
            </w:r>
          </w:p>
        </w:tc>
        <w:tc>
          <w:tcPr/>
          <w:p>
            <w:pPr>
              <w:pStyle w:val="Compact"/>
              <w:jc w:val="right"/>
            </w:pPr>
            <w:r>
              <w:t xml:space="preserve">4</w:t>
            </w:r>
          </w:p>
        </w:tc>
      </w:tr>
      <w:tr>
        <w:tc>
          <w:tcPr/>
          <w:p>
            <w:pPr>
              <w:pStyle w:val="Compact"/>
              <w:jc w:val="left"/>
            </w:pPr>
            <w:r>
              <w:t xml:space="preserve">P10 GAT (trained attention)</w:t>
            </w:r>
          </w:p>
        </w:tc>
        <w:tc>
          <w:tcPr/>
          <w:p>
            <w:pPr>
              <w:pStyle w:val="Compact"/>
              <w:jc w:val="right"/>
            </w:pPr>
            <w:r>
              <w:t xml:space="preserve">0.672</w:t>
            </w:r>
          </w:p>
        </w:tc>
        <w:tc>
          <w:tcPr/>
          <w:p>
            <w:pPr>
              <w:pStyle w:val="Compact"/>
              <w:jc w:val="right"/>
            </w:pPr>
            <w:r>
              <w:t xml:space="preserve">0.680</w:t>
            </w:r>
          </w:p>
        </w:tc>
        <w:tc>
          <w:tcPr/>
          <w:p>
            <w:pPr>
              <w:pStyle w:val="Compact"/>
              <w:jc w:val="right"/>
            </w:pPr>
            <w:r>
              <w:t xml:space="preserve">0.007</w:t>
            </w:r>
          </w:p>
        </w:tc>
        <w:tc>
          <w:tcPr/>
          <w:p>
            <w:pPr>
              <w:pStyle w:val="Compact"/>
              <w:jc w:val="right"/>
            </w:pPr>
            <w:r>
              <w:t xml:space="preserve">5</w:t>
            </w:r>
          </w:p>
        </w:tc>
        <w:tc>
          <w:tcPr/>
          <w:p>
            <w:pPr>
              <w:pStyle w:val="Compact"/>
              <w:jc w:val="right"/>
            </w:pPr>
            <w:r>
              <w:t xml:space="preserve">5</w:t>
            </w:r>
          </w:p>
        </w:tc>
      </w:tr>
    </w:tbl>
    <w:p>
      <w:pPr>
        <w:pStyle w:val="BodyText"/>
      </w:pPr>
      <w:r>
        <w:rPr>
          <w:b/>
          <w:bCs/>
        </w:rPr>
        <w:t xml:space="preserve">Table 14. What the 68 km buffer costs each method.</w:t>
      </w:r>
      <w:r>
        <w:t xml:space="preserve"> </w:t>
      </w:r>
      <w:r>
        <w:t xml:space="preserve">RMSE on the log1p scale, five methods on identical test blocks; the only difference is which training rows are discarded. Pillar 4 is scored in a separate harness and is not re-run here, so it is absent rather than omitted silently.</w:t>
      </w:r>
    </w:p>
    <w:p>
      <w:pPr>
        <w:pStyle w:val="BodyText"/>
      </w:pPr>
      <w:r>
        <w:t xml:space="preserve">The buffer costs every method a little and the graph attention network the most (0.007 against at most 0.004 for any other), which is the direction the mechanism predicts: a network whose representation is a graph over spatial neighbours is the method that gains most from training points immediately across a block boundary. But the effect is an order of magnitude smaller than we previously reported, and</w:t>
      </w:r>
      <w:r>
        <w:t xml:space="preserve"> </w:t>
      </w:r>
      <w:r>
        <w:rPr>
          <w:b/>
          <w:bCs/>
        </w:rPr>
        <w:t xml:space="preserve">the ranking is identical with and without it</w:t>
      </w:r>
      <w:r>
        <w:t xml:space="preserve">. The buffer is the right protocol on principle — a model must not be scored on rows it could interpolate from near-duplicates — and we keep it for that reason, not because it rescues a conclusion. On these data it does not change one.</w:t>
      </w:r>
    </w:p>
    <w:p>
      <w:pPr>
        <w:pStyle w:val="BodyText"/>
      </w:pPr>
      <w:r>
        <w:t xml:space="preserve">Fig 13 shows the same result geometrically, and makes the calibration and cost arguments that the accuracy column alone cannot.</w:t>
      </w:r>
    </w:p>
    <w:p>
      <w:pPr>
        <w:pStyle w:val="BodyText"/>
      </w:pPr>
      <w:r>
        <w:drawing>
          <wp:inline>
            <wp:extent cx="5334000" cy="4290391"/>
            <wp:effectExtent b="0" l="0" r="0" t="0"/>
            <wp:docPr descr="" title="" id="47" name="Picture"/>
            <a:graphic>
              <a:graphicData uri="http://schemas.openxmlformats.org/drawingml/2006/picture">
                <pic:pic>
                  <pic:nvPicPr>
                    <pic:cNvPr descr="plos-manuscript_files/figures/Fig13.png" id="48" name="Picture"/>
                    <pic:cNvPicPr>
                      <a:picLocks noChangeArrowheads="1" noChangeAspect="1"/>
                    </pic:cNvPicPr>
                  </pic:nvPicPr>
                  <pic:blipFill>
                    <a:blip r:embed="rId46"/>
                    <a:stretch>
                      <a:fillRect/>
                    </a:stretch>
                  </pic:blipFill>
                  <pic:spPr bwMode="auto">
                    <a:xfrm>
                      <a:off x="0" y="0"/>
                      <a:ext cx="5334000" cy="4290391"/>
                    </a:xfrm>
                    <a:prstGeom prst="rect">
                      <a:avLst/>
                    </a:prstGeom>
                    <a:noFill/>
                    <a:ln w="9525">
                      <a:noFill/>
                      <a:headEnd/>
                      <a:tailEnd/>
                    </a:ln>
                  </pic:spPr>
                </pic:pic>
              </a:graphicData>
            </a:graphic>
          </wp:inline>
        </w:drawing>
      </w:r>
    </w:p>
    <w:p>
      <w:pPr>
        <w:pStyle w:val="BodyText"/>
      </w:pPr>
      <w:r>
        <w:rPr>
          <w:b/>
          <w:bCs/>
        </w:rPr>
        <w:t xml:space="preserve">Fig 13. Six methods on the same buffered folds.</w:t>
      </w:r>
      <w:r>
        <w:t xml:space="preserve"> </w:t>
      </w:r>
      <w:r>
        <w:t xml:space="preserve">(A) Predictive accuracy; bars are red where the method explains less than the achievable null of the training-fold mean. (B) Skill against that null, with the oracle null shown for contrast. (C) Calibration against sharpness: the shaded band is within four points of nominal 90% coverage, and the quantum kernel is both the sharpest and the least covered, an overconfidence invisible in panel A. (D) Wall-clock cost on a log scale. The two methods that fall below the achievable null are also the two most expensive, and the most accurate method is among the cheapest at 2.3 s. The least accurate is not itself the single most expensive: that is the quantum kernel, at roughly four times the graph network’s cost.</w:t>
      </w:r>
    </w:p>
    <w:p>
      <w:pPr>
        <w:pStyle w:val="BodyText"/>
      </w:pPr>
      <w:r>
        <w:t xml:space="preserve">The spread among the leading methods is small relative to the fold-to-fold variability (a standard deviation of about 0.06 in RMSE), so we do not read the ordering finely. The headline is robust to that caution: added representational capacity did not pay on this task, and two of the added methods were actively harmful.</w:t>
      </w:r>
    </w:p>
    <w:p>
      <w:pPr>
        <w:pStyle w:val="Heading2"/>
      </w:pPr>
      <w:r>
        <w:t xml:space="preserve">Coverage is a rate, not a map: does the interval know where it is extrapolating?</w:t>
      </w:r>
    </w:p>
    <w:p>
      <w:pPr>
        <w:pStyle w:val="FirstParagraph"/>
      </w:pPr>
      <w:r>
        <w:t xml:space="preserve">A single PICP is a pooled rate. It reports what fraction of test profiles fell inside their interval; it does not report whether the interval was wide in the right</w:t>
      </w:r>
      <w:r>
        <w:t xml:space="preserve"> </w:t>
      </w:r>
      <w:r>
        <w:rPr>
          <w:i/>
          <w:iCs/>
        </w:rPr>
        <w:t xml:space="preserve">places</w:t>
      </w:r>
      <w:r>
        <w:t xml:space="preserve">. On spatially blocked folds that distinction carries the whole question, because a test profile here sits anywhere from 68 to 870 km from the nearest training profile (median 304 km). A method emitting the same width at both ends is quoting a constant that happens to average out.</w:t>
      </w:r>
    </w:p>
    <w:p>
      <w:pPr>
        <w:pStyle w:val="BodyText"/>
      </w:pPr>
      <w:r>
        <w:t xml:space="preserve">We measured it. For every test profile we recorded the width of its 90% interval and the distance to its nearest training profile, and we report the rank correlation both raw and after partialling out the Mahalanobis distance of that profile’s covariates from the training covariate centroid — because a method can widen for covariate novelty while remaining blind to geography, and only the partial correlation licenses a spatial claim.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Width vs distance</w:t>
            </w:r>
          </w:p>
        </w:tc>
        <w:tc>
          <w:tcPr/>
          <w:p>
            <w:pPr>
              <w:pStyle w:val="Compact"/>
              <w:jc w:val="right"/>
            </w:pPr>
            <w:r>
              <w:t xml:space="preserve">partial</w:t>
            </w:r>
          </w:p>
        </w:tc>
        <w:tc>
          <w:tcPr/>
          <w:p>
            <w:pPr>
              <w:pStyle w:val="Compact"/>
              <w:jc w:val="right"/>
            </w:pPr>
            <w:r>
              <w:t xml:space="preserve">Error vs distance</w:t>
            </w:r>
          </w:p>
        </w:tc>
        <w:tc>
          <w:tcPr/>
          <w:p>
            <w:pPr>
              <w:pStyle w:val="Compact"/>
              <w:jc w:val="right"/>
            </w:pPr>
            <w:r>
              <w:t xml:space="preserve">p</w:t>
            </w:r>
          </w:p>
        </w:tc>
      </w:tr>
      <w:tr>
        <w:tc>
          <w:tcPr/>
          <w:p>
            <w:pPr>
              <w:pStyle w:val="Compact"/>
              <w:jc w:val="left"/>
            </w:pPr>
            <w:r>
              <w:t xml:space="preserve">P7</w:t>
            </w:r>
          </w:p>
        </w:tc>
        <w:tc>
          <w:tcPr/>
          <w:p>
            <w:pPr>
              <w:pStyle w:val="Compact"/>
              <w:jc w:val="right"/>
            </w:pPr>
            <w:r>
              <w:t xml:space="preserve">0.803</w:t>
            </w:r>
          </w:p>
        </w:tc>
        <w:tc>
          <w:tcPr/>
          <w:p>
            <w:pPr>
              <w:pStyle w:val="Compact"/>
              <w:jc w:val="right"/>
            </w:pPr>
            <w:r>
              <w:t xml:space="preserve">0.781</w:t>
            </w:r>
          </w:p>
        </w:tc>
        <w:tc>
          <w:tcPr/>
          <w:p>
            <w:pPr>
              <w:pStyle w:val="Compact"/>
              <w:jc w:val="right"/>
            </w:pPr>
            <w:r>
              <w:t xml:space="preserve">0.008</w:t>
            </w:r>
          </w:p>
        </w:tc>
        <w:tc>
          <w:tcPr/>
          <w:p>
            <w:pPr>
              <w:pStyle w:val="Compact"/>
              <w:jc w:val="right"/>
            </w:pPr>
            <w:r>
              <w:t xml:space="preserve">0.80000</w:t>
            </w:r>
          </w:p>
        </w:tc>
      </w:tr>
      <w:tr>
        <w:tc>
          <w:tcPr/>
          <w:p>
            <w:pPr>
              <w:pStyle w:val="Compact"/>
              <w:jc w:val="left"/>
            </w:pPr>
            <w:r>
              <w:t xml:space="preserve">P5</w:t>
            </w:r>
          </w:p>
        </w:tc>
        <w:tc>
          <w:tcPr/>
          <w:p>
            <w:pPr>
              <w:pStyle w:val="Compact"/>
              <w:jc w:val="right"/>
            </w:pPr>
            <w:r>
              <w:t xml:space="preserve">0.224</w:t>
            </w:r>
          </w:p>
        </w:tc>
        <w:tc>
          <w:tcPr/>
          <w:p>
            <w:pPr>
              <w:pStyle w:val="Compact"/>
              <w:jc w:val="right"/>
            </w:pPr>
            <w:r>
              <w:t xml:space="preserve">0.133</w:t>
            </w:r>
          </w:p>
        </w:tc>
        <w:tc>
          <w:tcPr/>
          <w:p>
            <w:pPr>
              <w:pStyle w:val="Compact"/>
              <w:jc w:val="right"/>
            </w:pPr>
            <w:r>
              <w:t xml:space="preserve">0.015</w:t>
            </w:r>
          </w:p>
        </w:tc>
        <w:tc>
          <w:tcPr/>
          <w:p>
            <w:pPr>
              <w:pStyle w:val="Compact"/>
              <w:jc w:val="right"/>
            </w:pPr>
            <w:r>
              <w:t xml:space="preserve">0.62000</w:t>
            </w:r>
          </w:p>
        </w:tc>
      </w:tr>
      <w:tr>
        <w:tc>
          <w:tcPr/>
          <w:p>
            <w:pPr>
              <w:pStyle w:val="Compact"/>
              <w:jc w:val="left"/>
            </w:pPr>
            <w:r>
              <w:t xml:space="preserve">P10</w:t>
            </w:r>
          </w:p>
        </w:tc>
        <w:tc>
          <w:tcPr/>
          <w:p>
            <w:pPr>
              <w:pStyle w:val="Compact"/>
              <w:jc w:val="right"/>
            </w:pPr>
            <w:r>
              <w:t xml:space="preserve">-0.045</w:t>
            </w:r>
          </w:p>
        </w:tc>
        <w:tc>
          <w:tcPr/>
          <w:p>
            <w:pPr>
              <w:pStyle w:val="Compact"/>
              <w:jc w:val="right"/>
            </w:pPr>
            <w:r>
              <w:t xml:space="preserve">-0.080</w:t>
            </w:r>
          </w:p>
        </w:tc>
        <w:tc>
          <w:tcPr/>
          <w:p>
            <w:pPr>
              <w:pStyle w:val="Compact"/>
              <w:jc w:val="right"/>
            </w:pPr>
            <w:r>
              <w:t xml:space="preserve">0.106</w:t>
            </w:r>
          </w:p>
        </w:tc>
        <w:tc>
          <w:tcPr/>
          <w:p>
            <w:pPr>
              <w:pStyle w:val="Compact"/>
              <w:jc w:val="right"/>
            </w:pPr>
            <w:r>
              <w:t xml:space="preserve">0.00043</w:t>
            </w:r>
          </w:p>
        </w:tc>
      </w:tr>
    </w:tbl>
    <w:p>
      <w:pPr>
        <w:pStyle w:val="BodyText"/>
      </w:pPr>
      <w:r>
        <w:rPr>
          <w:b/>
          <w:bCs/>
        </w:rPr>
        <w:t xml:space="preserve">Table 15. Does interval width track extrapolation distance?</w:t>
      </w:r>
      <w:r>
        <w:t xml:space="preserve"> </w:t>
      </w:r>
      <w:r>
        <w:t xml:space="preserve">Spearman correlations over 1095 held-out profiles across the 5 buffered folds.</w:t>
      </w:r>
      <w:r>
        <w:t xml:space="preserve"> </w:t>
      </w:r>
      <w:r>
        <w:t xml:space="preserve">“partial”</w:t>
      </w:r>
      <w:r>
        <w:t xml:space="preserve"> </w:t>
      </w:r>
      <w:r>
        <w:t xml:space="preserve">removes covariate-space distance, so what remains is geographic.</w:t>
      </w:r>
    </w:p>
    <w:p>
      <w:pPr>
        <w:pStyle w:val="BodyText"/>
      </w:pPr>
      <w:r>
        <w:t xml:space="preserve">The three methods answer differently, and the difference is not subtle. The Bayesian hierarchical model’s width tracks distance strongly (</w:t>
      </w:r>
      <m:oMath>
        <m:r>
          <m:t>ρ</m:t>
        </m:r>
        <m:r>
          <m:rPr>
            <m:sty m:val="p"/>
          </m:rPr>
          <m:t>=</m:t>
        </m:r>
        <m:r>
          <m:t>0.803</m:t>
        </m:r>
      </m:oMath>
      <w:r>
        <w:t xml:space="preserve">), and it survives the covariate control almost intact (</w:t>
      </w:r>
      <m:oMath>
        <m:r>
          <m:t>0.781</m:t>
        </m:r>
      </m:oMath>
      <w:r>
        <w:t xml:space="preserve">) — the widening is geographic, which is what a kriging variance is built to do. The quantile forest widens weakly and mostly for covariate reasons. The graph attention network does not widen at all: its correlation is -0.045 raw and -0.080 partial — if anything slightly</w:t>
      </w:r>
      <w:r>
        <w:t xml:space="preserve"> </w:t>
      </w:r>
      <w:r>
        <w:rPr>
          <w:i/>
          <w:iCs/>
        </w:rPr>
        <w:t xml:space="preserve">narrower</w:t>
      </w:r>
      <w:r>
        <w:t xml:space="preserve"> </w:t>
      </w:r>
      <w:r>
        <w:t xml:space="preserve">further from the data.</w:t>
      </w:r>
    </w:p>
    <w:p>
      <w:pPr>
        <w:pStyle w:val="BodyText"/>
      </w:pPr>
      <w:r>
        <w:t xml:space="preserve">Its error, meanwhile, does grow (</w:t>
      </w:r>
      <m:oMath>
        <m:r>
          <m:t>ρ</m:t>
        </m:r>
        <m:r>
          <m:rPr>
            <m:sty m:val="p"/>
          </m:rPr>
          <m:t>=</m:t>
        </m:r>
        <m:r>
          <m:t>0.106</m:t>
        </m:r>
      </m:oMath>
      <w:r>
        <w:t xml:space="preserve">,</w:t>
      </w:r>
      <w:r>
        <w:t xml:space="preserve"> </w:t>
      </w:r>
      <m:oMath>
        <m:r>
          <m:t>p</m:t>
        </m:r>
        <m:r>
          <m:rPr>
            <m:sty m:val="p"/>
          </m:rPr>
          <m:t>=</m:t>
        </m:r>
        <m:r>
          <m:t>4.3</m:t>
        </m:r>
        <m:r>
          <m:rPr>
            <m:sty m:val="p"/>
          </m:rPr>
          <m:t>×</m:t>
        </m:r>
        <m:sSup>
          <m:e>
            <m:r>
              <m:t>10</m:t>
            </m:r>
          </m:e>
          <m:sup>
            <m:r>
              <m:rPr>
                <m:sty m:val="p"/>
              </m:rPr>
              <m:t>−</m:t>
            </m:r>
            <m:r>
              <m:t>4</m:t>
            </m:r>
          </m:sup>
        </m:sSup>
      </m:oMath>
      <w:r>
        <w:t xml:space="preserve">), and it is the only one of the three for which that is true. So the network’s interval is mildly anti-correlated with the quantity it exists to track. This is a sharper and more useful statement than its PICP of 0.790, and it is the reason we do not present that number as a calibration property comparable to the others: three of the six methods derive an interval from a genuine predictive distribution and three construct one from ensemble spread plus an estimated noise term, and only the geostatistical model carries a variance that is a function of where the prediction is being made.</w:t>
      </w:r>
    </w:p>
    <w:p>
      <w:pPr>
        <w:pStyle w:val="BodyText"/>
      </w:pPr>
      <w:r>
        <w:t xml:space="preserve">One caveat belongs with the P7 column rather than beneath it. The profile-MLE of the correlation rate railed at its bracket in all 5 folds, so the bracket rather than the data sets the magnitude of that widening. The</w:t>
      </w:r>
      <w:r>
        <w:t xml:space="preserve"> </w:t>
      </w:r>
      <w:r>
        <w:rPr>
          <w:i/>
          <w:iCs/>
        </w:rPr>
        <w:t xml:space="preserve">sign</w:t>
      </w:r>
      <w:r>
        <w:t xml:space="preserve"> </w:t>
      </w:r>
      <w:r>
        <w:t xml:space="preserve">is structural to the kriging expression and does not depend on the rate; the size is not interpretable until the rate is identified, which these data do not do.</w:t>
      </w:r>
    </w:p>
    <w:p>
      <w:pPr>
        <w:pStyle w:val="BodyText"/>
      </w:pPr>
      <w:r>
        <w:t xml:space="preserve">Two consequences follow for practice. First, a coverage rate should be read alongside a plot of width against distance to data, since the two can disagree completely. Second, an uncertainty that does not vary with position is not usable for the tasks maps are made for — planning where to sample next, or bounding an inventory over a region that was never surveyed.</w:t>
      </w:r>
    </w:p>
    <w:p>
      <w:pPr>
        <w:pStyle w:val="Heading2"/>
      </w:pPr>
      <w:r>
        <w:t xml:space="preserve">A tuned graph network ties, rather than beats, a tuned forest</w:t>
      </w:r>
    </w:p>
    <w:p>
      <w:pPr>
        <w:pStyle w:val="FirstParagraph"/>
      </w:pPr>
      <w:r>
        <w:t xml:space="preserve">The comparison above runs every method at fixed defaults, which could disadvantage a method whose performance depends on tuning. We therefore compared the graph attention network and the quantile random forest under nested cross-validation on 1095 profiles, tuning both inside each training partition and evaluating on outer folds never seen by the tuner. In the stored result of that experiment the graph network reached a pooled Nash–Sutcliffe efficiency of 0.184 against the forest’s 0.165; the difference of 0.019 carried a 95% block-bootstrap interval of [-0.021, 0.057], spanning zero.</w:t>
      </w:r>
    </w:p>
    <w:p>
      <w:pPr>
        <w:pStyle w:val="BodyText"/>
      </w:pPr>
      <w:r>
        <w:t xml:space="preserve">That stored result, however, predates subsequent changes to the graph backend, and we report a reproduction failure rather than the stored number alone: re-running the same protocol with the bundle’s own per-fold hyperparameters and seeds on the current code returns a pooled efficiency near 0.10 rather than 0.18. We flag this openly because it is the kind of drift between a shipped result and the code that produced it that this framework is explicitly designed to prevent, and in this instance the safeguard was added after the bundle was created. The scientific conclusion is unaffected in direction, and if anything strengthened: under both the stored and the re-run figures the graph attention network does not beat a tuned random forest on this task. We treat the tuned comparison as indicative only, and rest the paper’s ranking on the matched benchmark of Table 13, whose bundle is bound to the current code by the test suite.</w:t>
      </w:r>
    </w:p>
    <w:p>
      <w:pPr>
        <w:pStyle w:val="Heading2"/>
      </w:pPr>
      <w:r>
        <w:t xml:space="preserve">Backdoor adjustment yields robust associations, and exposes confounding</w:t>
      </w:r>
    </w:p>
    <w:p>
      <w:pPr>
        <w:pStyle w:val="FirstParagraph"/>
      </w:pPr>
      <w:r>
        <w:t xml:space="preserve">Table 16 reports the causal analysis on 3077 profiles. For each exposure it gives the unadjusted association, the association after backdoor adjustment, the block-bootstrap interval, and the robustness value.</w:t>
      </w:r>
    </w:p>
    <w:p>
      <w:pPr>
        <w:pStyle w:val="BodyText"/>
      </w:pPr>
      <w:r>
        <w:rPr>
          <w:b/>
          <w:bCs/>
        </w:rPr>
        <w:t xml:space="preserve">Table 16. Backdoor-adjusted associations with sensitivity bounds.</w:t>
      </w:r>
      <w:r>
        <w:t xml:space="preserve"> </w:t>
      </w:r>
      <w:r>
        <w:t xml:space="preserve">Units are grams of topsoil organic carbon per kilogram of soil, per unit of the exposure. The robustness value (RV) is the proportion of residual variance an unobserved confounder would need to explain in both exposure and outcome to reduce the estimate to zero.</w:t>
      </w:r>
    </w:p>
    <w:tbl>
      <w:tblPr>
        <w:tblStyle w:val="Table"/>
        <w:tblW w:type="pct" w:w="5000"/>
        <w:tblLayout w:type="fixed"/>
        <w:tblLook w:firstRow="1" w:lastRow="0" w:firstColumn="0" w:lastColumn="0" w:noHBand="0" w:noVBand="0" w:val="0020"/>
      </w:tblPr>
      <w:tblGrid>
        <w:gridCol w:w="1406"/>
        <w:gridCol w:w="2294"/>
        <w:gridCol w:w="814"/>
        <w:gridCol w:w="666"/>
        <w:gridCol w:w="1258"/>
        <w:gridCol w:w="1110"/>
        <w:gridCol w:w="370"/>
      </w:tblGrid>
      <w:tr>
        <w:trPr>
          <w:tblHeader w:val="on"/>
        </w:trPr>
        <w:tc>
          <w:tcPr/>
          <w:p>
            <w:pPr>
              <w:pStyle w:val="Compact"/>
            </w:pPr>
          </w:p>
        </w:tc>
        <w:tc>
          <w:tcPr/>
          <w:p>
            <w:pPr>
              <w:pStyle w:val="Compact"/>
              <w:jc w:val="left"/>
            </w:pPr>
            <w:r>
              <w:t xml:space="preserve">Exposure</w:t>
            </w:r>
          </w:p>
        </w:tc>
        <w:tc>
          <w:tcPr/>
          <w:p>
            <w:pPr>
              <w:pStyle w:val="Compact"/>
              <w:jc w:val="right"/>
            </w:pPr>
            <w:r>
              <w:t xml:space="preserve">Unadjusted</w:t>
            </w:r>
          </w:p>
        </w:tc>
        <w:tc>
          <w:tcPr/>
          <w:p>
            <w:pPr>
              <w:pStyle w:val="Compact"/>
              <w:jc w:val="right"/>
            </w:pPr>
            <w:r>
              <w:t xml:space="preserve">Adjusted</w:t>
            </w:r>
          </w:p>
        </w:tc>
        <w:tc>
          <w:tcPr/>
          <w:p>
            <w:pPr>
              <w:pStyle w:val="Compact"/>
              <w:jc w:val="center"/>
            </w:pPr>
            <w:r>
              <w:t xml:space="preserve">95% interval</w:t>
            </w:r>
          </w:p>
        </w:tc>
        <w:tc>
          <w:tcPr/>
          <w:p>
            <w:pPr>
              <w:pStyle w:val="Compact"/>
              <w:jc w:val="center"/>
            </w:pPr>
            <w:r>
              <w:t xml:space="preserve">Excludes zero</w:t>
            </w:r>
          </w:p>
        </w:tc>
        <w:tc>
          <w:tcPr/>
          <w:p>
            <w:pPr>
              <w:pStyle w:val="Compact"/>
              <w:jc w:val="right"/>
            </w:pPr>
            <w:r>
              <w:t xml:space="preserve">RV</w:t>
            </w:r>
          </w:p>
        </w:tc>
      </w:tr>
      <w:tr>
        <w:tc>
          <w:tcPr/>
          <w:p>
            <w:pPr>
              <w:pStyle w:val="Compact"/>
              <w:jc w:val="left"/>
            </w:pPr>
            <w:r>
              <w:t xml:space="preserve">wc_bio_12</w:t>
            </w:r>
          </w:p>
        </w:tc>
        <w:tc>
          <w:tcPr/>
          <w:p>
            <w:pPr>
              <w:pStyle w:val="Compact"/>
              <w:jc w:val="left"/>
            </w:pPr>
            <w:r>
              <w:t xml:space="preserve">Precipitation (per mm)</w:t>
            </w:r>
          </w:p>
        </w:tc>
        <w:tc>
          <w:tcPr/>
          <w:p>
            <w:pPr>
              <w:pStyle w:val="Compact"/>
              <w:jc w:val="right"/>
            </w:pPr>
            <w:r>
              <w:t xml:space="preserve">0.008</w:t>
            </w:r>
          </w:p>
        </w:tc>
        <w:tc>
          <w:tcPr/>
          <w:p>
            <w:pPr>
              <w:pStyle w:val="Compact"/>
              <w:jc w:val="right"/>
            </w:pPr>
            <w:r>
              <w:t xml:space="preserve">0.010</w:t>
            </w:r>
          </w:p>
        </w:tc>
        <w:tc>
          <w:tcPr/>
          <w:p>
            <w:pPr>
              <w:pStyle w:val="Compact"/>
              <w:jc w:val="center"/>
            </w:pPr>
            <w:r>
              <w:t xml:space="preserve">[0.003, 0.019]</w:t>
            </w:r>
          </w:p>
        </w:tc>
        <w:tc>
          <w:tcPr/>
          <w:p>
            <w:pPr>
              <w:pStyle w:val="Compact"/>
              <w:jc w:val="center"/>
            </w:pPr>
            <w:r>
              <w:t xml:space="preserve">yes</w:t>
            </w:r>
          </w:p>
        </w:tc>
        <w:tc>
          <w:tcPr/>
          <w:p>
            <w:pPr>
              <w:pStyle w:val="Compact"/>
              <w:jc w:val="right"/>
            </w:pPr>
            <w:r>
              <w:t xml:space="preserve">0.16</w:t>
            </w:r>
          </w:p>
        </w:tc>
      </w:tr>
      <w:tr>
        <w:tc>
          <w:tcPr/>
          <w:p>
            <w:pPr>
              <w:pStyle w:val="Compact"/>
              <w:jc w:val="left"/>
            </w:pPr>
            <w:r>
              <w:t xml:space="preserve">wc_bio_01</w:t>
            </w:r>
          </w:p>
        </w:tc>
        <w:tc>
          <w:tcPr/>
          <w:p>
            <w:pPr>
              <w:pStyle w:val="Compact"/>
              <w:jc w:val="left"/>
            </w:pPr>
            <w:r>
              <w:t xml:space="preserve">Temperature (per degree C)</w:t>
            </w:r>
          </w:p>
        </w:tc>
        <w:tc>
          <w:tcPr/>
          <w:p>
            <w:pPr>
              <w:pStyle w:val="Compact"/>
              <w:jc w:val="right"/>
            </w:pPr>
            <w:r>
              <w:t xml:space="preserve">-0.467</w:t>
            </w:r>
          </w:p>
        </w:tc>
        <w:tc>
          <w:tcPr/>
          <w:p>
            <w:pPr>
              <w:pStyle w:val="Compact"/>
              <w:jc w:val="right"/>
            </w:pPr>
            <w:r>
              <w:t xml:space="preserve">-0.824</w:t>
            </w:r>
          </w:p>
        </w:tc>
        <w:tc>
          <w:tcPr/>
          <w:p>
            <w:pPr>
              <w:pStyle w:val="Compact"/>
              <w:jc w:val="center"/>
            </w:pPr>
            <w:r>
              <w:t xml:space="preserve">[-1.367, 0.222]</w:t>
            </w:r>
          </w:p>
        </w:tc>
        <w:tc>
          <w:tcPr/>
          <w:p>
            <w:pPr>
              <w:pStyle w:val="Compact"/>
              <w:jc w:val="center"/>
            </w:pPr>
            <w:r>
              <w:t xml:space="preserve">no</w:t>
            </w:r>
          </w:p>
        </w:tc>
        <w:tc>
          <w:tcPr/>
          <w:p>
            <w:pPr>
              <w:pStyle w:val="Compact"/>
              <w:jc w:val="right"/>
            </w:pPr>
            <w:r>
              <w:t xml:space="preserve">0.08</w:t>
            </w:r>
          </w:p>
        </w:tc>
      </w:tr>
      <w:tr>
        <w:tc>
          <w:tcPr/>
          <w:p>
            <w:pPr>
              <w:pStyle w:val="Compact"/>
              <w:jc w:val="left"/>
            </w:pPr>
            <w:r>
              <w:t xml:space="preserve">wc_landcover_trees</w:t>
            </w:r>
          </w:p>
        </w:tc>
        <w:tc>
          <w:tcPr/>
          <w:p>
            <w:pPr>
              <w:pStyle w:val="Compact"/>
              <w:jc w:val="left"/>
            </w:pPr>
            <w:r>
              <w:t xml:space="preserve">Tree cover (per unit fraction)</w:t>
            </w:r>
          </w:p>
        </w:tc>
        <w:tc>
          <w:tcPr/>
          <w:p>
            <w:pPr>
              <w:pStyle w:val="Compact"/>
              <w:jc w:val="right"/>
            </w:pPr>
            <w:r>
              <w:t xml:space="preserve">2.864</w:t>
            </w:r>
          </w:p>
        </w:tc>
        <w:tc>
          <w:tcPr/>
          <w:p>
            <w:pPr>
              <w:pStyle w:val="Compact"/>
              <w:jc w:val="right"/>
            </w:pPr>
            <w:r>
              <w:t xml:space="preserve">0.347</w:t>
            </w:r>
          </w:p>
        </w:tc>
        <w:tc>
          <w:tcPr/>
          <w:p>
            <w:pPr>
              <w:pStyle w:val="Compact"/>
              <w:jc w:val="center"/>
            </w:pPr>
            <w:r>
              <w:t xml:space="preserve">[-3.314, 2.940]</w:t>
            </w:r>
          </w:p>
        </w:tc>
        <w:tc>
          <w:tcPr/>
          <w:p>
            <w:pPr>
              <w:pStyle w:val="Compact"/>
              <w:jc w:val="center"/>
            </w:pPr>
            <w:r>
              <w:t xml:space="preserve">no</w:t>
            </w:r>
          </w:p>
        </w:tc>
        <w:tc>
          <w:tcPr/>
          <w:p>
            <w:pPr>
              <w:pStyle w:val="Compact"/>
              <w:jc w:val="right"/>
            </w:pPr>
            <w:r>
              <w:t xml:space="preserve">0.01</w:t>
            </w:r>
          </w:p>
        </w:tc>
      </w:tr>
      <w:tr>
        <w:tc>
          <w:tcPr/>
          <w:p>
            <w:pPr>
              <w:pStyle w:val="Compact"/>
              <w:jc w:val="left"/>
            </w:pPr>
            <w:r>
              <w:t xml:space="preserve">soilgrids_clay</w:t>
            </w:r>
          </w:p>
        </w:tc>
        <w:tc>
          <w:tcPr/>
          <w:p>
            <w:pPr>
              <w:pStyle w:val="Compact"/>
              <w:jc w:val="left"/>
            </w:pPr>
            <w:r>
              <w:t xml:space="preserve">Clay (per percent)</w:t>
            </w:r>
          </w:p>
        </w:tc>
        <w:tc>
          <w:tcPr/>
          <w:p>
            <w:pPr>
              <w:pStyle w:val="Compact"/>
              <w:jc w:val="right"/>
            </w:pPr>
            <w:r>
              <w:t xml:space="preserve">0.446</w:t>
            </w:r>
          </w:p>
        </w:tc>
        <w:tc>
          <w:tcPr/>
          <w:p>
            <w:pPr>
              <w:pStyle w:val="Compact"/>
              <w:jc w:val="right"/>
            </w:pPr>
            <w:r>
              <w:t xml:space="preserve">0.448</w:t>
            </w:r>
          </w:p>
        </w:tc>
        <w:tc>
          <w:tcPr/>
          <w:p>
            <w:pPr>
              <w:pStyle w:val="Compact"/>
              <w:jc w:val="center"/>
            </w:pPr>
            <w:r>
              <w:t xml:space="preserve">[0.292, 0.641]</w:t>
            </w:r>
          </w:p>
        </w:tc>
        <w:tc>
          <w:tcPr/>
          <w:p>
            <w:pPr>
              <w:pStyle w:val="Compact"/>
              <w:jc w:val="center"/>
            </w:pPr>
            <w:r>
              <w:t xml:space="preserve">yes</w:t>
            </w:r>
          </w:p>
        </w:tc>
        <w:tc>
          <w:tcPr/>
          <w:p>
            <w:pPr>
              <w:pStyle w:val="Compact"/>
              <w:jc w:val="right"/>
            </w:pPr>
            <w:r>
              <w:t xml:space="preserve">0.18</w:t>
            </w:r>
          </w:p>
        </w:tc>
      </w:tr>
    </w:tbl>
    <w:p>
      <w:pPr>
        <w:pStyle w:val="BodyText"/>
      </w:pPr>
      <w:r>
        <w:t xml:space="preserve">Two associations survive as robust. Precipitation and clay content both raise topsoil carbon, both intervals exclude zero, and both carry robustness values near 0.17: an unobserved confounder would have to explain roughly a sixth of the residual variance in the exposure</w:t>
      </w:r>
      <w:r>
        <w:t xml:space="preserve"> </w:t>
      </w:r>
      <w:r>
        <w:rPr>
          <w:i/>
          <w:iCs/>
        </w:rPr>
        <w:t xml:space="preserve">and</w:t>
      </w:r>
      <w:r>
        <w:t xml:space="preserve"> </w:t>
      </w:r>
      <w:r>
        <w:t xml:space="preserve">a sixth in the outcome before either estimate reached zero. Both signs are mechanistically expected — greater rainfall raises net primary productivity and therefore litter input, while clay stabilises organic matter through organo-mineral association — which is the kind of external coherence that a purely statistical adjustment cannot supply on its own.</w:t>
      </w:r>
    </w:p>
    <w:p>
      <w:pPr>
        <w:pStyle w:val="BodyText"/>
      </w:pPr>
      <w:r>
        <w:t xml:space="preserve">The temperature association carries the expected negative sign, consistent with accelerated decomposition, but its interval includes zero on this sample and its robustness value is correspondingly low.</w:t>
      </w:r>
    </w:p>
    <w:p>
      <w:pPr>
        <w:pStyle w:val="BodyText"/>
      </w:pPr>
      <w:r>
        <w:t xml:space="preserve">The tree-cover row is the most instructive, and it is the reason we report unadjusted and adjusted estimates side by side. Unadjusted, greater tree cover appears strongly associated with more topsoil carbon (2.86 g/kg per unit fraction). After adjusting for the climate variables that the graph identifies as common causes of both tree cover and carbon, the association collapses to 0.35, its interval spans zero, and its robustness value falls to 0.006 — meaning a confounder explaining well under one percent of residual variance would suffice to erase it. The apparent effect of trees was, on this sample, very largely shared climatic ancestry. This is precisely the inferential error that Zhang and Wadoux</w:t>
      </w:r>
      <w:r>
        <w:t xml:space="preserve"> </w:t>
      </w:r>
      <w:r>
        <w:t xml:space="preserve">[3]</w:t>
      </w:r>
      <w:r>
        <w:t xml:space="preserve"> </w:t>
      </w:r>
      <w:r>
        <w:t xml:space="preserve">warn is routinely committed when covariate importance is read as causal influence, demonstrated here on real profiles with the adjustment that reveals it.</w:t>
      </w:r>
    </w:p>
    <w:p>
      <w:pPr>
        <w:pStyle w:val="BodyText"/>
      </w:pPr>
      <w:r>
        <w:rPr>
          <w:b/>
          <w:bCs/>
        </w:rPr>
        <w:t xml:space="preserve">The exposure is measured after the outcome.</w:t>
      </w:r>
      <w:r>
        <w:t xml:space="preserve"> </w:t>
      </w:r>
      <w:r>
        <w:t xml:space="preserve">One feature of these data forecloses a causal reading independently of any confounder, and it belongs here rather than in a limitations list. The tree-cover exposure is ESA WorldCover, a 2020 product; the SoilGrids texture and bulk-density covariates are likewise 2020. The outcome is a WoSIS topsoil measurement whose median sampling year is 1982, with every one of the 1,095 profiles but five sampled before 1990 and the quartiles falling in 1981 and 1983. The land surface described by the exposure is the one that existed 38 years</w:t>
      </w:r>
      <w:r>
        <w:t xml:space="preserve"> </w:t>
      </w:r>
      <w:r>
        <w:rPr>
          <w:i/>
          <w:iCs/>
        </w:rPr>
        <w:t xml:space="preserve">after</w:t>
      </w:r>
      <w:r>
        <w:t xml:space="preserve"> </w:t>
      </w:r>
      <w:r>
        <w:t xml:space="preserve">the carbon was measured. No adjustment set repairs that ordering: whatever the estimate is, it is not the effect of tree cover on soil carbon, because the Cerrado’s conversion to cropland and pasture happened largely in between.</w:t>
      </w:r>
    </w:p>
    <w:p>
      <w:pPr>
        <w:pStyle w:val="BodyText"/>
      </w:pPr>
      <w:r>
        <w:t xml:space="preserve">We keep the analysis, reported as what it is, for two reasons. The demonstration it is used for — that an apparent association collapses under adjustment for common causes — is a demonstration about estimators and does not require the exposure to be causally prior. And the temporal inversion is itself a second, independent reason to disbelieve the naive reading, arriving at the same conclusion the adjustment does by a route that needs no assumption about unobserved confounding at all. Where we write</w:t>
      </w:r>
      <w:r>
        <w:t xml:space="preserve"> </w:t>
      </w:r>
      <w:r>
        <w:t xml:space="preserve">“effect”</w:t>
      </w:r>
      <w:r>
        <w:t xml:space="preserve"> </w:t>
      </w:r>
      <w:r>
        <w:t xml:space="preserve">below, read</w:t>
      </w:r>
      <w:r>
        <w:t xml:space="preserve"> </w:t>
      </w:r>
      <w:r>
        <w:t xml:space="preserve">“backdoor-adjusted association between a 2020 land-cover product and a 1982 soil measurement”</w:t>
      </w:r>
      <w:r>
        <w:t xml:space="preserve">. The framework cannot fix a data set in which the cause postdates the effect; what it can do is make that visible instead of reporting a coefficient.</w:t>
      </w:r>
    </w:p>
    <w:p>
      <w:pPr>
        <w:pStyle w:val="BodyText"/>
      </w:pPr>
      <w:r>
        <w:t xml:space="preserve">Fig 14 shows the four exposures before and after adjustment, together with the confounding each estimate could withstand.</w:t>
      </w:r>
    </w:p>
    <w:p>
      <w:pPr>
        <w:pStyle w:val="BodyText"/>
      </w:pPr>
      <w:r>
        <w:drawing>
          <wp:inline>
            <wp:extent cx="5334000" cy="5053263"/>
            <wp:effectExtent b="0" l="0" r="0" t="0"/>
            <wp:docPr descr="" title="" id="50" name="Picture"/>
            <a:graphic>
              <a:graphicData uri="http://schemas.openxmlformats.org/drawingml/2006/picture">
                <pic:pic>
                  <pic:nvPicPr>
                    <pic:cNvPr descr="plos-manuscript_files/figures/Fig14.png" id="51" name="Picture"/>
                    <pic:cNvPicPr>
                      <a:picLocks noChangeArrowheads="1" noChangeAspect="1"/>
                    </pic:cNvPicPr>
                  </pic:nvPicPr>
                  <pic:blipFill>
                    <a:blip r:embed="rId49"/>
                    <a:stretch>
                      <a:fillRect/>
                    </a:stretch>
                  </pic:blipFill>
                  <pic:spPr bwMode="auto">
                    <a:xfrm>
                      <a:off x="0" y="0"/>
                      <a:ext cx="5334000" cy="5053263"/>
                    </a:xfrm>
                    <a:prstGeom prst="rect">
                      <a:avLst/>
                    </a:prstGeom>
                    <a:noFill/>
                    <a:ln w="9525">
                      <a:noFill/>
                      <a:headEnd/>
                      <a:tailEnd/>
                    </a:ln>
                  </pic:spPr>
                </pic:pic>
              </a:graphicData>
            </a:graphic>
          </wp:inline>
        </w:drawing>
      </w:r>
    </w:p>
    <w:p>
      <w:pPr>
        <w:pStyle w:val="BodyText"/>
      </w:pPr>
      <w:r>
        <w:rPr>
          <w:b/>
          <w:bCs/>
        </w:rPr>
        <w:t xml:space="preserve">Fig 14. Backdoor adjustment and its sensitivity.</w:t>
      </w:r>
      <w:r>
        <w:t xml:space="preserve"> </w:t>
      </w:r>
      <w:r>
        <w:t xml:space="preserve">(A) Open circles are unadjusted associations, filled circles adjusted, bars the 95% spatial block-bootstrap interval; the arrow shows the movement under adjustment, and effects are scaled by each covariate’s standard deviation so that exposures on different units are comparable. Tree cover moves furthest and its interval then covers zero. (B) The Cinelli–Hazlett robustness value for each estimate: the residual variance an unobserved confounder would have to explain in both exposure and outcome to reduce it to zero.</w:t>
      </w:r>
    </w:p>
    <w:p>
      <w:pPr>
        <w:pStyle w:val="Heading2"/>
      </w:pPr>
      <w:r>
        <w:t xml:space="preserve">The graph itself is testable, and it fails its own test</w:t>
      </w:r>
    </w:p>
    <w:p>
      <w:pPr>
        <w:pStyle w:val="FirstParagraph"/>
      </w:pPr>
      <w:r>
        <w:t xml:space="preserve">Every estimate in Table 16 is conditional on the directed acyclic graph being a correct description of the system. That premise is not merely an assumption to be declared: a graph implies a specific set of conditional independencies among the observed variables, and those implications can be tested against the data. Zhang and Wadoux</w:t>
      </w:r>
      <w:r>
        <w:t xml:space="preserve"> </w:t>
      </w:r>
      <w:r>
        <w:t xml:space="preserve">[3]</w:t>
      </w:r>
      <w:r>
        <w:t xml:space="preserve"> </w:t>
      </w:r>
      <w:r>
        <w:t xml:space="preserve">list this compatibility — faithfulness — as the third of their three conditions for causal inference, alongside an explicit model and causal sufficiency. We are not aware of a digital soil mapping study that reports the test.</w:t>
      </w:r>
    </w:p>
    <w:p>
      <w:pPr>
        <w:pStyle w:val="BodyText"/>
      </w:pPr>
      <w:r>
        <w:t xml:space="preserve">We applied the implied-independence test to the shipped pedogenetic graph, restricted to the 9 of its 11 nodes for which the profiles carry data. Of the 37 conditional independencies the graph implies,</w:t>
      </w:r>
      <w:r>
        <w:t xml:space="preserve"> </w:t>
      </w:r>
      <w:r>
        <w:rPr>
          <w:b/>
          <w:bCs/>
        </w:rPr>
        <w:t xml:space="preserve">33 are rejected</w:t>
      </w:r>
      <w:r>
        <w:t xml:space="preserve"> </w:t>
      </w:r>
      <w:r>
        <w:t xml:space="preserve">at the 5% level, and the largest violated partial correlation reaches 0.73 (clay against sand, conditioning on slope).</w:t>
      </w:r>
    </w:p>
    <w:p>
      <w:pPr>
        <w:pStyle w:val="BodyText"/>
      </w:pPr>
      <w:r>
        <w:t xml:space="preserve">That pooled test has an obvious objection, and it is worth answering rather than leaving open. Soil profiles are spatially autocorrelated, so treating 3,077 of them as independent observations overstates the effective sample size and will reject independencies a spatially aware test would not. Residualising every variable on a thin-plate spline of position before testing — and charging the smoother its degrees of freedom — reduces the count to</w:t>
      </w:r>
      <w:r>
        <w:t xml:space="preserve"> </w:t>
      </w:r>
      <w:r>
        <w:rPr>
          <w:b/>
          <w:bCs/>
        </w:rPr>
        <w:t xml:space="preserve">28 of 37</w:t>
      </w:r>
      <w:r>
        <w:t xml:space="preserve">. Nine individual independencies change verdict in one direction or the other. The conclusion is unchanged in kind: the graph, as drawn from published pedogenetic knowledge, is not compatible with the covariance structure of the data it is applied to, on either test. But the</w:t>
      </w:r>
      <w:r>
        <w:t xml:space="preserve"> </w:t>
      </w:r>
      <w:r>
        <w:rPr>
          <w:i/>
          <w:iCs/>
        </w:rPr>
        <w:t xml:space="preserve">count</w:t>
      </w:r>
      <w:r>
        <w:t xml:space="preserve"> </w:t>
      </w:r>
      <w:r>
        <w:t xml:space="preserve">moves with the treatment of spatial structure, and we report both rather than the more striking one.</w:t>
      </w:r>
      <w:r>
        <w:t xml:space="preserve"> </w:t>
      </w:r>
      <w:r>
        <w:rPr>
          <w:rStyle w:val="VerbatimChar"/>
        </w:rPr>
        <w:t xml:space="preserve">causal_dag_test()</w:t>
      </w:r>
      <w:r>
        <w:t xml:space="preserve"> </w:t>
      </w:r>
      <w:r>
        <w:t xml:space="preserve">runs both on any graph and data frame.</w:t>
      </w:r>
    </w:p>
    <w:p>
      <w:pPr>
        <w:pStyle w:val="BodyText"/>
      </w:pPr>
      <w:r>
        <w:t xml:space="preserve">This is a substantive negative result, and it propagates: an adjustment set is only minimal-and-sufficient relative to a graph, so a falsified graph undermines the identification argument for every estimate in Table 16, which is why we have reported those estimates as adjusted associations with sensitivity bounds throughout rather than as effects. It also has a mundane component worth stating plainly — 2 of the graph’s nodes (wc_landcover_cropland, wc_landcover_grassland) have no corresponding column in the shipped profiles at all, so the tested sub-graph is smaller than the graph the analyst drew.</w:t>
      </w:r>
    </w:p>
    <w:p>
      <w:pPr>
        <w:pStyle w:val="BodyText"/>
      </w:pPr>
      <w:r>
        <w:t xml:space="preserve">We report this rather than quietly adopting a graph that passes. The constructive reading is that the test is cheap, diagnostic and almost never performed: it localises exactly which pedological assumptions the data contradict — here, principally the assumed conditional independence of texture fractions and of texture from terrain — and so tells a soil scientist where the causal model needs work. A framework that makes backdoor adjustment easy should make this test equally easy, and reporting it should become routine.</w:t>
      </w:r>
    </w:p>
    <w:p>
      <w:pPr>
        <w:pStyle w:val="Heading2"/>
      </w:pPr>
      <w:r>
        <w:t xml:space="preserve">A learned representation does not manufacture a valid instrument</w:t>
      </w:r>
    </w:p>
    <w:p>
      <w:pPr>
        <w:pStyle w:val="FirstParagraph"/>
      </w:pPr>
      <w:r>
        <w:t xml:space="preserve">Backdoor adjustment buys identification only at the price of causal sufficiency. Instrumental-variable estimation offers a different bargain: identification without that assumption, provided the instrument reaches the outcome only through the exposure. Modern representation learning makes an appealing candidate — an encoder trained on landscape imagery, never shown the soil measurement, that summarises terrain and climate context in a handful of components.</w:t>
      </w:r>
    </w:p>
    <w:p>
      <w:pPr>
        <w:pStyle w:val="BodyText"/>
      </w:pPr>
      <w:r>
        <w:t xml:space="preserve">We trained such an encoder for real: a MoCo-v2 contrastive model over 7 covariate channels and 12,000 raster tiles for 3,000 epochs on the graphics processor, reaching an InfoNCE loss of 5.24. We then embedded each profile’s landscape and used the leading principal components of that embedding as instruments for precipitation.</w:t>
      </w:r>
    </w:p>
    <w:p>
      <w:pPr>
        <w:pStyle w:val="BodyText"/>
      </w:pPr>
      <w:r>
        <w:t xml:space="preserve">The instruments are extraordinarily relevant. The first-stage F statistic is 4630, against a conventional weak-instrument threshold of 10 — the embedding predicts precipitation almost perfectly, which is unsurprising given that climate is among the things it encodes. And that is exactly the problem. The Sargan over-identification test rejects decisively (chi-squared 84.4 on 4 degrees of freedom, p &lt; 10</w:t>
      </w:r>
      <w:r>
        <w:rPr>
          <w:vertAlign w:val="superscript"/>
        </w:rPr>
        <w:t xml:space="preserve">-12</w:t>
      </w:r>
      <w:r>
        <w:t xml:space="preserve">): the instruments do not satisfy the exclusion restriction.</w:t>
      </w:r>
    </w:p>
    <w:p>
      <w:pPr>
        <w:pStyle w:val="BodyText"/>
      </w:pPr>
      <w:r>
        <w:t xml:space="preserve">The interpretation is general, and we think it is the most transferable result in this article. The property that makes an embedding an excellent predictor — that it compresses everything about a location — is the property that makes it an invalid instrument, because it necessarily reaches the outcome through paths other than the exposure. Representation learning cannot supply the exogenous variation that identification requires; only a design can. We report the failed test rather than the estimate it invalidates.</w:t>
      </w:r>
    </w:p>
    <w:p>
      <w:pPr>
        <w:pStyle w:val="Heading1"/>
      </w:pPr>
      <w:r>
        <w:t xml:space="preserve">Discussion</w:t>
      </w:r>
    </w:p>
    <w:p>
      <w:pPr>
        <w:pStyle w:val="Heading2"/>
      </w:pPr>
      <w:r>
        <w:t xml:space="preserve">What the benchmark does and does not show</w:t>
      </w:r>
    </w:p>
    <w:p>
      <w:pPr>
        <w:pStyle w:val="FirstParagraph"/>
      </w:pPr>
      <w:r>
        <w:t xml:space="preserve">The central result — that a linear model on graph-selected covariates outperformed five more elaborate methods, two of which fell below the achievable null — invites two misreadings, and we want to foreclose both.</w:t>
      </w:r>
    </w:p>
    <w:p>
      <w:pPr>
        <w:pStyle w:val="BodyText"/>
      </w:pPr>
      <w:r>
        <w:t xml:space="preserve">It does not show that deep learning cannot work in digital soil mapping. It shows that on roughly a thousand point observations, with seven coarse covariates and spatially blocked evaluation, the sample and the signal are too small for high-capacity models to express an advantage. This is the expected regime for such models: contrastive encoders, graph attention and neural operators are designed for settings with abundant data or strong structure, and a sparse point dataset with a handful of climate and texture covariates supplies neither. The finding is a statement about the task, not about the method class.</w:t>
      </w:r>
    </w:p>
    <w:p>
      <w:pPr>
        <w:pStyle w:val="BodyText"/>
      </w:pPr>
      <w:r>
        <w:t xml:space="preserve">Nor does it show that the elaborate methods are useless in general. It shows that, evaluated honestly here, they cost more and returned less — and that a practitioner choosing a method for a comparable dataset should reach for the simple one first. That is a practically useful conclusion precisely because it is unglamorous, and it is exactly the conclusion a matched, calibration-aware protocol is designed to surface and an accuracy-only, single-method report is designed to hide.</w:t>
      </w:r>
    </w:p>
    <w:p>
      <w:pPr>
        <w:pStyle w:val="BodyText"/>
      </w:pPr>
      <w:r>
        <w:t xml:space="preserve">The calibration results make the same argument from a second direction. A method can be simultaneously more confident and less correct. The quantum kernel produced the narrowest intervals of any method and the worst coverage, a combination that a table of root-mean-square errors would not reveal and that would materially mislead anyone using the resulting map to plan sampling or to bound a carbon inventory. We regard the routine reporting of coverage alongside accuracy as the single cheapest improvement available to the field.</w:t>
      </w:r>
    </w:p>
    <w:p>
      <w:pPr>
        <w:pStyle w:val="Heading2"/>
      </w:pPr>
      <w:r>
        <w:t xml:space="preserve">What the causal analysis licenses</w:t>
      </w:r>
    </w:p>
    <w:p>
      <w:pPr>
        <w:pStyle w:val="FirstParagraph"/>
      </w:pPr>
      <w:r>
        <w:t xml:space="preserve">The causal section is deliberately modest in what it claims. Backdoor adjustment on an explicit graph is a legitimate and valuable operation: it recovered mechanistically coherent precipitation and clay associations with quantified robustness, and it exposed an apparent tree-cover association as very largely confounding. But the object it returns is an adjusted association carrying a sensitivity bound, not an identified causal effect, and we have reported it as such throughout. The robustness value is what makes that honesty operational: rather than asserting that no confounder exists, it states how strong one would have to be, and leaves the reader to judge that against their own knowledge of the system.</w:t>
      </w:r>
    </w:p>
    <w:p>
      <w:pPr>
        <w:pStyle w:val="BodyText"/>
      </w:pPr>
      <w:r>
        <w:t xml:space="preserve">The negative instrumental-variable result sharpens the point and, we suspect, generalises well beyond soil science. Learned representations are increasingly proposed as sources of exogenous variation. Our result indicates that this is backwards: an embedding earns its predictive power by encoding everything about a location, and an instrument earns its validity by encoding almost nothing except variation in the exposure. The two objectives are in direct opposition. A first-stage F statistic in the thousands accompanied by a decisive Sargan rejection is the empirical signature of that opposition.</w:t>
      </w:r>
    </w:p>
    <w:p>
      <w:pPr>
        <w:pStyle w:val="Heading2"/>
      </w:pPr>
      <w:r>
        <w:t xml:space="preserve">Limitations</w:t>
      </w:r>
    </w:p>
    <w:p>
      <w:pPr>
        <w:pStyle w:val="FirstParagraph"/>
      </w:pPr>
      <w:r>
        <w:t xml:space="preserve">Three limitations follow from the design. The evaluation covers a single biome and a single soil property; the ranking may differ where profile density, covariate resolution or the strength of spatial structure differ, and the framework is built so that re-testing on another dataset is a change of input rather than of code. The causal analysis rests on an expert graph whose structure, though drawn from published pedogenesis, is itself an assumption; a different graph implies different adjustment sets and therefore different estimates, which is why we report the graph explicitly rather than only its consequences. Finally, the benchmark scores prediction, whereas Zhang and Wadoux</w:t>
      </w:r>
      <w:r>
        <w:t xml:space="preserve"> </w:t>
      </w:r>
      <w:r>
        <w:t xml:space="preserve">[3]</w:t>
      </w:r>
      <w:r>
        <w:t xml:space="preserve"> </w:t>
      </w:r>
      <w:r>
        <w:t xml:space="preserve">argue that the most defensible route to causal claims in this field is process-informed generative modelling. The framework’s physics-informed pillar, which represents depth-wise carbon dynamics as an explicit differential equation rather than a regression, is a step in that direction and is the natural subject of a successor study.</w:t>
      </w:r>
    </w:p>
    <w:p>
      <w:pPr>
        <w:pStyle w:val="Heading1"/>
      </w:pPr>
      <w:r>
        <w:t xml:space="preserve">Conclusion</w:t>
      </w:r>
    </w:p>
    <w:p>
      <w:pPr>
        <w:pStyle w:val="FirstParagraph"/>
      </w:pPr>
      <w:r>
        <w:t xml:space="preserve">We have described a framework that reduces seven of ten families of digital soil mapping method to a common predictive-posterior currency, scores them with the same proper and diagnostic measures, and regenerates every published number from data that ships with the software. Applied to real profiles from the World Soil Information Service over the Brazilian Cerrado, it returns a deflationary answer: an ordinary least squares model restricted to a graph-selected covariate set is the most accurate and among the best calibrated of six methods, and no more elaborate method beats it. The same apparatus produced a causal analysis that reports robust associations with explicit sensitivity bounds rather than identified effects, demonstrated confounding directly by showing an apparent tree-cover association collapse under adjustment, surfaced a 38-year inversion between the epoch of the exposure product and the sampling year of the outcome that no adjustment set can repair, and returned a clean negative instrumental-variable result establishing that a trained representation, however predictive, does not constitute a valid instrument.</w:t>
      </w:r>
    </w:p>
    <w:p>
      <w:pPr>
        <w:pStyle w:val="BodyText"/>
      </w:pPr>
      <w:r>
        <w:t xml:space="preserve">The contribution we claim is therefore not a new best predictor. It is an apparatus, and a discipline, for finding out which method helps on a given problem, for reporting the uncertainty of that answer honestly, and for stating plainly when the answer is that none of the new methods helps at all.</w:t>
      </w:r>
    </w:p>
    <w:p>
      <w:pPr>
        <w:pStyle w:val="Heading1"/>
      </w:pPr>
      <w:r>
        <w:t xml:space="preserve">Acknowledgments</w:t>
      </w:r>
    </w:p>
    <w:p>
      <w:pPr>
        <w:pStyle w:val="FirstParagraph"/>
      </w:pPr>
      <w:r>
        <w:t xml:space="preserve">The author thanks the International Soil Reference and Information Centre for maintaining the World Soil Information Service as an open resource, and the maintainers of WorldClim, SoilGrids and the Copernicus land-cover products, without which the analyses reported here could not have been made reproducible from public sources.</w:t>
      </w:r>
    </w:p>
    <w:p>
      <w:pPr>
        <w:pStyle w:val="Heading1"/>
      </w:pPr>
      <w:r>
        <w:t xml:space="preserve">References</w:t>
      </w:r>
    </w:p>
    <w:p>
      <w:pPr>
        <w:pStyle w:val="Heading1"/>
      </w:pPr>
      <w:r>
        <w:t xml:space="preserve">Supporting information</w:t>
      </w:r>
    </w:p>
    <w:p>
      <w:pPr>
        <w:pStyle w:val="FirstParagraph"/>
      </w:pPr>
      <w:r>
        <w:rPr>
          <w:b/>
          <w:bCs/>
        </w:rPr>
        <w:t xml:space="preserve">S1 File. Reproducible article vignette.</w:t>
      </w:r>
      <w:r>
        <w:t xml:space="preserve"> </w:t>
      </w:r>
      <w:r>
        <w:t xml:space="preserve">The complete analysis as an executable package vignette (</w:t>
      </w:r>
      <w:r>
        <w:rPr>
          <w:rStyle w:val="VerbatimChar"/>
        </w:rPr>
        <w:t xml:space="preserve">edaphos-paper</w:t>
      </w:r>
      <w:r>
        <w:t xml:space="preserve">), which recomputes every figure and table in this manuscript from the bundled result data at build time.</w:t>
      </w:r>
    </w:p>
    <w:p>
      <w:pPr>
        <w:pStyle w:val="BodyText"/>
      </w:pPr>
      <w:r>
        <w:rPr>
          <w:b/>
          <w:bCs/>
        </w:rPr>
        <w:t xml:space="preserve">S2 File. Data retrieval and analysis pipeline.</w:t>
      </w:r>
      <w:r>
        <w:t xml:space="preserve"> </w:t>
      </w:r>
      <w:r>
        <w:rPr>
          <w:rStyle w:val="VerbatimChar"/>
        </w:rPr>
        <w:t xml:space="preserve">S2_File_pipeline.zip</w:t>
      </w:r>
      <w:r>
        <w:t xml:space="preserve"> </w:t>
      </w:r>
      <w:r>
        <w:t xml:space="preserve">— the 46 scripts that regenerate the soil-profile and covariate datasets from their public sources, train the foundation encoder, and produce the result bundles, with a RUN-ORDER listing what each script consumes, produces and requires. Seven need network access to re-download from WoSIS, SoilData or Copernicus; six use torch and fall back to a pure-R reference path that announces itself; 27 run against the shipped bundles alone and reproduce offline. These scripts are in the repository and in this archive, not in the installed package:</w:t>
      </w:r>
      <w:r>
        <w:t xml:space="preserve"> </w:t>
      </w:r>
      <w:r>
        <w:rPr>
          <w:rStyle w:val="VerbatimChar"/>
        </w:rPr>
        <w:t xml:space="preserve">.Rbuildignore</w:t>
      </w:r>
      <w:r>
        <w:t xml:space="preserve"> </w:t>
      </w:r>
      <w:r>
        <w:t xml:space="preserve">excludes</w:t>
      </w:r>
      <w:r>
        <w:t xml:space="preserve"> </w:t>
      </w:r>
      <w:r>
        <w:rPr>
          <w:rStyle w:val="VerbatimChar"/>
        </w:rPr>
        <w:t xml:space="preserve">data-raw</w:t>
      </w:r>
      <w:r>
        <w:t xml:space="preserve"> </w:t>
      </w:r>
      <w:r>
        <w:t xml:space="preserve">from the tarball.</w:t>
      </w:r>
    </w:p>
    <w:bookmarkStart w:id="92" w:name="refs"/>
    <w:bookmarkStart w:id="53" w:name="ref-McBratney2003"/>
    <w:p>
      <w:pPr>
        <w:pStyle w:val="Bibliography"/>
      </w:pPr>
      <w:r>
        <w:t xml:space="preserve">1.</w:t>
      </w:r>
      <w:r>
        <w:t xml:space="preserve"> </w:t>
      </w:r>
      <w:r>
        <w:t xml:space="preserve">	</w:t>
      </w:r>
      <w:r>
        <w:t xml:space="preserve">McBratney AB, Mendonça Santos ML, Minasny B. On digital soil mapping. Geoderma. 2003;117: 3–52. doi:</w:t>
      </w:r>
      <w:hyperlink r:id="rId52">
        <w:r>
          <w:rPr>
            <w:rStyle w:val="Hyperlink"/>
          </w:rPr>
          <w:t xml:space="preserve">10.1016/S0016-7061(03)00223-4</w:t>
        </w:r>
      </w:hyperlink>
    </w:p>
    <w:bookmarkEnd w:id="53"/>
    <w:bookmarkStart w:id="55" w:name="ref-Wadoux2020"/>
    <w:p>
      <w:pPr>
        <w:pStyle w:val="Bibliography"/>
      </w:pPr>
      <w:r>
        <w:t xml:space="preserve">2.</w:t>
      </w:r>
      <w:r>
        <w:t xml:space="preserve"> </w:t>
      </w:r>
      <w:r>
        <w:t xml:space="preserve">	</w:t>
      </w:r>
      <w:r>
        <w:t xml:space="preserve">Wadoux AMJ-C, Minasny B, McBratney AB. Machine learning for digital soil mapping: Applications, challenges and suggested solutions. Earth-Science Reviews. 2020;210: 103359. doi:</w:t>
      </w:r>
      <w:hyperlink r:id="rId54">
        <w:r>
          <w:rPr>
            <w:rStyle w:val="Hyperlink"/>
          </w:rPr>
          <w:t xml:space="preserve">10.1016/j.earscirev.2020.103359</w:t>
        </w:r>
      </w:hyperlink>
    </w:p>
    <w:bookmarkEnd w:id="55"/>
    <w:bookmarkStart w:id="57" w:name="ref-Zhang2026causal"/>
    <w:p>
      <w:pPr>
        <w:pStyle w:val="Bibliography"/>
      </w:pPr>
      <w:r>
        <w:t xml:space="preserve">3.</w:t>
      </w:r>
      <w:r>
        <w:t xml:space="preserve"> </w:t>
      </w:r>
      <w:r>
        <w:t xml:space="preserve">	</w:t>
      </w:r>
      <w:r>
        <w:t xml:space="preserve">Zhang L, Wadoux AMJ-C. Can digital soil mapping be causal? European Journal of Soil Science. 2026;77: e70284. doi:</w:t>
      </w:r>
      <w:hyperlink r:id="rId56">
        <w:r>
          <w:rPr>
            <w:rStyle w:val="Hyperlink"/>
          </w:rPr>
          <w:t xml:space="preserve">10.1111/ejss.70284</w:t>
        </w:r>
      </w:hyperlink>
    </w:p>
    <w:bookmarkEnd w:id="57"/>
    <w:bookmarkStart w:id="59" w:name="ref-Batjes2024wosis"/>
    <w:p>
      <w:pPr>
        <w:pStyle w:val="Bibliography"/>
      </w:pPr>
      <w:r>
        <w:t xml:space="preserve">4.</w:t>
      </w:r>
      <w:r>
        <w:t xml:space="preserve"> </w:t>
      </w:r>
      <w:r>
        <w:t xml:space="preserve">	</w:t>
      </w:r>
      <w:r>
        <w:t xml:space="preserve">Batjes NH, Calisto L, Sousa LM de. Providing quality-assessed and standardised soil data to support global mapping and modelling (</w:t>
      </w:r>
      <w:r>
        <w:t xml:space="preserve">WoSIS</w:t>
      </w:r>
      <w:r>
        <w:t xml:space="preserve"> </w:t>
      </w:r>
      <w:r>
        <w:t xml:space="preserve">snapshot 2023). Earth System Science Data. 2024;16: 4735–4765. doi:</w:t>
      </w:r>
      <w:hyperlink r:id="rId58">
        <w:r>
          <w:rPr>
            <w:rStyle w:val="Hyperlink"/>
          </w:rPr>
          <w:t xml:space="preserve">10.5194/essd-16-4735-2024</w:t>
        </w:r>
      </w:hyperlink>
    </w:p>
    <w:bookmarkEnd w:id="59"/>
    <w:bookmarkStart w:id="61" w:name="ref-Fick2017worldclim"/>
    <w:p>
      <w:pPr>
        <w:pStyle w:val="Bibliography"/>
      </w:pPr>
      <w:r>
        <w:t xml:space="preserve">5.</w:t>
      </w:r>
      <w:r>
        <w:t xml:space="preserve"> </w:t>
      </w:r>
      <w:r>
        <w:t xml:space="preserve">	</w:t>
      </w:r>
      <w:r>
        <w:t xml:space="preserve">Fick SE, Hijmans RJ.</w:t>
      </w:r>
      <w:r>
        <w:t xml:space="preserve"> </w:t>
      </w:r>
      <w:r>
        <w:t xml:space="preserve">WorldClim 2</w:t>
      </w:r>
      <w:r>
        <w:t xml:space="preserve">: New 1-km spatial resolution climate surfaces for global land areas. International Journal of Climatology. 2017;37: 4302–4315. doi:</w:t>
      </w:r>
      <w:hyperlink r:id="rId60">
        <w:r>
          <w:rPr>
            <w:rStyle w:val="Hyperlink"/>
          </w:rPr>
          <w:t xml:space="preserve">10.1002/joc.5086</w:t>
        </w:r>
      </w:hyperlink>
    </w:p>
    <w:bookmarkEnd w:id="61"/>
    <w:bookmarkStart w:id="63" w:name="ref-Hengl2017soilgrids"/>
    <w:p>
      <w:pPr>
        <w:pStyle w:val="Bibliography"/>
      </w:pPr>
      <w:r>
        <w:t xml:space="preserve">6.</w:t>
      </w:r>
      <w:r>
        <w:t xml:space="preserve"> </w:t>
      </w:r>
      <w:r>
        <w:t xml:space="preserve">	</w:t>
      </w:r>
      <w:r>
        <w:t xml:space="preserve">Hengl T, Mendes de Jesus J, Heuvelink GBM, Ruiperez Gonzalez M, Kilibarda M, Blagotić A, et al.</w:t>
      </w:r>
      <w:r>
        <w:t xml:space="preserve"> </w:t>
      </w:r>
      <w:r>
        <w:t xml:space="preserve">SoilGrids250m</w:t>
      </w:r>
      <w:r>
        <w:t xml:space="preserve">: Global gridded soil information based on machine learning. PLOS ONE. 2017;12: e0169748. doi:</w:t>
      </w:r>
      <w:hyperlink r:id="rId62">
        <w:r>
          <w:rPr>
            <w:rStyle w:val="Hyperlink"/>
          </w:rPr>
          <w:t xml:space="preserve">10.1371/journal.pone.0169748</w:t>
        </w:r>
      </w:hyperlink>
    </w:p>
    <w:bookmarkEnd w:id="63"/>
    <w:bookmarkStart w:id="65" w:name="ref-Bishop1999"/>
    <w:p>
      <w:pPr>
        <w:pStyle w:val="Bibliography"/>
      </w:pPr>
      <w:r>
        <w:t xml:space="preserve">7.</w:t>
      </w:r>
      <w:r>
        <w:t xml:space="preserve"> </w:t>
      </w:r>
      <w:r>
        <w:t xml:space="preserve">	</w:t>
      </w:r>
      <w:r>
        <w:t xml:space="preserve">Bishop TFA, McBratney AB, Laslett GM. Modelling soil attribute depth functions with equal-area quadratic smoothing splines. Geoderma. 1999;91: 27–45. doi:</w:t>
      </w:r>
      <w:hyperlink r:id="rId64">
        <w:r>
          <w:rPr>
            <w:rStyle w:val="Hyperlink"/>
          </w:rPr>
          <w:t xml:space="preserve">10.1016/S0016-7061(99)00003-8</w:t>
        </w:r>
      </w:hyperlink>
    </w:p>
    <w:bookmarkEnd w:id="65"/>
    <w:bookmarkStart w:id="67" w:name="ref-Malone2009"/>
    <w:p>
      <w:pPr>
        <w:pStyle w:val="Bibliography"/>
      </w:pPr>
      <w:r>
        <w:t xml:space="preserve">8.</w:t>
      </w:r>
      <w:r>
        <w:t xml:space="preserve"> </w:t>
      </w:r>
      <w:r>
        <w:t xml:space="preserve">	</w:t>
      </w:r>
      <w:r>
        <w:t xml:space="preserve">Malone BP, McBratney AB, Minasny B, Laslett GM. Mapping continuous depth functions of soil carbon using equal-area splines. Geoderma. 2009;154: 138–152. doi:</w:t>
      </w:r>
      <w:hyperlink r:id="rId66">
        <w:r>
          <w:rPr>
            <w:rStyle w:val="Hyperlink"/>
          </w:rPr>
          <w:t xml:space="preserve">10.1016/j.geoderma.2009.10.007</w:t>
        </w:r>
      </w:hyperlink>
    </w:p>
    <w:bookmarkEnd w:id="67"/>
    <w:bookmarkStart w:id="69" w:name="ref-MontielOlea2019"/>
    <w:p>
      <w:pPr>
        <w:pStyle w:val="Bibliography"/>
      </w:pPr>
      <w:r>
        <w:t xml:space="preserve">9.</w:t>
      </w:r>
      <w:r>
        <w:t xml:space="preserve"> </w:t>
      </w:r>
      <w:r>
        <w:t xml:space="preserve">	</w:t>
      </w:r>
      <w:r>
        <w:t xml:space="preserve">Montiel Olea JL, Plagborg-Møller M. Simultaneous confidence bands: Theory, implementation, and an application to</w:t>
      </w:r>
      <w:r>
        <w:t xml:space="preserve"> </w:t>
      </w:r>
      <w:r>
        <w:t xml:space="preserve">SVAR</w:t>
      </w:r>
      <w:r>
        <w:t xml:space="preserve">s. Journal of Applied Econometrics. 2019;34: 1–17. doi:</w:t>
      </w:r>
      <w:hyperlink r:id="rId68">
        <w:r>
          <w:rPr>
            <w:rStyle w:val="Hyperlink"/>
          </w:rPr>
          <w:t xml:space="preserve">10.1002/jae.2656</w:t>
        </w:r>
      </w:hyperlink>
    </w:p>
    <w:bookmarkEnd w:id="69"/>
    <w:bookmarkStart w:id="71" w:name="ref-Gneiting2007"/>
    <w:p>
      <w:pPr>
        <w:pStyle w:val="Bibliography"/>
      </w:pPr>
      <w:r>
        <w:t xml:space="preserve">10.</w:t>
      </w:r>
      <w:r>
        <w:t xml:space="preserve"> </w:t>
      </w:r>
      <w:r>
        <w:t xml:space="preserve">	</w:t>
      </w:r>
      <w:r>
        <w:t xml:space="preserve">Gneiting T, Raftery AE. Strictly proper scoring rules, prediction, and estimation. Journal of the American Statistical Association. 2007;102: 359–378. doi:</w:t>
      </w:r>
      <w:hyperlink r:id="rId70">
        <w:r>
          <w:rPr>
            <w:rStyle w:val="Hyperlink"/>
          </w:rPr>
          <w:t xml:space="preserve">10.1198/016214506000001437</w:t>
        </w:r>
      </w:hyperlink>
    </w:p>
    <w:bookmarkEnd w:id="71"/>
    <w:bookmarkStart w:id="73" w:name="ref-Minasny2016"/>
    <w:p>
      <w:pPr>
        <w:pStyle w:val="Bibliography"/>
      </w:pPr>
      <w:r>
        <w:t xml:space="preserve">11.</w:t>
      </w:r>
      <w:r>
        <w:t xml:space="preserve"> </w:t>
      </w:r>
      <w:r>
        <w:t xml:space="preserve">	</w:t>
      </w:r>
      <w:r>
        <w:t xml:space="preserve">Minasny B, McBratney AB. Digital soil mapping: A brief history and some lessons learned. Geoderma. 2016;264: 301–311. doi:</w:t>
      </w:r>
      <w:hyperlink r:id="rId72">
        <w:r>
          <w:rPr>
            <w:rStyle w:val="Hyperlink"/>
          </w:rPr>
          <w:t xml:space="preserve">10.1016/j.geoderma.2015.07.017</w:t>
        </w:r>
      </w:hyperlink>
    </w:p>
    <w:bookmarkEnd w:id="73"/>
    <w:bookmarkStart w:id="75" w:name="ref-Elzein1995"/>
    <w:p>
      <w:pPr>
        <w:pStyle w:val="Bibliography"/>
      </w:pPr>
      <w:r>
        <w:t xml:space="preserve">12.</w:t>
      </w:r>
      <w:r>
        <w:t xml:space="preserve"> </w:t>
      </w:r>
      <w:r>
        <w:t xml:space="preserve">	</w:t>
      </w:r>
      <w:r>
        <w:t xml:space="preserve">Elzein A, Balesdent J. Mechanistic simulation of vertical distribution of carbon concentrations and residence times in soils. Soil Science Society of America Journal. 1995;59: 1328–1335. doi:</w:t>
      </w:r>
      <w:hyperlink r:id="rId74">
        <w:r>
          <w:rPr>
            <w:rStyle w:val="Hyperlink"/>
          </w:rPr>
          <w:t xml:space="preserve">10.2136/sssaj1995.03615995005900050019x</w:t>
        </w:r>
      </w:hyperlink>
    </w:p>
    <w:bookmarkEnd w:id="75"/>
    <w:bookmarkStart w:id="77" w:name="ref-Braakhekke2011"/>
    <w:p>
      <w:pPr>
        <w:pStyle w:val="Bibliography"/>
      </w:pPr>
      <w:r>
        <w:t xml:space="preserve">13.</w:t>
      </w:r>
      <w:r>
        <w:t xml:space="preserve"> </w:t>
      </w:r>
      <w:r>
        <w:t xml:space="preserve">	</w:t>
      </w:r>
      <w:r>
        <w:t xml:space="preserve">Braakhekke MC, Beer C, Hoosbeek MR, Reichstein M, Kruijt B, Schrumpf M, et al.</w:t>
      </w:r>
      <w:r>
        <w:t xml:space="preserve"> </w:t>
      </w:r>
      <w:r>
        <w:t xml:space="preserve">SOMPROF</w:t>
      </w:r>
      <w:r>
        <w:t xml:space="preserve">: A vertically explicit soil organic matter model. Ecological Modelling. 2011;222: 1712–1730. doi:</w:t>
      </w:r>
      <w:hyperlink r:id="rId76">
        <w:r>
          <w:rPr>
            <w:rStyle w:val="Hyperlink"/>
          </w:rPr>
          <w:t xml:space="preserve">10.1016/j.ecolmodel.2011.02.015</w:t>
        </w:r>
      </w:hyperlink>
    </w:p>
    <w:bookmarkEnd w:id="77"/>
    <w:bookmarkStart w:id="79" w:name="ref-Gale1987"/>
    <w:p>
      <w:pPr>
        <w:pStyle w:val="Bibliography"/>
      </w:pPr>
      <w:r>
        <w:t xml:space="preserve">14.</w:t>
      </w:r>
      <w:r>
        <w:t xml:space="preserve"> </w:t>
      </w:r>
      <w:r>
        <w:t xml:space="preserve">	</w:t>
      </w:r>
      <w:r>
        <w:t xml:space="preserve">Gale MR, Grigal DF. Vertical root distributions of northern tree species in relation to successional status. Canadian Journal of Forest Research. 1987;17: 829–834. doi:</w:t>
      </w:r>
      <w:hyperlink r:id="rId78">
        <w:r>
          <w:rPr>
            <w:rStyle w:val="Hyperlink"/>
          </w:rPr>
          <w:t xml:space="preserve">10.1139/x87-131</w:t>
        </w:r>
      </w:hyperlink>
    </w:p>
    <w:bookmarkEnd w:id="79"/>
    <w:bookmarkStart w:id="81" w:name="ref-Jackson1996"/>
    <w:p>
      <w:pPr>
        <w:pStyle w:val="Bibliography"/>
      </w:pPr>
      <w:r>
        <w:t xml:space="preserve">15.</w:t>
      </w:r>
      <w:r>
        <w:t xml:space="preserve"> </w:t>
      </w:r>
      <w:r>
        <w:t xml:space="preserve">	</w:t>
      </w:r>
      <w:r>
        <w:t xml:space="preserve">Jackson RB, Canadell J, Ehleringer JR, Mooney HA, Sala OE, Schulze ED. A global analysis of root distributions for terrestrial biomes. Oecologia. 1996;108: 389–411. doi:</w:t>
      </w:r>
      <w:hyperlink r:id="rId80">
        <w:r>
          <w:rPr>
            <w:rStyle w:val="Hyperlink"/>
          </w:rPr>
          <w:t xml:space="preserve">10.1007/BF00333714</w:t>
        </w:r>
      </w:hyperlink>
    </w:p>
    <w:bookmarkEnd w:id="81"/>
    <w:bookmarkStart w:id="83" w:name="ref-Cambardella1994"/>
    <w:p>
      <w:pPr>
        <w:pStyle w:val="Bibliography"/>
      </w:pPr>
      <w:r>
        <w:t xml:space="preserve">16.</w:t>
      </w:r>
      <w:r>
        <w:t xml:space="preserve"> </w:t>
      </w:r>
      <w:r>
        <w:t xml:space="preserve">	</w:t>
      </w:r>
      <w:r>
        <w:t xml:space="preserve">Cambardella CA, Moorman TB, Novak JM, Parkin TB, Karlen DL, Turco RF, et al. Field-scale variability of soil properties in central iowa soils. Soil Science Society of America Journal. 1994;58: 1501–1511. doi:</w:t>
      </w:r>
      <w:hyperlink r:id="rId82">
        <w:r>
          <w:rPr>
            <w:rStyle w:val="Hyperlink"/>
          </w:rPr>
          <w:t xml:space="preserve">10.2136/sssaj1994.03615995005800050033x</w:t>
        </w:r>
      </w:hyperlink>
    </w:p>
    <w:bookmarkEnd w:id="83"/>
    <w:bookmarkStart w:id="85" w:name="ref-Hassink1997"/>
    <w:p>
      <w:pPr>
        <w:pStyle w:val="Bibliography"/>
      </w:pPr>
      <w:r>
        <w:t xml:space="preserve">17.</w:t>
      </w:r>
      <w:r>
        <w:t xml:space="preserve"> </w:t>
      </w:r>
      <w:r>
        <w:t xml:space="preserve">	</w:t>
      </w:r>
      <w:r>
        <w:t xml:space="preserve">Hassink J. The capacity of soils to preserve organic c and n by their association with clay and silt particles. Plant and Soil. 1997;191: 77–87. doi:</w:t>
      </w:r>
      <w:hyperlink r:id="rId84">
        <w:r>
          <w:rPr>
            <w:rStyle w:val="Hyperlink"/>
          </w:rPr>
          <w:t xml:space="preserve">10.1023/A:1004213929699</w:t>
        </w:r>
      </w:hyperlink>
    </w:p>
    <w:bookmarkEnd w:id="85"/>
    <w:bookmarkStart w:id="87" w:name="ref-Jobbagy2000"/>
    <w:p>
      <w:pPr>
        <w:pStyle w:val="Bibliography"/>
      </w:pPr>
      <w:r>
        <w:t xml:space="preserve">18.</w:t>
      </w:r>
      <w:r>
        <w:t xml:space="preserve"> </w:t>
      </w:r>
      <w:r>
        <w:t xml:space="preserve">	</w:t>
      </w:r>
      <w:r>
        <w:t xml:space="preserve">Jobbágy EG, Jackson RB. The vertical distribution of soil organic carbon and its relation to climate and vegetation. Ecological Applications. 2000;10: 423–436. doi:</w:t>
      </w:r>
      <w:hyperlink r:id="rId86">
        <w:r>
          <w:rPr>
            <w:rStyle w:val="Hyperlink"/>
          </w:rPr>
          <w:t xml:space="preserve">10.1890/1051-0761(2000)010[0423:TVDOSO]2.0.CO;2</w:t>
        </w:r>
      </w:hyperlink>
    </w:p>
    <w:bookmarkEnd w:id="87"/>
    <w:bookmarkStart w:id="89" w:name="ref-Roberts2017"/>
    <w:p>
      <w:pPr>
        <w:pStyle w:val="Bibliography"/>
      </w:pPr>
      <w:r>
        <w:t xml:space="preserve">19.</w:t>
      </w:r>
      <w:r>
        <w:t xml:space="preserve"> </w:t>
      </w:r>
      <w:r>
        <w:t xml:space="preserve">	</w:t>
      </w:r>
      <w:r>
        <w:t xml:space="preserve">Roberts DR, Bahn V, Ciuti S, Boyce MS, Elith J, Guillera-Arroita G, et al. Cross-validation strategies for data with temporal, spatial, hierarchical, or phylogenetic structure. Ecography. 2017;40: 913–929. doi:</w:t>
      </w:r>
      <w:hyperlink r:id="rId88">
        <w:r>
          <w:rPr>
            <w:rStyle w:val="Hyperlink"/>
          </w:rPr>
          <w:t xml:space="preserve">10.1111/ecog.02881</w:t>
        </w:r>
      </w:hyperlink>
    </w:p>
    <w:bookmarkEnd w:id="89"/>
    <w:bookmarkStart w:id="91" w:name="ref-CinelliHazlett2020"/>
    <w:p>
      <w:pPr>
        <w:pStyle w:val="Bibliography"/>
      </w:pPr>
      <w:r>
        <w:t xml:space="preserve">20.</w:t>
      </w:r>
      <w:r>
        <w:t xml:space="preserve"> </w:t>
      </w:r>
      <w:r>
        <w:t xml:space="preserve">	</w:t>
      </w:r>
      <w:r>
        <w:t xml:space="preserve">Cinelli C, Hazlett C. Making sense of sensitivity: Extending omitted variable bias. Journal of the Royal Statistical Society: Series B. 2020;82: 39–67. doi:</w:t>
      </w:r>
      <w:hyperlink r:id="rId90">
        <w:r>
          <w:rPr>
            <w:rStyle w:val="Hyperlink"/>
          </w:rPr>
          <w:t xml:space="preserve">10.1111/rssb.12348</w:t>
        </w:r>
      </w:hyperlink>
    </w:p>
    <w:bookmarkEnd w:id="91"/>
    <w:bookmarkEnd w:id="92"/>
    <w:sectPr>
      <w:footnotePr>
        <w:numRestart w:val="eachSect"/>
      </w:footnotePr>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imes New Roman" w:cstheme="minorBidi" w:eastAsiaTheme="minorEastAsia" w:hAnsi="Times New Roman" w:hAnsiTheme="minorHAnsi"/>
        <w:sz w:val="24"/>
        <w:szCs w:val="24"/>
        <w:lang w:bidi="ar-SA" w:eastAsia="zh-CN" w:val="en-US"/>
      </w:rPr>
    </w:rPrDefault>
    <w:pPrDefault>
      <w:pPr>
        <w:spacing w:after="200" w:line="480" w:lineRule="auto"/>
      </w:pPr>
    </w:pPrDefault>
  </w:docDefaults>
  <w:latentStyles w:count="276" w:defLockedState="0" w:defQFormat="0" w:defSemiHidden="0" w:defUIPriority="0" w:defUnhideWhenUsed="0"/>
  <w:style w:default="1" w:styleId="Normal" w:type="paragraph">
    <w:name w:val="Normal"/>
    <w:qFormat/>
    <w:rPr>
      <w:rFonts w:ascii="Times New Roman" w:cs="Times New Roman" w:hAnsi="Times New Roman"/>
      <w:sz w:val="24"/>
      <w:szCs w:val="24"/>
    </w:rPr>
    <w:pPr>
      <w:spacing w:after="0" w:line="480" w:lineRule="auto"/>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imes New Roman" w:asciiTheme="majorHAnsi" w:cs="Times New Roman" w:cstheme="majorBidi" w:eastAsiaTheme="majorEastAsia" w:hAnsi="Times New Roman" w:hAnsiTheme="majorHAnsi"/>
      <w:sz w:val="36"/>
      <w:szCs w:val="36"/>
      <w:b w:val="true"/>
      <w:bCs w:val="true"/>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outlineLvl w:val="1"/>
    </w:pPr>
    <w:rPr>
      <w:rFonts w:ascii="Times New Roman" w:asciiTheme="majorHAnsi" w:cs="Times New Roman" w:cstheme="majorBidi" w:eastAsiaTheme="majorEastAsia" w:hAnsi="Times New Roman" w:hAnsiTheme="majorHAnsi"/>
      <w:sz w:val="32"/>
      <w:szCs w:val="32"/>
      <w:b w:val="true"/>
      <w:bCs w:val="true"/>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outlineLvl w:val="2"/>
    </w:pPr>
    <w:rPr>
      <w:rFonts w:ascii="Times New Roman" w:cs="Times New Roman" w:cstheme="majorBidi" w:eastAsiaTheme="majorEastAsia" w:hAnsi="Times New Roman"/>
      <w:sz w:val="28"/>
      <w:szCs w:val="28"/>
      <w:b w:val="true"/>
      <w:bCs w:val="true"/>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outlineLvl w:val="3"/>
    </w:pPr>
    <w:rPr>
      <w:rFonts w:ascii="Times New Roman" w:cs="Times New Roman" w:cstheme="majorBidi" w:eastAsiaTheme="majorEastAsia" w:hAnsi="Times New Roman"/>
      <w:b w:val="true"/>
      <w:bCs w:val="true"/>
      <w:sz w:val="24"/>
      <w:szCs w:val="24"/>
    </w:rPr>
  </w:style>
  <w:style w:styleId="Heading5" w:type="paragraph">
    <w:name w:val="heading 5"/>
    <w:basedOn w:val="Normal"/>
    <w:next w:val="BodyText"/>
    <w:link w:val="Heading5Char"/>
    <w:uiPriority w:val="9"/>
    <w:semiHidden/>
    <w:unhideWhenUsed/>
    <w:qFormat/>
    <w:rsid w:val="00A10FD9"/>
    <w:pPr>
      <w:keepNext/>
      <w:keepLines/>
      <w:spacing w:after="120" w:before="240" w:line="480" w:lineRule="auto"/>
      <w:outlineLvl w:val="4"/>
    </w:pPr>
    <w:rPr>
      <w:rFonts w:ascii="Times New Roman" w:cs="Times New Roman" w:cstheme="majorBidi" w:eastAsiaTheme="majorEastAsia" w:hAnsi="Times New Roman"/>
      <w:b w:val="true"/>
      <w:bCs w:val="true"/>
      <w:sz w:val="24"/>
      <w:szCs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hyperlink" Id="rId68" Target="https://doi.org/10.1002/jae.2656" TargetMode="External" /><Relationship Type="http://schemas.openxmlformats.org/officeDocument/2006/relationships/hyperlink" Id="rId60" Target="https://doi.org/10.1002/joc.5086" TargetMode="External" /><Relationship Type="http://schemas.openxmlformats.org/officeDocument/2006/relationships/hyperlink" Id="rId80" Target="https://doi.org/10.1007/BF00333714" TargetMode="External" /><Relationship Type="http://schemas.openxmlformats.org/officeDocument/2006/relationships/hyperlink" Id="rId52" Target="https://doi.org/10.1016/S0016-7061(03)00223-4" TargetMode="External" /><Relationship Type="http://schemas.openxmlformats.org/officeDocument/2006/relationships/hyperlink" Id="rId64" Target="https://doi.org/10.1016/S0016-7061(99)00003-8" TargetMode="External" /><Relationship Type="http://schemas.openxmlformats.org/officeDocument/2006/relationships/hyperlink" Id="rId54" Target="https://doi.org/10.1016/j.earscirev.2020.103359" TargetMode="External" /><Relationship Type="http://schemas.openxmlformats.org/officeDocument/2006/relationships/hyperlink" Id="rId76" Target="https://doi.org/10.1016/j.ecolmodel.2011.02.015" TargetMode="External" /><Relationship Type="http://schemas.openxmlformats.org/officeDocument/2006/relationships/hyperlink" Id="rId66" Target="https://doi.org/10.1016/j.geoderma.2009.10.007" TargetMode="External" /><Relationship Type="http://schemas.openxmlformats.org/officeDocument/2006/relationships/hyperlink" Id="rId72" Target="https://doi.org/10.1016/j.geoderma.2015.07.017" TargetMode="External" /><Relationship Type="http://schemas.openxmlformats.org/officeDocument/2006/relationships/hyperlink" Id="rId84" Target="https://doi.org/10.1023/A:1004213929699" TargetMode="External" /><Relationship Type="http://schemas.openxmlformats.org/officeDocument/2006/relationships/hyperlink" Id="rId88" Target="https://doi.org/10.1111/ecog.02881" TargetMode="External" /><Relationship Type="http://schemas.openxmlformats.org/officeDocument/2006/relationships/hyperlink" Id="rId56" Target="https://doi.org/10.1111/ejss.70284" TargetMode="External" /><Relationship Type="http://schemas.openxmlformats.org/officeDocument/2006/relationships/hyperlink" Id="rId90" Target="https://doi.org/10.1111/rssb.12348" TargetMode="External" /><Relationship Type="http://schemas.openxmlformats.org/officeDocument/2006/relationships/hyperlink" Id="rId78" Target="https://doi.org/10.1139/x87-131" TargetMode="External" /><Relationship Type="http://schemas.openxmlformats.org/officeDocument/2006/relationships/hyperlink" Id="rId70" Target="https://doi.org/10.1198/016214506000001437" TargetMode="External" /><Relationship Type="http://schemas.openxmlformats.org/officeDocument/2006/relationships/hyperlink" Id="rId62" Target="https://doi.org/10.1371/journal.pone.0169748" TargetMode="External" /><Relationship Type="http://schemas.openxmlformats.org/officeDocument/2006/relationships/hyperlink" Id="rId86" Target="https://doi.org/10.1890/1051-0761(2000)010[0423:TVDOSO]2.0.CO;2" TargetMode="External" /><Relationship Type="http://schemas.openxmlformats.org/officeDocument/2006/relationships/hyperlink" Id="rId82" Target="https://doi.org/10.2136/sssaj1994.03615995005800050033x" TargetMode="External" /><Relationship Type="http://schemas.openxmlformats.org/officeDocument/2006/relationships/hyperlink" Id="rId74" Target="https://doi.org/10.2136/sssaj1995.03615995005900050019x" TargetMode="External" /><Relationship Type="http://schemas.openxmlformats.org/officeDocument/2006/relationships/hyperlink" Id="rId58" Target="https://doi.org/10.5194/essd-16-4735-2024" TargetMode="External" /><Relationship Type="http://schemas.openxmlformats.org/officeDocument/2006/relationships/hyperlink" Id="rId9" Target="mailto:rodrigues.machado.hugo@gmail.com" TargetMode="External" /></Relationships>
</file>

<file path=word/_rels/footnotes.xml.rels><?xml version="1.0" encoding="UTF-8"?><Relationships xmlns="http://schemas.openxmlformats.org/package/2006/relationships"><Relationship Type="http://schemas.openxmlformats.org/officeDocument/2006/relationships/hyperlink" Id="rId68" Target="https://doi.org/10.1002/jae.2656" TargetMode="External" /><Relationship Type="http://schemas.openxmlformats.org/officeDocument/2006/relationships/hyperlink" Id="rId60" Target="https://doi.org/10.1002/joc.5086" TargetMode="External" /><Relationship Type="http://schemas.openxmlformats.org/officeDocument/2006/relationships/hyperlink" Id="rId80" Target="https://doi.org/10.1007/BF00333714" TargetMode="External" /><Relationship Type="http://schemas.openxmlformats.org/officeDocument/2006/relationships/hyperlink" Id="rId52" Target="https://doi.org/10.1016/S0016-7061(03)00223-4" TargetMode="External" /><Relationship Type="http://schemas.openxmlformats.org/officeDocument/2006/relationships/hyperlink" Id="rId64" Target="https://doi.org/10.1016/S0016-7061(99)00003-8" TargetMode="External" /><Relationship Type="http://schemas.openxmlformats.org/officeDocument/2006/relationships/hyperlink" Id="rId54" Target="https://doi.org/10.1016/j.earscirev.2020.103359" TargetMode="External" /><Relationship Type="http://schemas.openxmlformats.org/officeDocument/2006/relationships/hyperlink" Id="rId76" Target="https://doi.org/10.1016/j.ecolmodel.2011.02.015" TargetMode="External" /><Relationship Type="http://schemas.openxmlformats.org/officeDocument/2006/relationships/hyperlink" Id="rId66" Target="https://doi.org/10.1016/j.geoderma.2009.10.007" TargetMode="External" /><Relationship Type="http://schemas.openxmlformats.org/officeDocument/2006/relationships/hyperlink" Id="rId72" Target="https://doi.org/10.1016/j.geoderma.2015.07.017" TargetMode="External" /><Relationship Type="http://schemas.openxmlformats.org/officeDocument/2006/relationships/hyperlink" Id="rId84" Target="https://doi.org/10.1023/A:1004213929699" TargetMode="External" /><Relationship Type="http://schemas.openxmlformats.org/officeDocument/2006/relationships/hyperlink" Id="rId88" Target="https://doi.org/10.1111/ecog.02881" TargetMode="External" /><Relationship Type="http://schemas.openxmlformats.org/officeDocument/2006/relationships/hyperlink" Id="rId56" Target="https://doi.org/10.1111/ejss.70284" TargetMode="External" /><Relationship Type="http://schemas.openxmlformats.org/officeDocument/2006/relationships/hyperlink" Id="rId90" Target="https://doi.org/10.1111/rssb.12348" TargetMode="External" /><Relationship Type="http://schemas.openxmlformats.org/officeDocument/2006/relationships/hyperlink" Id="rId78" Target="https://doi.org/10.1139/x87-131" TargetMode="External" /><Relationship Type="http://schemas.openxmlformats.org/officeDocument/2006/relationships/hyperlink" Id="rId70" Target="https://doi.org/10.1198/016214506000001437" TargetMode="External" /><Relationship Type="http://schemas.openxmlformats.org/officeDocument/2006/relationships/hyperlink" Id="rId62" Target="https://doi.org/10.1371/journal.pone.0169748" TargetMode="External" /><Relationship Type="http://schemas.openxmlformats.org/officeDocument/2006/relationships/hyperlink" Id="rId86" Target="https://doi.org/10.1890/1051-0761(2000)010[0423:TVDOSO]2.0.CO;2" TargetMode="External" /><Relationship Type="http://schemas.openxmlformats.org/officeDocument/2006/relationships/hyperlink" Id="rId82" Target="https://doi.org/10.2136/sssaj1994.03615995005800050033x" TargetMode="External" /><Relationship Type="http://schemas.openxmlformats.org/officeDocument/2006/relationships/hyperlink" Id="rId74" Target="https://doi.org/10.2136/sssaj1995.03615995005900050019x" TargetMode="External" /><Relationship Type="http://schemas.openxmlformats.org/officeDocument/2006/relationships/hyperlink" Id="rId58" Target="https://doi.org/10.5194/essd-16-4735-2024" TargetMode="External" /><Relationship Type="http://schemas.openxmlformats.org/officeDocument/2006/relationships/hyperlink" Id="rId9" Target="mailto:rodrigues.machado.hugo@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edaphos: a reproducible R framework for frontier digital soil mapping methods with unified uncertainty calibration</dc:title>
  <dc:creator/>
  <cp:keywords/>
  <dcterms:created xsi:type="dcterms:W3CDTF">2026-08-12T15:55:31Z</dcterms:created>
  <dcterms:modified xsi:type="dcterms:W3CDTF">2026-08-12T15:55:31Z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plos.csl</vt:lpwstr>
  </property>
  <property fmtid="{D5CDD505-2E9C-101B-9397-08002B2CF9AE}" pid="4" name="link-citations">
    <vt:lpwstr>False</vt:lpwstr>
  </property>
  <property fmtid="{D5CDD505-2E9C-101B-9397-08002B2CF9AE}" pid="5" name="output">
    <vt:lpwstr/>
  </property>
</Properties>
</file>