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13.png" ContentType="image/png"/>
  <Override PartName="/word/media/rId16.png" ContentType="image/png"/>
  <Override PartName="/word/media/rId19.png" ContentType="image/png"/>
  <Override PartName="/word/media/rId22.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Four results follow. First, a mechanistic depth model helps on the typical profile and fails without warning on a small minority, and no scope statement available at fit time separates the two: over 1,105 real multi-horizon profiles the pedogenetic equation dy/dz = −λ₀e^(−μz)(y − y∞) predicts a held-out deepest horizon with a median absolute error of 0.76 g/kg and beats every baseline tested on paired comparison, while ten profiles carrying buried organic horizons — 1.1% of the set — account for 99% of its squared error, and the size of that failure correlates with nothing measurable in the horizons above it (|r| &lt; 0.03). We also show that the equation’s own solution does not converge to y∞ — the attainable deep value is y∞ + (y₀ − y∞)e^(−λ₀/μ), which the data identify while y∞ itself is unidentified and reaches into negative carbon — that a Gaussian likelihood on g/kg is the wrong observation model for a positive skewed concentration and costs real predictive accuracy, since replacing it wins on 720 of 1,105 profiles; and that an alternative derived from a steady-state carbon balance, in which the depth-dependence sits in the asymptote rather than in the rate, is mechanistically defensible at no cost in accuracy, the two being statistically indistinguishable once both are correctly specified. Second, the benchmark is deflationary: an ordinary-least-squares model restricted to a covariate set selected by an explicit pedogenetic directed acyclic graph is the most accurate and among the best calibrated of the six methods, and none of the five more elaborate methods beats it; two of them fall below the achievable null of the training-fold mean. That comparison is made on spatially blocked folds carrying a 68 km buffer, set from the longest identified variogram range in these data (69 km on the current fits); removing the buffer improves every method slightly and the graph attention network most, as a method built on a spatial neighbour graph should be, but it does not change the ranking. We further show that a pooled coverage rate hides where an interval is wrong: over held-out profiles lying 68 to 870 km from the nearest training profile, the geostatistical model’s interval width tracks that distance (Spearman 0.80, and 0.78 after removing covariate-space distance) while the graph network’s does not (-0.05, and -0.08 partial) even though its error does (0.11, p = 0.0004) – so the only method whose predictive variance is a function of where the prediction is being made is the only one that widens where it should. Third, backdoor adjustment yields robust associations with explicit sensitivity bounds rather than identified causal effects, and adjustment collapses an apparent tree-cover association to near zero, demonstrating confounding directly; we also report that in these data the exposure postdates the outcome by a median of 38 years, which forecloses a causal reading on temporal grounds alone and which no adjustment set can repair. Fourth,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A note on one word, because this paper uses it in two unrelated senses and they sit close together.</w:t>
      </w:r>
      <w:r>
        <w:t xml:space="preserve"> </w:t>
      </w:r>
      <w:r>
        <w:rPr>
          <w:i/>
          <w:iCs/>
        </w:rPr>
        <w:t xml:space="preserve">Generative</w:t>
      </w:r>
      <w:r>
        <w:t xml:space="preserve"> </w:t>
      </w:r>
      <w:r>
        <w:t xml:space="preserve">in the causal sense above means that the mechanism producing the soil property is written down explicitly, so the model asserts how the world works; that is what Pillar 2’s differential equation attempts.</w:t>
      </w:r>
      <w:r>
        <w:t xml:space="preserve"> </w:t>
      </w:r>
      <w:r>
        <w:rPr>
          <w:i/>
          <w:iCs/>
        </w:rPr>
        <w:t xml:space="preserve">Generative</w:t>
      </w:r>
      <w:r>
        <w:t xml:space="preserve"> </w:t>
      </w:r>
      <w:r>
        <w:t xml:space="preserve">in the machine-learning sense means a model of the joint distribution from which whole realisations can be drawn; that is what Pillar 9’s denoising diffusion model does. The second does not imply the first. A diffusion model can reproduce the spatial statistics of a soil map perfectly while encoding no process at all, and nothing in this paper should be read as claiming that Pillar 9 supports causal inference. Where the distinction matters below we say</w:t>
      </w:r>
      <w:r>
        <w:t xml:space="preserve"> </w:t>
      </w:r>
      <w:r>
        <w:rPr>
          <w:i/>
          <w:iCs/>
        </w:rPr>
        <w:t xml:space="preserve">generative-mechanistic</w:t>
      </w:r>
      <w:r>
        <w:t xml:space="preserve"> </w:t>
      </w:r>
      <w:r>
        <w:t xml:space="preserve">or</w:t>
      </w:r>
      <w:r>
        <w:t xml:space="preserve"> </w:t>
      </w:r>
      <w:r>
        <w:rPr>
          <w:i/>
          <w:iCs/>
        </w:rPr>
        <w:t xml:space="preserve">generative-probabilistic</w:t>
      </w:r>
      <w:r>
        <w:t xml:space="preserv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otherwise incompatible method families — quantile forests, Gibbs samplers, bootstrap ensembles, kernel ridge, contrastive encoders — to a common currency, so that accuracy, coverage and proper scores are comparable across them. Seven of the ten pillars carry a coercion into that class. Three do not, and we say which and why rather than implying completeness: the neural-operator and diffusion pillars return field-valued objects for which a per-site scalar posterior is the wrong shape, and the graph attention network exposes only the spread between ensemble members that differ in their random seed, which is initialisation variance rather than a predictive distribution. Coercing the last of these would make a coverage number computable without making it meaningful, and the benchmark instead constructs its interval explicitly and reports how it was built.</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p>
      <w:pPr>
        <w:pStyle w:val="Heading1"/>
      </w:pPr>
      <w:r>
        <w:t xml:space="preserve">Materials and methods</w:t>
      </w:r>
    </w:p>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The study area and the data are shown in Fig 1.</w:t>
      </w:r>
    </w:p>
    <w:p>
      <w:pPr>
        <w:pStyle w:val="BodyText"/>
      </w:pPr>
      <w:r>
        <w:drawing>
          <wp:inline>
            <wp:extent cx="5334000" cy="4638260"/>
            <wp:effectExtent b="0" l="0" r="0" t="0"/>
            <wp:docPr descr="" title="" id="11" name="Picture"/>
            <a:graphic>
              <a:graphicData uri="http://schemas.openxmlformats.org/drawingml/2006/picture">
                <pic:pic>
                  <pic:nvPicPr>
                    <pic:cNvPr descr="plos-manuscript_files/figures/Fig1.png" id="12" name="Picture"/>
                    <pic:cNvPicPr>
                      <a:picLocks noChangeArrowheads="1" noChangeAspect="1"/>
                    </pic:cNvPicPr>
                  </pic:nvPicPr>
                  <pic:blipFill>
                    <a:blip r:embed="rId10"/>
                    <a:stretch>
                      <a:fillRect/>
                    </a:stretch>
                  </pic:blipFill>
                  <pic:spPr bwMode="auto">
                    <a:xfrm>
                      <a:off x="0" y="0"/>
                      <a:ext cx="5334000" cy="4638260"/>
                    </a:xfrm>
                    <a:prstGeom prst="rect">
                      <a:avLst/>
                    </a:prstGeom>
                    <a:noFill/>
                    <a:ln w="9525">
                      <a:noFill/>
                      <a:headEnd/>
                      <a:tailEnd/>
                    </a:ln>
                  </pic:spPr>
                </pic:pic>
              </a:graphicData>
            </a:graphic>
          </wp:inline>
        </w:drawing>
      </w:r>
    </w:p>
    <w:p>
      <w:pPr>
        <w:pStyle w:val="BodyText"/>
      </w:pPr>
      <w:r>
        <w:rPr>
          <w:b/>
          <w:bCs/>
        </w:rPr>
        <w:t xml:space="preserve">Fig 1. Study area, response and covariates.</w:t>
      </w:r>
      <w:r>
        <w:t xml:space="preserve"> </w:t>
      </w:r>
      <w:r>
        <w:t xml:space="preserve">(A) The Cerrado biome (shaded) within Brazil, with the WoSIS topsoil profiles used in the causal analysis coloured by organic carbon on a square-root scale. (B) The response is strongly right-skewed, which is why the benchmark models a log transform. (C) Marginal distributions of the four covariates that appear in the causal analysis, extracted at the profile locations.</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Seven of the ten can be coerced to the common predictive-posterior class; Pillars 8, 9 and 10 have no such method, which is why they are absent from the calibration comparison rather than scoring badly in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attainable deep value, 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r>
              <w:t xml:space="preserve"> </w:t>
            </w:r>
            <w:r>
              <w:rPr>
                <w:i/>
                <w:iCs/>
              </w:rPr>
              <w:t xml:space="preserve">Demonstrated on a vegetation-index cube; no repeated soil series exists here</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br/>
      </w:r>
      <w:r>
        <w:rPr>
          <w:rStyle w:val="CommentTok"/>
        </w:rPr>
        <w:t xml:space="preserve"># The bundle stores short column names; the graph names its nodes after the</w:t>
      </w:r>
      <w:r>
        <w:br/>
      </w:r>
      <w:r>
        <w:rPr>
          <w:rStyle w:val="CommentTok"/>
        </w:rPr>
        <w:t xml:space="preserve"># source products, so the two are joined explicitly rather than by position.</w:t>
      </w:r>
      <w:r>
        <w:br/>
      </w:r>
      <w:r>
        <w:rPr>
          <w:rStyle w:val="NormalTok"/>
        </w:rPr>
        <w:t xml:space="preserve">d</w:t>
      </w:r>
      <w:r>
        <w:rPr>
          <w:rStyle w:val="SpecialCharTok"/>
        </w:rPr>
        <w:t xml:space="preserve">$</w:t>
      </w:r>
      <w:r>
        <w:rPr>
          <w:rStyle w:val="NormalTok"/>
        </w:rPr>
        <w:t xml:space="preserve">soc_topsoil_gkg   </w:t>
      </w:r>
      <w:r>
        <w:rPr>
          <w:rStyle w:val="OtherTok"/>
        </w:rPr>
        <w:t xml:space="preserve">&lt;-</w:t>
      </w:r>
      <w:r>
        <w:rPr>
          <w:rStyle w:val="NormalTok"/>
        </w:rPr>
        <w:t xml:space="preserve"> d</w:t>
      </w:r>
      <w:r>
        <w:rPr>
          <w:rStyle w:val="SpecialCharTok"/>
        </w:rPr>
        <w:t xml:space="preserve">$</w:t>
      </w:r>
      <w:r>
        <w:rPr>
          <w:rStyle w:val="NormalTok"/>
        </w:rPr>
        <w:t xml:space="preserve">soc</w:t>
      </w:r>
      <w:r>
        <w:br/>
      </w:r>
      <w:r>
        <w:rPr>
          <w:rStyle w:val="NormalTok"/>
        </w:rPr>
        <w:t xml:space="preserve">d</w:t>
      </w:r>
      <w:r>
        <w:rPr>
          <w:rStyle w:val="SpecialCharTok"/>
        </w:rPr>
        <w:t xml:space="preserve">$</w:t>
      </w:r>
      <w:r>
        <w:rPr>
          <w:rStyle w:val="NormalTok"/>
        </w:rPr>
        <w:t xml:space="preserve">wc_bio_01         </w:t>
      </w:r>
      <w:r>
        <w:rPr>
          <w:rStyle w:val="OtherTok"/>
        </w:rPr>
        <w:t xml:space="preserve">&lt;-</w:t>
      </w:r>
      <w:r>
        <w:rPr>
          <w:rStyle w:val="NormalTok"/>
        </w:rPr>
        <w:t xml:space="preserve"> d</w:t>
      </w:r>
      <w:r>
        <w:rPr>
          <w:rStyle w:val="SpecialCharTok"/>
        </w:rPr>
        <w:t xml:space="preserve">$</w:t>
      </w:r>
      <w:r>
        <w:rPr>
          <w:rStyle w:val="NormalTok"/>
        </w:rPr>
        <w:t xml:space="preserve">mat</w:t>
      </w:r>
      <w:r>
        <w:br/>
      </w:r>
      <w:r>
        <w:rPr>
          <w:rStyle w:val="NormalTok"/>
        </w:rPr>
        <w:t xml:space="preserve">d</w:t>
      </w:r>
      <w:r>
        <w:rPr>
          <w:rStyle w:val="SpecialCharTok"/>
        </w:rPr>
        <w:t xml:space="preserve">$</w:t>
      </w:r>
      <w:r>
        <w:rPr>
          <w:rStyle w:val="NormalTok"/>
        </w:rPr>
        <w:t xml:space="preserve">wc_bio_12         </w:t>
      </w:r>
      <w:r>
        <w:rPr>
          <w:rStyle w:val="OtherTok"/>
        </w:rPr>
        <w:t xml:space="preserve">&lt;-</w:t>
      </w:r>
      <w:r>
        <w:rPr>
          <w:rStyle w:val="NormalTok"/>
        </w:rPr>
        <w:t xml:space="preserve"> d</w:t>
      </w:r>
      <w:r>
        <w:rPr>
          <w:rStyle w:val="SpecialCharTok"/>
        </w:rPr>
        <w:t xml:space="preserve">$</w:t>
      </w:r>
      <w:r>
        <w:rPr>
          <w:rStyle w:val="NormalTok"/>
        </w:rPr>
        <w:t xml:space="preserve">map</w:t>
      </w:r>
      <w:r>
        <w:br/>
      </w:r>
      <w:r>
        <w:rPr>
          <w:rStyle w:val="NormalTok"/>
        </w:rPr>
        <w:t xml:space="preserve">d</w:t>
      </w:r>
      <w:r>
        <w:rPr>
          <w:rStyle w:val="SpecialCharTok"/>
        </w:rPr>
        <w:t xml:space="preserve">$</w:t>
      </w:r>
      <w:r>
        <w:rPr>
          <w:rStyle w:val="NormalTok"/>
        </w:rPr>
        <w:t xml:space="preserve">wc_landcover_trees </w:t>
      </w:r>
      <w:r>
        <w:rPr>
          <w:rStyle w:val="OtherTok"/>
        </w:rPr>
        <w:t xml:space="preserve">&lt;-</w:t>
      </w:r>
      <w:r>
        <w:rPr>
          <w:rStyle w:val="NormalTok"/>
        </w:rPr>
        <w:t xml:space="preserve"> d</w:t>
      </w:r>
      <w:r>
        <w:rPr>
          <w:rStyle w:val="SpecialCharTok"/>
        </w:rPr>
        <w:t xml:space="preserve">$</w:t>
      </w:r>
      <w:r>
        <w:rPr>
          <w:rStyle w:val="NormalTok"/>
        </w:rPr>
        <w:t xml:space="preserve">trees</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Fig 2 renders the graph, the adjustment set the criterion returns, and the graph’s own falsification test.</w:t>
      </w:r>
    </w:p>
    <w:p>
      <w:pPr>
        <w:pStyle w:val="BodyText"/>
      </w:pPr>
      <w:r>
        <w:drawing>
          <wp:inline>
            <wp:extent cx="5334000" cy="5334000"/>
            <wp:effectExtent b="0" l="0" r="0" t="0"/>
            <wp:docPr descr="" title="" id="14" name="Picture"/>
            <a:graphic>
              <a:graphicData uri="http://schemas.openxmlformats.org/drawingml/2006/picture">
                <pic:pic>
                  <pic:nvPicPr>
                    <pic:cNvPr descr="plos-manuscript_files/figures/Fig2.png" id="15" name="Picture"/>
                    <pic:cNvPicPr>
                      <a:picLocks noChangeArrowheads="1" noChangeAspect="1"/>
                    </pic:cNvPicPr>
                  </pic:nvPicPr>
                  <pic:blipFill>
                    <a:blip r:embed="rId13"/>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Fig 2. A pedogenetic graph and its test.</w:t>
      </w:r>
      <w:r>
        <w:t xml:space="preserve"> </w:t>
      </w:r>
      <w:r>
        <w:t xml:space="preserve">(A) The shipped Cerrado graph, with the exposure, the outcome, and the adjustment set the backdoor criterion returns for the total effect of tree cover highlighted. (B) Every conditional independence the graph implies, tested against the profiles: most are rejected, so the graph as drawn is not compatible with the data it is applied to.</w:t>
      </w:r>
    </w:p>
    <w:p>
      <w:pPr>
        <w:pStyle w:val="BodyText"/>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 It is also where writing a mechanism down turns out to make three separate claims checkable, and where two of them fail.</w:t>
      </w:r>
    </w:p>
    <w:p>
      <w:pPr>
        <w:pStyle w:val="BodyText"/>
      </w:pPr>
      <w:r>
        <w:rPr>
          <w:b/>
          <w:bCs/>
        </w:rPr>
        <w:t xml:space="preserve">The data.</w:t>
      </w:r>
      <w:r>
        <w:t xml:space="preserve"> </w:t>
      </w:r>
      <w:r>
        <w:t xml:space="preserve">The pillar is fitted to 1,105 real multi-horizon soil profiles from the World Soil Information Service over the Brazilian Cerrado — 5,853 horizons, reaching a median of 150 cm and a maximum of 740 cm. This matters enough to state plainly: earlier versions of this software illustrated the pillar on a seven-point profile with no provenance, while these profiles sat unused in the same repository because the preparation scripts kept only the shallowest horizon of each. Every result below is on the real profiles.</w:t>
      </w:r>
    </w:p>
    <w:p>
      <w:pPr>
        <w:pStyle w:val="BodyText"/>
      </w:pPr>
      <w:r>
        <w:rPr>
          <w:b/>
          <w:bCs/>
        </w:rPr>
        <w:t xml:space="preserve">The equation, and what its parameters mean.</w:t>
      </w:r>
      <w:r>
        <w:t xml:space="preserve"> </w:t>
      </w:r>
      <w:r>
        <w:t xml:space="preserve">The model is</w:t>
      </w:r>
    </w:p>
    <w:p>
      <w:pPr>
        <w:pStyle w:val="BodyText"/>
      </w:pPr>
      <m:oMathPara>
        <m:oMathParaPr>
          <m:jc m:val="center"/>
        </m:oMathParaPr>
        <m:oMath>
          <m:f>
            <m:fPr>
              <m:type m:val="bar"/>
            </m:fPr>
            <m:num>
              <m:r>
                <m:t>d</m:t>
              </m:r>
              <m:r>
                <m:t>y</m:t>
              </m:r>
            </m:num>
            <m:den>
              <m:r>
                <m:t>d</m:t>
              </m:r>
              <m:r>
                <m:t>z</m:t>
              </m:r>
            </m:den>
          </m:f>
          <m:r>
            <m:rPr>
              <m:sty m:val="p"/>
            </m:rPr>
            <m:t>=</m:t>
          </m:r>
          <m:r>
            <m:rPr>
              <m:sty m:val="p"/>
            </m:rPr>
            <m:t>−</m:t>
          </m:r>
          <m:sSub>
            <m:e>
              <m:r>
                <m:t>λ</m:t>
              </m:r>
            </m:e>
            <m:sub>
              <m:r>
                <m:t>0</m:t>
              </m:r>
            </m:sub>
          </m:sSub>
          <m:sSup>
            <m:e>
              <m:r>
                <m:t>e</m:t>
              </m:r>
            </m:e>
            <m:sup>
              <m:r>
                <m:rPr>
                  <m:sty m:val="p"/>
                </m:rPr>
                <m:t>−</m:t>
              </m:r>
              <m:r>
                <m:t>μ</m:t>
              </m:r>
              <m:r>
                <m:t>z</m:t>
              </m:r>
            </m:sup>
          </m:sSup>
          <m:r>
            <m:t> </m:t>
          </m:r>
          <m:r>
            <m:rPr>
              <m:sty m:val="p"/>
            </m:rPr>
            <m:t>(</m:t>
          </m:r>
          <m:r>
            <m:t>y</m:t>
          </m:r>
          <m:r>
            <m:rPr>
              <m:sty m:val="p"/>
            </m:rPr>
            <m:t>−</m:t>
          </m:r>
          <m:sSub>
            <m:e>
              <m:r>
                <m:t>y</m:t>
              </m:r>
            </m:e>
            <m:sub>
              <m:r>
                <m:rPr>
                  <m:sty m:val="p"/>
                </m:rPr>
                <m:t>∞</m:t>
              </m:r>
            </m:sub>
          </m:sSub>
          <m:r>
            <m:rPr>
              <m:sty m:val="p"/>
            </m:rPr>
            <m:t>)</m:t>
          </m:r>
          <m:r>
            <m:rPr>
              <m:sty m:val="p"/>
            </m:rPr>
            <m:t>,</m:t>
          </m:r>
        </m:oMath>
      </m:oMathPara>
    </w:p>
    <w:p>
      <w:pPr>
        <w:pStyle w:val="FirstParagraph"/>
      </w:pPr>
      <w:r>
        <w:t xml:space="preserve">a relaxation whose rate decays with depth. It is separable, and integrating gives</w:t>
      </w:r>
    </w:p>
    <w:p>
      <w:pPr>
        <w:pStyle w:val="BodyText"/>
      </w:pPr>
      <m:oMathPara>
        <m:oMathParaPr>
          <m:jc m:val="center"/>
        </m:oMathParaPr>
        <m:oMath>
          <m:r>
            <m:t>y</m:t>
          </m:r>
          <m:r>
            <m:rPr>
              <m:sty m:val="p"/>
            </m:rPr>
            <m:t>(</m:t>
          </m:r>
          <m:r>
            <m:t>z</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r>
            <m:rPr>
              <m:sty m:val="p"/>
            </m:rPr>
            <m:t>exp</m:t>
          </m:r>
          <m:r>
            <m:t>​</m:t>
          </m:r>
          <m:d>
            <m:dPr>
              <m:begChr m:val="["/>
              <m:sepChr m:val=""/>
              <m:endChr m:val="]"/>
              <m:grow/>
            </m:dPr>
            <m:e>
              <m:r>
                <m:rPr>
                  <m:sty m:val="p"/>
                </m:rPr>
                <m:t>−</m:t>
              </m:r>
              <m:r>
                <m:t>κ</m:t>
              </m:r>
              <m:d>
                <m:dPr>
                  <m:begChr m:val="("/>
                  <m:sepChr m:val=""/>
                  <m:endChr m:val=")"/>
                  <m:grow/>
                </m:dPr>
                <m:e>
                  <m:r>
                    <m:t>1</m:t>
                  </m:r>
                  <m:r>
                    <m:rPr>
                      <m:sty m:val="p"/>
                    </m:rPr>
                    <m:t>−</m:t>
                  </m:r>
                  <m:sSup>
                    <m:e>
                      <m:r>
                        <m:t>e</m:t>
                      </m:r>
                    </m:e>
                    <m:sup>
                      <m:r>
                        <m:rPr>
                          <m:sty m:val="p"/>
                        </m:rPr>
                        <m:t>−</m:t>
                      </m:r>
                      <m:r>
                        <m:t>μ</m:t>
                      </m:r>
                      <m:r>
                        <m:t>z</m:t>
                      </m:r>
                    </m:sup>
                  </m:sSup>
                </m:e>
              </m:d>
            </m:e>
          </m:d>
          <m:r>
            <m:rPr>
              <m:sty m:val="p"/>
            </m:rPr>
            <m:t>,</m:t>
          </m:r>
          <m:r>
            <m:t>  </m:t>
          </m:r>
          <m:r>
            <m:t>κ</m:t>
          </m:r>
          <m:r>
            <m:rPr>
              <m:sty m:val="p"/>
            </m:rPr>
            <m:t>=</m:t>
          </m:r>
          <m:sSub>
            <m:e>
              <m:r>
                <m:t>λ</m:t>
              </m:r>
            </m:e>
            <m:sub>
              <m:r>
                <m:t>0</m:t>
              </m:r>
            </m:sub>
          </m:sSub>
          <m:r>
            <m:rPr>
              <m:sty m:val="p"/>
            </m:rPr>
            <m:t>/</m:t>
          </m:r>
          <m:r>
            <m:t>μ</m:t>
          </m:r>
          <m:r>
            <m:rPr>
              <m:sty m:val="p"/>
            </m:rPr>
            <m:t>,</m:t>
          </m:r>
        </m:oMath>
      </m:oMathPara>
    </w:p>
    <w:p>
      <w:pPr>
        <w:pStyle w:val="FirstParagraph"/>
      </w:pPr>
      <w:r>
        <w:t xml:space="preserve">so that</w:t>
      </w:r>
      <w:r>
        <w:t xml:space="preserve"> </w:t>
      </w:r>
      <m:oMath>
        <m:r>
          <m:t>y</m:t>
        </m:r>
        <m:r>
          <m:rPr>
            <m:sty m:val="p"/>
          </m:rPr>
          <m:t>(</m:t>
        </m:r>
        <m:r>
          <m:rPr>
            <m:sty m:val="p"/>
          </m:rPr>
          <m:t>∞</m:t>
        </m:r>
        <m:r>
          <m:rPr>
            <m:sty m:val="p"/>
          </m:rPr>
          <m:t>)</m:t>
        </m:r>
        <m:r>
          <m:rPr>
            <m:sty m:val="p"/>
          </m:rPr>
          <m:t>=</m:t>
        </m:r>
        <m:sSub>
          <m:e>
            <m:r>
              <m:t>y</m:t>
            </m:r>
          </m:e>
          <m:sub>
            <m:r>
              <m:rPr>
                <m:sty m:val="p"/>
              </m:rPr>
              <m:t>∞</m:t>
            </m:r>
          </m:sub>
        </m:sSub>
        <m:r>
          <m:rPr>
            <m:sty m:val="p"/>
          </m:rPr>
          <m:t>+</m:t>
        </m:r>
        <m:r>
          <m:rPr>
            <m:sty m:val="p"/>
          </m:rPr>
          <m:t>(</m:t>
        </m:r>
        <m:sSub>
          <m:e>
            <m:r>
              <m:t>y</m:t>
            </m:r>
          </m:e>
          <m:sub>
            <m:r>
              <m:t>0</m:t>
            </m:r>
          </m:sub>
        </m:sSub>
        <m:r>
          <m:rPr>
            <m:sty m:val="p"/>
          </m:rPr>
          <m:t>−</m:t>
        </m:r>
        <m:sSub>
          <m:e>
            <m:r>
              <m:t>y</m:t>
            </m:r>
          </m:e>
          <m:sub>
            <m:r>
              <m:rPr>
                <m:sty m:val="p"/>
              </m:rPr>
              <m:t>∞</m:t>
            </m:r>
          </m:sub>
        </m:sSub>
        <m:r>
          <m:rPr>
            <m:sty m:val="p"/>
          </m:rPr>
          <m:t>)</m:t>
        </m:r>
        <m:sSup>
          <m:e>
            <m:r>
              <m:t>e</m:t>
            </m:r>
          </m:e>
          <m:sup>
            <m:r>
              <m:rPr>
                <m:sty m:val="p"/>
              </m:rPr>
              <m:t>−</m:t>
            </m:r>
            <m:r>
              <m:t>κ</m:t>
            </m:r>
          </m:sup>
        </m:sSup>
      </m:oMath>
      <w:r>
        <w:t xml:space="preserve">.</w:t>
      </w:r>
    </w:p>
    <w:p>
      <w:pPr>
        <w:pStyle w:val="BodyText"/>
      </w:pPr>
      <w:r>
        <w:rPr>
          <w:b/>
          <w:bCs/>
        </w:rPr>
        <w:t xml:space="preserve">The profile does not reach</w:t>
      </w:r>
      <w:r>
        <w:rPr>
          <w:b/>
          <w:bCs/>
        </w:rPr>
        <w:t xml:space="preserve"> </w:t>
      </w:r>
      <m:oMath>
        <m:sSub>
          <m:e>
            <m:r>
              <m:t>y</m:t>
            </m:r>
          </m:e>
          <m:sub>
            <m:r>
              <m:rPr>
                <m:sty m:val="p"/>
              </m:rPr>
              <m:t>∞</m:t>
            </m:r>
          </m:sub>
        </m:sSub>
      </m:oMath>
      <w:r>
        <w:rPr>
          <w:b/>
          <w:bCs/>
        </w:rPr>
        <w:t xml:space="preserve">.</w:t>
      </w:r>
      <w:r>
        <w:t xml:space="preserve"> </w:t>
      </w:r>
      <w:r>
        <w:t xml:space="preserve">Because the rate decays, the exponent saturates and the profile traverses only a fraction</w:t>
      </w:r>
      <w:r>
        <w:t xml:space="preserve"> </w:t>
      </w:r>
      <m:oMath>
        <m:r>
          <m:t>1</m:t>
        </m:r>
        <m:r>
          <m:rPr>
            <m:sty m:val="p"/>
          </m:rPr>
          <m:t>−</m:t>
        </m:r>
        <m:sSup>
          <m:e>
            <m:r>
              <m:t>e</m:t>
            </m:r>
          </m:e>
          <m:sup>
            <m:r>
              <m:rPr>
                <m:sty m:val="p"/>
              </m:rPr>
              <m:t>−</m:t>
            </m:r>
            <m:r>
              <m:t>κ</m:t>
            </m:r>
          </m:sup>
        </m:sSup>
      </m:oMath>
      <w:r>
        <w:t xml:space="preserve"> </w:t>
      </w:r>
      <w:r>
        <w:t xml:space="preserve">of the</w:t>
      </w:r>
      <w:r>
        <w:t xml:space="preserve"> </w:t>
      </w:r>
      <m:oMath>
        <m:sSub>
          <m:e>
            <m:r>
              <m:t>y</m:t>
            </m:r>
          </m:e>
          <m:sub>
            <m:r>
              <m:t>0</m:t>
            </m:r>
          </m:sub>
        </m:sSub>
        <m:r>
          <m:rPr>
            <m:sty m:val="p"/>
          </m:rPr>
          <m:t>→</m:t>
        </m:r>
        <m:sSub>
          <m:e>
            <m:r>
              <m:t>y</m:t>
            </m:r>
          </m:e>
          <m:sub>
            <m:r>
              <m:rPr>
                <m:sty m:val="p"/>
              </m:rPr>
              <m:t>∞</m:t>
            </m:r>
          </m:sub>
        </m:sSub>
      </m:oMath>
      <w:r>
        <w:t xml:space="preserve"> </w:t>
      </w:r>
      <w:r>
        <w:t xml:space="preserve">gap before the dynamics run out.</w:t>
      </w:r>
      <w:r>
        <w:t xml:space="preserve"> </w:t>
      </w:r>
      <m:oMath>
        <m:sSub>
          <m:e>
            <m:r>
              <m:t>y</m:t>
            </m:r>
          </m:e>
          <m:sub>
            <m:r>
              <m:rPr>
                <m:sty m:val="p"/>
              </m:rPr>
              <m:t>∞</m:t>
            </m:r>
          </m:sub>
        </m:sSub>
      </m:oMath>
      <w:r>
        <w:t xml:space="preserve"> </w:t>
      </w:r>
      <w:r>
        <w:t xml:space="preserve">is an equilibrium coordinate of the differential equation, not a soil property; the attainable deep value is</w:t>
      </w:r>
      <w:r>
        <w:t xml:space="preserve"> </w:t>
      </w:r>
      <m:oMath>
        <m:r>
          <m:t>y</m:t>
        </m:r>
        <m:r>
          <m:rPr>
            <m:sty m:val="p"/>
          </m:rPr>
          <m:t>(</m:t>
        </m:r>
        <m:r>
          <m:rPr>
            <m:sty m:val="p"/>
          </m:rPr>
          <m:t>∞</m:t>
        </m:r>
        <m:r>
          <m:rPr>
            <m:sty m:val="p"/>
          </m:rPr>
          <m:t>)</m:t>
        </m:r>
      </m:oMath>
      <w:r>
        <w:t xml:space="preserve">. The distinction is not cosmetic. Across the 1,105 profiles the median</w:t>
      </w:r>
      <w:r>
        <w:t xml:space="preserve"> </w:t>
      </w:r>
      <m:oMath>
        <m:r>
          <m:t>κ</m:t>
        </m:r>
      </m:oMath>
      <w:r>
        <w:t xml:space="preserve"> </w:t>
      </w:r>
      <w:r>
        <w:t xml:space="preserve">is 1.6, so the median profile closes 80% of its gap and stops, and on shallow profiles the two quantities routinely differ in sign.</w:t>
      </w:r>
    </w:p>
    <w:p>
      <w:pPr>
        <w:pStyle w:val="BodyText"/>
      </w:pPr>
      <w:r>
        <w:t xml:space="preserve">Three consequences follow, and the implementation is built around them. First,</w:t>
      </w:r>
      <w:r>
        <w:t xml:space="preserve"> </w:t>
      </w:r>
      <m:oMath>
        <m:sSub>
          <m:e>
            <m:r>
              <m:t>λ</m:t>
            </m:r>
          </m:e>
          <m:sub>
            <m:r>
              <m:t>0</m:t>
            </m:r>
          </m:sub>
        </m:sSub>
      </m:oMath>
      <w:r>
        <w:t xml:space="preserve"> </w:t>
      </w:r>
      <w:r>
        <w:t xml:space="preserve">and</w:t>
      </w:r>
      <w:r>
        <w:t xml:space="preserve"> </w:t>
      </w:r>
      <m:oMath>
        <m:r>
          <m:t>μ</m:t>
        </m:r>
      </m:oMath>
      <w:r>
        <w:t xml:space="preserve"> </w:t>
      </w:r>
      <w:r>
        <w:t xml:space="preserve">are near-collinear: the likelihood constrains their ratio</w:t>
      </w:r>
      <w:r>
        <w:t xml:space="preserve"> </w:t>
      </w:r>
      <m:oMath>
        <m:r>
          <m:t>κ</m:t>
        </m:r>
      </m:oMath>
      <w:r>
        <w:t xml:space="preserve"> </w:t>
      </w:r>
      <w:r>
        <w:t xml:space="preserve">far better than either alone. Second, a prior on</w:t>
      </w:r>
      <w:r>
        <w:t xml:space="preserve"> </w:t>
      </w:r>
      <m:oMath>
        <m:sSub>
          <m:e>
            <m:r>
              <m:t>y</m:t>
            </m:r>
          </m:e>
          <m:sub>
            <m:r>
              <m:rPr>
                <m:sty m:val="p"/>
              </m:rPr>
              <m:t>∞</m:t>
            </m:r>
          </m:sub>
        </m:sSub>
      </m:oMath>
      <w:r>
        <w:t xml:space="preserve"> </w:t>
      </w:r>
      <w:r>
        <w:t xml:space="preserve">is a prior on an unattained quantity that enters the fit through a ratio the data barely determine. Third, nothing in a free-sign parameterisation keeps</w:t>
      </w:r>
      <w:r>
        <w:t xml:space="preserve"> </w:t>
      </w:r>
      <m:oMath>
        <m:r>
          <m:t>μ</m:t>
        </m:r>
        <m:r>
          <m:rPr>
            <m:sty m:val="p"/>
          </m:rPr>
          <m:t>≥</m:t>
        </m:r>
        <m:r>
          <m:t>0</m:t>
        </m:r>
      </m:oMath>
      <w:r>
        <w:t xml:space="preserve"> </w:t>
      </w:r>
      <w:r>
        <w:t xml:space="preserve">or the concentrations positive. We therefore estimate the model in the coordinates</w:t>
      </w:r>
      <w:r>
        <w:t xml:space="preserve"> </w:t>
      </w:r>
      <m:oMath>
        <m:r>
          <m:rPr>
            <m:sty m:val="p"/>
          </m:rPr>
          <m:t>(</m:t>
        </m:r>
        <m:sSub>
          <m:e>
            <m:r>
              <m:t>y</m:t>
            </m:r>
          </m:e>
          <m:sub>
            <m:r>
              <m:t>0</m:t>
            </m:r>
          </m:sub>
        </m:sSub>
        <m:r>
          <m:rPr>
            <m:sty m:val="p"/>
          </m:rPr>
          <m:t>,</m:t>
        </m:r>
        <m:r>
          <m:t>A</m:t>
        </m:r>
        <m:r>
          <m:rPr>
            <m:sty m:val="p"/>
          </m:rPr>
          <m:t>,</m:t>
        </m:r>
        <m:r>
          <m:t>κ</m:t>
        </m:r>
        <m:r>
          <m:rPr>
            <m:sty m:val="p"/>
          </m:rPr>
          <m:t>,</m:t>
        </m:r>
        <m:r>
          <m:t>μ</m:t>
        </m:r>
        <m:r>
          <m:rPr>
            <m:sty m:val="p"/>
          </m:rPr>
          <m:t>)</m:t>
        </m:r>
      </m:oMath>
      <w:r>
        <w:t xml:space="preserve"> </w:t>
      </w:r>
      <w:r>
        <w:t xml:space="preserve">with</w:t>
      </w:r>
      <w:r>
        <w:t xml:space="preserve"> </w:t>
      </w:r>
      <m:oMath>
        <m:r>
          <m:t>A</m:t>
        </m:r>
        <m:r>
          <m:rPr>
            <m:sty m:val="p"/>
          </m:rPr>
          <m:t>=</m:t>
        </m:r>
        <m:r>
          <m:t>y</m:t>
        </m:r>
        <m:r>
          <m:rPr>
            <m:sty m:val="p"/>
          </m:rPr>
          <m:t>(</m:t>
        </m:r>
        <m:r>
          <m:rPr>
            <m:sty m:val="p"/>
          </m:rPr>
          <m:t>∞</m:t>
        </m:r>
        <m:r>
          <m:rPr>
            <m:sty m:val="p"/>
          </m:rPr>
          <m:t>)</m:t>
        </m:r>
      </m:oMath>
      <w:r>
        <w:t xml:space="preserve">, all exponentiated, and recover</w:t>
      </w:r>
      <w:r>
        <w:t xml:space="preserve"> </w:t>
      </w:r>
      <m:oMath>
        <m:sSub>
          <m:e>
            <m:r>
              <m:t>λ</m:t>
            </m:r>
          </m:e>
          <m:sub>
            <m:r>
              <m:t>0</m:t>
            </m:r>
          </m:sub>
        </m:sSub>
      </m:oMath>
      <w:r>
        <w:t xml:space="preserve"> </w:t>
      </w:r>
      <w:r>
        <w:t xml:space="preserve">and</w:t>
      </w:r>
      <w:r>
        <w:t xml:space="preserve"> </w:t>
      </w:r>
      <m:oMath>
        <m:sSub>
          <m:e>
            <m:r>
              <m:t>y</m:t>
            </m:r>
          </m:e>
          <m:sub>
            <m:r>
              <m:rPr>
                <m:sty m:val="p"/>
              </m:rPr>
              <m:t>∞</m:t>
            </m:r>
          </m:sub>
        </m:sSub>
      </m:oMath>
      <w:r>
        <w:t xml:space="preserve"> </w:t>
      </w:r>
      <w:r>
        <w:t xml:space="preserve">for reporting. Refitting all 1,105 profiles under both parameterisations, the original returned a physically inadmissible fit for 56% of them — 113 of 207 in a matched subset had</w:t>
      </w:r>
      <w:r>
        <w:t xml:space="preserve"> </w:t>
      </w:r>
      <m:oMath>
        <m:r>
          <m:t>μ</m:t>
        </m:r>
        <m:r>
          <m:rPr>
            <m:sty m:val="p"/>
          </m:rPr>
          <m:t>&lt;</m:t>
        </m:r>
        <m:r>
          <m:t>0</m:t>
        </m:r>
      </m:oMath>
      <w:r>
        <w:t xml:space="preserve">, a decay rate that</w:t>
      </w:r>
      <w:r>
        <w:t xml:space="preserve"> </w:t>
      </w:r>
      <w:r>
        <w:rPr>
          <w:i/>
          <w:iCs/>
        </w:rPr>
        <w:t xml:space="preserve">grows</w:t>
      </w:r>
      <w:r>
        <w:t xml:space="preserve"> </w:t>
      </w:r>
      <w:r>
        <w:t xml:space="preserve">exponentially with depth — against none under the positive coordinates.</w:t>
      </w:r>
    </w:p>
    <w:p>
      <w:pPr>
        <w:pStyle w:val="BodyText"/>
      </w:pPr>
      <w:r>
        <w:t xml:space="preserve">Three further specification choices follow from having real horizons. First, a laboratory value is the average of a property over a horizon, not a point reading at its mid-depth; because the solution is closed-form, the depth-average over each horizon is available by Gauss–Legendre quadrature at negligible cost, and is used throughout. This is the same observation-operator problem equal-area splines address explicitly</w:t>
      </w:r>
      <w:r>
        <w:t xml:space="preserve"> </w:t>
      </w:r>
      <w:r>
        <w:t xml:space="preserve">[7,8]</w:t>
      </w:r>
      <w:r>
        <w:t xml:space="preserve">. Second, the observation noise</w:t>
      </w:r>
      <w:r>
        <w:t xml:space="preserve"> </w:t>
      </w:r>
      <m:oMath>
        <m:r>
          <m:t>σ</m:t>
        </m:r>
      </m:oMath>
      <w:r>
        <w:t xml:space="preserve"> </w:t>
      </w:r>
      <w:r>
        <w:t xml:space="preserve">is sampled with a half-</w:t>
      </w:r>
      <m:oMath>
        <m:r>
          <m:t>t</m:t>
        </m:r>
      </m:oMath>
      <w:r>
        <w:t xml:space="preserve"> </w:t>
      </w:r>
      <w:r>
        <w:t xml:space="preserve">prior rather than plugged in from the residuals of the mode, which widens the predictive interval on the pedon below from 3.6 to 7.1 g/kg.</w:t>
      </w:r>
    </w:p>
    <w:p>
      <w:pPr>
        <w:pStyle w:val="BodyText"/>
      </w:pPr>
      <w:r>
        <w:t xml:space="preserve">Third, and least obviously, the likelihood is not Gaussian. Organic carbon is positive and right-skewed, and a Gaussian on g/kg with one</w:t>
      </w:r>
      <w:r>
        <w:t xml:space="preserve"> </w:t>
      </w:r>
      <m:oMath>
        <m:r>
          <m:t>σ</m:t>
        </m:r>
      </m:oMath>
      <w:r>
        <w:t xml:space="preserve"> </w:t>
      </w:r>
      <w:r>
        <w:t xml:space="preserve">makes three errors: it places predictive mass below zero, it assumes additive error where laboratory error is multiplicative, and — the consequential one — it weights every horizon by the same</w:t>
      </w:r>
      <w:r>
        <w:t xml:space="preserve"> </w:t>
      </w:r>
      <w:r>
        <w:rPr>
          <w:i/>
          <w:iCs/>
        </w:rPr>
        <w:t xml:space="preserve">absolute</w:t>
      </w:r>
      <w:r>
        <w:t xml:space="preserve"> </w:t>
      </w:r>
      <w:r>
        <w:t xml:space="preserve">discrepancy. A profile running from 29 g/kg at the surface to 2.3 g/kg at 5 m is then fitted almost entirely by its topsoil, and the deep horizons that carry all the information about the asymptote contribute almost nothing. We use a lognormal likelihood parameterised so that the model’s prediction is the</w:t>
      </w:r>
      <w:r>
        <w:t xml:space="preserve"> </w:t>
      </w:r>
      <w:r>
        <w:rPr>
          <w:i/>
          <w:iCs/>
        </w:rPr>
        <w:t xml:space="preserve">mean</w:t>
      </w:r>
      <w:r>
        <w:t xml:space="preserve"> </w:t>
      </w:r>
      <w:r>
        <w:t xml:space="preserve">of the observation, which matters because that prediction is a horizon average and therefore a mass-preserving quantity; a median-preserving parameterisation would bias every layer downward.</w:t>
      </w:r>
    </w:p>
    <w:p>
      <w:pPr>
        <w:pStyle w:val="BodyText"/>
      </w:pPr>
      <w:r>
        <w:t xml:space="preserve">The change is not cosmetic. On the pedon below the Gaussian fit misses the deepest horizon by 90% of its value while the lognormal caps its worst relative residual at 23%. On leave-the-deepest-horizon-out prediction across all 1,105 profiles the lognormal wins on 720 of them (paired Wilcoxon</w:t>
      </w:r>
      <w:r>
        <w:t xml:space="preserve"> </w:t>
      </w:r>
      <m:oMath>
        <m:r>
          <m:t>p</m:t>
        </m:r>
        <m:r>
          <m:rPr>
            <m:sty m:val="p"/>
          </m:rPr>
          <m:t>=</m:t>
        </m:r>
        <m:r>
          <m:t>2</m:t>
        </m:r>
        <m:r>
          <m:rPr>
            <m:sty m:val="p"/>
          </m:rPr>
          <m:t>×</m:t>
        </m:r>
        <m:sSup>
          <m:e>
            <m:r>
              <m:t>10</m:t>
            </m:r>
          </m:e>
          <m:sup>
            <m:r>
              <m:rPr>
                <m:sty m:val="p"/>
              </m:rPr>
              <m:t>−</m:t>
            </m:r>
            <m:r>
              <m:t>30</m:t>
            </m:r>
          </m:sup>
        </m:sSup>
      </m:oMath>
      <w:r>
        <w:t xml:space="preserve">), improving mean absolute error from 2.20 to 2.00 g/kg, and it wins even on root-mean-square error — the criterion the Gaussian optimises by construction — because over-weighting the topsoil is precisely what makes a profile extrapolate its deepest horizon badly.</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NormalTok"/>
        </w:rPr>
        <w:t xml:space="preserve">                        </w:t>
      </w:r>
      <w:r>
        <w:rPr>
          <w:rStyle w:val="AttributeTok"/>
        </w:rPr>
        <w:t xml:space="preserve">top =</w:t>
      </w:r>
      <w:r>
        <w:rPr>
          <w:rStyle w:val="NormalTok"/>
        </w:rPr>
        <w:t xml:space="preserve"> pedon</w:t>
      </w:r>
      <w:r>
        <w:rPr>
          <w:rStyle w:val="SpecialCharTok"/>
        </w:rPr>
        <w:t xml:space="preserve">$</w:t>
      </w:r>
      <w:r>
        <w:rPr>
          <w:rStyle w:val="NormalTok"/>
        </w:rPr>
        <w:t xml:space="preserve">top, </w:t>
      </w:r>
      <w:r>
        <w:rPr>
          <w:rStyle w:val="AttributeTok"/>
        </w:rPr>
        <w:t xml:space="preserve">bottom =</w:t>
      </w:r>
      <w:r>
        <w:rPr>
          <w:rStyle w:val="NormalTok"/>
        </w:rPr>
        <w:t xml:space="preserve"> pedon</w:t>
      </w:r>
      <w:r>
        <w:rPr>
          <w:rStyle w:val="SpecialCharTok"/>
        </w:rPr>
        <w:t xml:space="preserve">$</w:t>
      </w:r>
      <w:r>
        <w:rPr>
          <w:rStyle w:val="NormalTok"/>
        </w:rPr>
        <w:t xml:space="preserve">bottom)</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0.009613  mu = 0.004151</w:t>
      </w:r>
      <w:r>
        <w:br/>
      </w:r>
      <w:r>
        <w:rPr>
          <w:rStyle w:val="CommentTok"/>
        </w:rPr>
        <w:t xml:space="preserve">#&gt;   y0      = 23.45     y(Inf) = 1.982      (kappa = 2.32)</w:t>
      </w:r>
      <w:r>
        <w:br/>
      </w:r>
      <w:r>
        <w:rPr>
          <w:rStyle w:val="CommentTok"/>
        </w:rPr>
        <w:t xml:space="preserve">#&gt;   y_inf   = -0.3678   (ODE coordinate, not the attained value)</w:t>
      </w:r>
      <w:r>
        <w:br/>
      </w:r>
      <w:r>
        <w:rPr>
          <w:rStyle w:val="CommentTok"/>
        </w:rPr>
        <w:t xml:space="preserve">#&gt;   n obs   = 9 (layer)         rmse = 2.517</w:t>
      </w:r>
      <w:r>
        <w:br/>
      </w:r>
      <w:r>
        <w:rPr>
          <w:rStyle w:val="CommentTok"/>
        </w:rPr>
        <w:t xml:space="preserve">#&gt;   converged = TRUE</w:t>
      </w:r>
    </w:p>
    <w:p>
      <w:pPr>
        <w:pStyle w:val="FirstParagraph"/>
      </w:pPr>
      <w:r>
        <w:t xml:space="preserve">Table 2 gives the posterior for that pedon — WoSIS profile 1115679, nine horizons to 550 cm.</w:t>
      </w:r>
    </w:p>
    <w:p>
      <w:pPr>
        <w:pStyle w:val="BodyText"/>
      </w:pPr>
      <w:r>
        <w:rPr>
          <w:b/>
          <w:bCs/>
        </w:rPr>
        <w:t xml:space="preserve">Table 2. Posterior summary of the pedogenetic equation’s parameters.</w:t>
      </w:r>
      <w:r>
        <w:t xml:space="preserve"> </w:t>
      </w:r>
      <w:r>
        <w:t xml:space="preserve">Four-chain MCMC over a real nine-horizon WoSIS profile reaching 550 cm, fitted through the horizon-average operator with a lognormal likelihood, and converged on its own diagnostics (maximum split-</w:t>
      </w:r>
      <m:oMath>
        <m:acc>
          <m:accPr>
            <m:chr m:val="̂"/>
          </m:accPr>
          <m:e>
            <m:r>
              <m:t>R</m:t>
            </m:r>
          </m:e>
        </m:acc>
      </m:oMath>
      <w:r>
        <w:t xml:space="preserve"> </w:t>
      </w:r>
      <w:r>
        <w:t xml:space="preserve">1.007, minimum bulk ESS 760). Intervals are 2.5% and 97.5% posterior quantiles. The first four rows are the equation’s symbols, the next two the coordinates the model is estimated in, and the last the sampled observation noise, here a coefficient of variation.</w:t>
      </w:r>
    </w:p>
    <w:tbl>
      <w:tblPr>
        <w:tblStyle w:val="Table"/>
        <w:tblW w:type="pct" w:w="5000"/>
        <w:tblLayout w:type="fixed"/>
        <w:tblLook w:firstRow="1" w:lastRow="0" w:firstColumn="0" w:lastColumn="0" w:noHBand="0" w:noVBand="0" w:val="0020"/>
      </w:tblPr>
      <w:tblGrid>
        <w:gridCol w:w="726"/>
        <w:gridCol w:w="4940"/>
        <w:gridCol w:w="581"/>
        <w:gridCol w:w="581"/>
        <w:gridCol w:w="581"/>
        <w:gridCol w:w="508"/>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0.0087</w:t>
            </w:r>
          </w:p>
        </w:tc>
        <w:tc>
          <w:tcPr/>
          <w:p>
            <w:pPr>
              <w:pStyle w:val="Compact"/>
              <w:jc w:val="right"/>
            </w:pPr>
            <w:r>
              <w:t xml:space="preserve">0.0042</w:t>
            </w:r>
          </w:p>
        </w:tc>
        <w:tc>
          <w:tcPr/>
          <w:p>
            <w:pPr>
              <w:pStyle w:val="Compact"/>
              <w:jc w:val="right"/>
            </w:pPr>
            <w:r>
              <w:t xml:space="preserve">0.002</w:t>
            </w:r>
          </w:p>
        </w:tc>
        <w:tc>
          <w:tcPr/>
          <w:p>
            <w:pPr>
              <w:pStyle w:val="Compact"/>
              <w:jc w:val="right"/>
            </w:pPr>
            <w:r>
              <w:t xml:space="preserve">0.019</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0.0039</w:t>
            </w:r>
          </w:p>
        </w:tc>
        <w:tc>
          <w:tcPr/>
          <w:p>
            <w:pPr>
              <w:pStyle w:val="Compact"/>
              <w:jc w:val="right"/>
            </w:pPr>
            <w:r>
              <w:t xml:space="preserve">0.0026</w:t>
            </w:r>
          </w:p>
        </w:tc>
        <w:tc>
          <w:tcPr/>
          <w:p>
            <w:pPr>
              <w:pStyle w:val="Compact"/>
              <w:jc w:val="right"/>
            </w:pPr>
            <w:r>
              <w:t xml:space="preserve">0.000</w:t>
            </w:r>
          </w:p>
        </w:tc>
        <w:tc>
          <w:tcPr/>
          <w:p>
            <w:pPr>
              <w:pStyle w:val="Compact"/>
              <w:jc w:val="right"/>
            </w:pPr>
            <w:r>
              <w:t xml:space="preserve">0.010</w:t>
            </w:r>
          </w:p>
        </w:tc>
      </w:tr>
      <w:tr>
        <w:tc>
          <w:tcPr/>
          <w:p>
            <w:pPr>
              <w:pStyle w:val="Compact"/>
              <w:jc w:val="left"/>
            </w:pPr>
            <w:r>
              <w:t xml:space="preserve">y_inf</w:t>
            </w:r>
          </w:p>
        </w:tc>
        <w:tc>
          <w:tcPr/>
          <w:p>
            <w:pPr>
              <w:pStyle w:val="Compact"/>
              <w:jc w:val="left"/>
            </w:pPr>
            <w:r>
              <w:t xml:space="preserve">Equilibrium coordinate of the ODE, not attained (g/kg)</w:t>
            </w:r>
          </w:p>
        </w:tc>
        <w:tc>
          <w:tcPr/>
          <w:p>
            <w:pPr>
              <w:pStyle w:val="Compact"/>
              <w:jc w:val="right"/>
            </w:pPr>
            <w:r>
              <w:t xml:space="preserve">-5.2912</w:t>
            </w:r>
          </w:p>
        </w:tc>
        <w:tc>
          <w:tcPr/>
          <w:p>
            <w:pPr>
              <w:pStyle w:val="Compact"/>
              <w:jc w:val="right"/>
            </w:pPr>
            <w:r>
              <w:t xml:space="preserve">16.3261</w:t>
            </w:r>
          </w:p>
        </w:tc>
        <w:tc>
          <w:tcPr/>
          <w:p>
            <w:pPr>
              <w:pStyle w:val="Compact"/>
              <w:jc w:val="right"/>
            </w:pPr>
            <w:r>
              <w:t xml:space="preserve">-52.075</w:t>
            </w:r>
          </w:p>
        </w:tc>
        <w:tc>
          <w:tcPr/>
          <w:p>
            <w:pPr>
              <w:pStyle w:val="Compact"/>
              <w:jc w:val="right"/>
            </w:pPr>
            <w:r>
              <w:t xml:space="preserve">3.518</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23.8413</w:t>
            </w:r>
          </w:p>
        </w:tc>
        <w:tc>
          <w:tcPr/>
          <w:p>
            <w:pPr>
              <w:pStyle w:val="Compact"/>
              <w:jc w:val="right"/>
            </w:pPr>
            <w:r>
              <w:t xml:space="preserve">4.5278</w:t>
            </w:r>
          </w:p>
        </w:tc>
        <w:tc>
          <w:tcPr/>
          <w:p>
            <w:pPr>
              <w:pStyle w:val="Compact"/>
              <w:jc w:val="right"/>
            </w:pPr>
            <w:r>
              <w:t xml:space="preserve">17.208</w:t>
            </w:r>
          </w:p>
        </w:tc>
        <w:tc>
          <w:tcPr/>
          <w:p>
            <w:pPr>
              <w:pStyle w:val="Compact"/>
              <w:jc w:val="right"/>
            </w:pPr>
            <w:r>
              <w:t xml:space="preserve">35.111</w:t>
            </w:r>
          </w:p>
        </w:tc>
      </w:tr>
      <w:tr>
        <w:tc>
          <w:tcPr/>
          <w:p>
            <w:pPr>
              <w:pStyle w:val="Compact"/>
              <w:jc w:val="left"/>
            </w:pPr>
            <w:r>
              <w:t xml:space="preserve">kappa</w:t>
            </w:r>
          </w:p>
        </w:tc>
        <w:tc>
          <w:tcPr/>
          <w:p>
            <w:pPr>
              <w:pStyle w:val="Compact"/>
              <w:jc w:val="left"/>
            </w:pPr>
            <w:r>
              <w:t xml:space="preserve">Total relaxation lambda0/mu; fraction of gap closed = 1-exp(-kappa)</w:t>
            </w:r>
          </w:p>
        </w:tc>
        <w:tc>
          <w:tcPr/>
          <w:p>
            <w:pPr>
              <w:pStyle w:val="Compact"/>
              <w:jc w:val="right"/>
            </w:pPr>
            <w:r>
              <w:t xml:space="preserve">4.3052</w:t>
            </w:r>
          </w:p>
        </w:tc>
        <w:tc>
          <w:tcPr/>
          <w:p>
            <w:pPr>
              <w:pStyle w:val="Compact"/>
              <w:jc w:val="right"/>
            </w:pPr>
            <w:r>
              <w:t xml:space="preserve">7.2073</w:t>
            </w:r>
          </w:p>
        </w:tc>
        <w:tc>
          <w:tcPr/>
          <w:p>
            <w:pPr>
              <w:pStyle w:val="Compact"/>
              <w:jc w:val="right"/>
            </w:pPr>
            <w:r>
              <w:t xml:space="preserve">0.327</w:t>
            </w:r>
          </w:p>
        </w:tc>
        <w:tc>
          <w:tcPr/>
          <w:p>
            <w:pPr>
              <w:pStyle w:val="Compact"/>
              <w:jc w:val="right"/>
            </w:pPr>
            <w:r>
              <w:t xml:space="preserve">20.147</w:t>
            </w:r>
          </w:p>
        </w:tc>
      </w:tr>
      <w:tr>
        <w:tc>
          <w:tcPr/>
          <w:p>
            <w:pPr>
              <w:pStyle w:val="Compact"/>
              <w:jc w:val="left"/>
            </w:pPr>
            <w:r>
              <w:t xml:space="preserve">y_asym</w:t>
            </w:r>
          </w:p>
        </w:tc>
        <w:tc>
          <w:tcPr/>
          <w:p>
            <w:pPr>
              <w:pStyle w:val="Compact"/>
              <w:jc w:val="left"/>
            </w:pPr>
            <w:r>
              <w:t xml:space="preserve">Attainable deep soil organic carbon, y(Inf) (g/kg)</w:t>
            </w:r>
          </w:p>
        </w:tc>
        <w:tc>
          <w:tcPr/>
          <w:p>
            <w:pPr>
              <w:pStyle w:val="Compact"/>
              <w:jc w:val="right"/>
            </w:pPr>
            <w:r>
              <w:t xml:space="preserve">2.0481</w:t>
            </w:r>
          </w:p>
        </w:tc>
        <w:tc>
          <w:tcPr/>
          <w:p>
            <w:pPr>
              <w:pStyle w:val="Compact"/>
              <w:jc w:val="right"/>
            </w:pPr>
            <w:r>
              <w:t xml:space="preserve">0.9523</w:t>
            </w:r>
          </w:p>
        </w:tc>
        <w:tc>
          <w:tcPr/>
          <w:p>
            <w:pPr>
              <w:pStyle w:val="Compact"/>
              <w:jc w:val="right"/>
            </w:pPr>
            <w:r>
              <w:t xml:space="preserve">0.417</w:t>
            </w:r>
          </w:p>
        </w:tc>
        <w:tc>
          <w:tcPr/>
          <w:p>
            <w:pPr>
              <w:pStyle w:val="Compact"/>
              <w:jc w:val="right"/>
            </w:pPr>
            <w:r>
              <w:t xml:space="preserve">3.990</w:t>
            </w:r>
          </w:p>
        </w:tc>
      </w:tr>
      <w:tr>
        <w:tc>
          <w:tcPr/>
          <w:p>
            <w:pPr>
              <w:pStyle w:val="Compact"/>
              <w:jc w:val="left"/>
            </w:pPr>
            <w:r>
              <w:t xml:space="preserve">sigma</w:t>
            </w:r>
          </w:p>
        </w:tc>
        <w:tc>
          <w:tcPr/>
          <w:p>
            <w:pPr>
              <w:pStyle w:val="Compact"/>
              <w:jc w:val="left"/>
            </w:pPr>
            <w:r>
              <w:t xml:space="preserve">NA</w:t>
            </w:r>
          </w:p>
        </w:tc>
        <w:tc>
          <w:tcPr/>
          <w:p>
            <w:pPr>
              <w:pStyle w:val="Compact"/>
              <w:jc w:val="right"/>
            </w:pPr>
            <w:r>
              <w:t xml:space="preserve">0.2297</w:t>
            </w:r>
          </w:p>
        </w:tc>
        <w:tc>
          <w:tcPr/>
          <w:p>
            <w:pPr>
              <w:pStyle w:val="Compact"/>
              <w:jc w:val="right"/>
            </w:pPr>
            <w:r>
              <w:t xml:space="preserve">0.0745</w:t>
            </w:r>
          </w:p>
        </w:tc>
        <w:tc>
          <w:tcPr/>
          <w:p>
            <w:pPr>
              <w:pStyle w:val="Compact"/>
              <w:jc w:val="right"/>
            </w:pPr>
            <w:r>
              <w:t xml:space="preserve">0.131</w:t>
            </w:r>
          </w:p>
        </w:tc>
        <w:tc>
          <w:tcPr/>
          <w:p>
            <w:pPr>
              <w:pStyle w:val="Compact"/>
              <w:jc w:val="right"/>
            </w:pPr>
            <w:r>
              <w:t xml:space="preserve">0.414</w:t>
            </w:r>
          </w:p>
        </w:tc>
      </w:tr>
    </w:tbl>
    <w:p>
      <w:pPr>
        <w:pStyle w:val="BodyText"/>
      </w:pPr>
      <w:r>
        <w:drawing>
          <wp:inline>
            <wp:extent cx="5334000" cy="2950723"/>
            <wp:effectExtent b="0" l="0" r="0" t="0"/>
            <wp:docPr descr="" title="" id="17" name="Picture"/>
            <a:graphic>
              <a:graphicData uri="http://schemas.openxmlformats.org/drawingml/2006/picture">
                <pic:pic>
                  <pic:nvPicPr>
                    <pic:cNvPr descr="plos-manuscript_files/figures/Fig3.png" id="18" name="Picture"/>
                    <pic:cNvPicPr>
                      <a:picLocks noChangeArrowheads="1" noChangeAspect="1"/>
                    </pic:cNvPicPr>
                  </pic:nvPicPr>
                  <pic:blipFill>
                    <a:blip r:embed="rId16"/>
                    <a:stretch>
                      <a:fillRect/>
                    </a:stretch>
                  </pic:blipFill>
                  <pic:spPr bwMode="auto">
                    <a:xfrm>
                      <a:off x="0" y="0"/>
                      <a:ext cx="5334000" cy="2950723"/>
                    </a:xfrm>
                    <a:prstGeom prst="rect">
                      <a:avLst/>
                    </a:prstGeom>
                    <a:noFill/>
                    <a:ln w="9525">
                      <a:noFill/>
                      <a:headEnd/>
                      <a:tailEnd/>
                    </a:ln>
                  </pic:spPr>
                </pic:pic>
              </a:graphicData>
            </a:graphic>
          </wp:inline>
        </w:drawing>
      </w:r>
    </w:p>
    <w:p>
      <w:pPr>
        <w:pStyle w:val="BodyText"/>
      </w:pPr>
      <w:r>
        <w:rPr>
          <w:b/>
          <w:bCs/>
        </w:rPr>
        <w:t xml:space="preserve">Fig 3. A depth profile as the solution of a pedogenetic equation.</w:t>
      </w:r>
      <w:r>
        <w:t xml:space="preserve"> </w:t>
      </w:r>
      <w:r>
        <w:t xml:space="preserve">(A) The fitted mean (line) against the nine measured horizons (points), with the attained deep value</w:t>
      </w:r>
      <w:r>
        <w:t xml:space="preserve"> </w:t>
      </w:r>
      <m:oMath>
        <m:r>
          <m:t>y</m:t>
        </m:r>
        <m:r>
          <m:rPr>
            <m:sty m:val="p"/>
          </m:rPr>
          <m:t>(</m:t>
        </m:r>
        <m:r>
          <m:rPr>
            <m:sty m:val="p"/>
          </m:rPr>
          <m:t>∞</m:t>
        </m:r>
        <m:r>
          <m:rPr>
            <m:sty m:val="p"/>
          </m:rPr>
          <m:t>)</m:t>
        </m:r>
      </m:oMath>
      <w:r>
        <w:t xml:space="preserve"> </w:t>
      </w:r>
      <w:r>
        <w:t xml:space="preserve">and the unattained coordinate</w:t>
      </w:r>
      <w:r>
        <w:t xml:space="preserve"> </w:t>
      </w:r>
      <m:oMath>
        <m:sSub>
          <m:e>
            <m:r>
              <m:t>y</m:t>
            </m:r>
          </m:e>
          <m:sub>
            <m:r>
              <m:rPr>
                <m:sty m:val="p"/>
              </m:rPr>
              <m:t>∞</m:t>
            </m:r>
          </m:sub>
        </m:sSub>
      </m:oMath>
      <w:r>
        <w:t xml:space="preserve"> </w:t>
      </w:r>
      <w:r>
        <w:t xml:space="preserve">marked. Two ribbons are drawn because they claim different things: the inner is the 95%</w:t>
      </w:r>
      <w:r>
        <w:t xml:space="preserve"> </w:t>
      </w:r>
      <w:r>
        <w:rPr>
          <w:i/>
          <w:iCs/>
        </w:rPr>
        <w:t xml:space="preserve">pointwise</w:t>
      </w:r>
      <w:r>
        <w:t xml:space="preserve"> </w:t>
      </w:r>
      <w:r>
        <w:t xml:space="preserve">band, which covers each depth taken separately, and the outer is the 95%</w:t>
      </w:r>
      <w:r>
        <w:t xml:space="preserve"> </w:t>
      </w:r>
      <w:r>
        <w:rPr>
          <w:i/>
          <w:iCs/>
        </w:rPr>
        <w:t xml:space="preserve">simultaneous</w:t>
      </w:r>
      <w:r>
        <w:t xml:space="preserve"> </w:t>
      </w:r>
      <w:r>
        <w:t xml:space="preserve">(sup-t) band</w:t>
      </w:r>
      <w:r>
        <w:t xml:space="preserve"> </w:t>
      </w:r>
      <w:r>
        <w:t xml:space="preserve">[9]</w:t>
      </w:r>
      <w:r>
        <w:t xml:space="preserve">, which covers the whole curve. Over the 120 depths plotted the distinction is not decorative — resampling the posterior draws through this fit, the pointwise ribbon contains a complete curve only 80% of the time. A single ribbon labelled</w:t>
      </w:r>
      <w:r>
        <w:t xml:space="preserve"> </w:t>
      </w:r>
      <w:r>
        <w:t xml:space="preserve">“the 95% band”</w:t>
      </w:r>
      <w:r>
        <w:t xml:space="preserve"> </w:t>
      </w:r>
      <w:r>
        <w:t xml:space="preserve">for a profile is the pointwise one, and it overstates its coverage. (B) Posterior mean and 95% interval for each parameter; the attainable deep value is identified and strictly positive, while</w:t>
      </w:r>
      <w:r>
        <w:t xml:space="preserve"> </w:t>
      </w:r>
      <m:oMath>
        <m:sSub>
          <m:e>
            <m:r>
              <m:t>y</m:t>
            </m:r>
          </m:e>
          <m:sub>
            <m:r>
              <m:rPr>
                <m:sty m:val="p"/>
              </m:rPr>
              <m:t>∞</m:t>
            </m:r>
          </m:sub>
        </m:sSub>
      </m:oMath>
      <w:r>
        <w:t xml:space="preserve"> </w:t>
      </w:r>
      <w:r>
        <w:t xml:space="preserve">is not identified and its interval crosses into impossible territory.</w:t>
      </w:r>
    </w:p>
    <w:p>
      <w:pPr>
        <w:pStyle w:val="BodyText"/>
      </w:pPr>
      <w:r>
        <w:t xml:space="preserve">The surface concentration is 23.8 g/kg with an interval 17.9 g/kg wide, and the attainable deep value is identified and admissible at 2.05 g/kg, interval [0.42, 3.99]. The coordinate</w:t>
      </w:r>
      <w:r>
        <w:t xml:space="preserve"> </w:t>
      </w:r>
      <m:oMath>
        <m:sSub>
          <m:e>
            <m:r>
              <m:t>y</m:t>
            </m:r>
          </m:e>
          <m:sub>
            <m:r>
              <m:rPr>
                <m:sty m:val="p"/>
              </m:rPr>
              <m:t>∞</m:t>
            </m:r>
          </m:sub>
        </m:sSub>
      </m:oMath>
      <w:r>
        <w:t xml:space="preserve"> </w:t>
      </w:r>
      <w:r>
        <w:t xml:space="preserve">is not identified: its interval, [-52.1, 3.5], is 15.6 times wider and reaches into negative carbon. Nine horizons to 550 cm do constrain where the profile is heading; what they cannot do is locate a coordinate the profile never visits. The last row is the observation noise, a coefficient of variation of 0.23 — a 23% relative error, which is the right order for laboratory organic carbon and would have been an uninterpretable 1.5 g/kg under the Gaussian.</w:t>
      </w:r>
    </w:p>
    <w:p>
      <w:pPr>
        <w:pStyle w:val="BodyText"/>
      </w:pPr>
      <w:r>
        <w:rPr>
          <w:b/>
          <w:bCs/>
        </w:rPr>
        <w:t xml:space="preserve">The approximation we used to report matters here.</w:t>
      </w:r>
      <w:r>
        <w:t xml:space="preserve"> </w:t>
      </w:r>
      <w:r>
        <w:t xml:space="preserve">Through an earlier version of this work every Bayesian number above came from a Laplace approximation, and on this pedon it misrepresents the posterior in a specific and reproducible way. Being Gaussian on the log coordinates, it is too light-tailed, and 5 of the 7 intervals come out narrower than the sampler’s —</w:t>
      </w:r>
      <w:r>
        <w:t xml:space="preserve"> </w:t>
      </w:r>
      <m:oMath>
        <m:r>
          <m:t>κ</m:t>
        </m:r>
      </m:oMath>
      <w:r>
        <w:t xml:space="preserve"> </w:t>
      </w:r>
      <w:r>
        <w:t xml:space="preserve">and</w:t>
      </w:r>
      <w:r>
        <w:t xml:space="preserve"> </w:t>
      </w:r>
      <m:oMath>
        <m:sSub>
          <m:e>
            <m:r>
              <m:t>y</m:t>
            </m:r>
          </m:e>
          <m:sub>
            <m:r>
              <m:rPr>
                <m:sty m:val="p"/>
              </m:rPr>
              <m:t>∞</m:t>
            </m:r>
          </m:sub>
        </m:sSub>
      </m:oMath>
      <w:r>
        <w:t xml:space="preserve"> </w:t>
      </w:r>
      <w:r>
        <w:t xml:space="preserve">by a factor above two, the observation noise by 1.8. That last one is not a technicality: the coefficient of variation reads 0.168 under Laplace against 0.230 here, the difference between claiming a 17% and a 23% laboratory error.</w:t>
      </w:r>
    </w:p>
    <w:p>
      <w:pPr>
        <w:pStyle w:val="BodyText"/>
      </w:pPr>
      <w:r>
        <w:t xml:space="preserve">Two rows do not follow the pattern, and both are informative. The attainable deep value</w:t>
      </w:r>
      <w:r>
        <w:t xml:space="preserve"> </w:t>
      </w:r>
      <m:oMath>
        <m:r>
          <m:t>y</m:t>
        </m:r>
        <m:r>
          <m:rPr>
            <m:sty m:val="p"/>
          </m:rPr>
          <m:t>(</m:t>
        </m:r>
        <m:r>
          <m:rPr>
            <m:sty m:val="p"/>
          </m:rPr>
          <m:t>∞</m:t>
        </m:r>
        <m:r>
          <m:rPr>
            <m:sty m:val="p"/>
          </m:rPr>
          <m:t>)</m:t>
        </m:r>
      </m:oMath>
      <w:r>
        <w:t xml:space="preserve"> </w:t>
      </w:r>
      <w:r>
        <w:t xml:space="preserve">is essentially unchanged (width ratio 1.01), and</w:t>
      </w:r>
      <w:r>
        <w:t xml:space="preserve"> </w:t>
      </w:r>
      <m:oMath>
        <m:r>
          <m:t>μ</m:t>
        </m:r>
      </m:oMath>
      <w:r>
        <w:t xml:space="preserve"> </w:t>
      </w:r>
      <w:r>
        <w:t xml:space="preserve">is actually</w:t>
      </w:r>
      <w:r>
        <w:t xml:space="preserve"> </w:t>
      </w:r>
      <w:r>
        <w:rPr>
          <w:i/>
          <w:iCs/>
        </w:rPr>
        <w:t xml:space="preserve">wider</w:t>
      </w:r>
      <w:r>
        <w:t xml:space="preserve"> </w:t>
      </w:r>
      <w:r>
        <w:t xml:space="preserve">under the approximation (0.85). So this is not a uniform inflation: the quantity the data identify is robust to how the posterior is approximated, and the quantities they do not identify are the ones that move. That is the same division the rest of this section reports, arrived at by a different route.</w:t>
      </w:r>
    </w:p>
    <w:tbl>
      <w:tblPr>
        <w:tblStyle w:val="Table"/>
        <w:tblW w:type="pct" w:w="5000"/>
        <w:tblLayout w:type="fixed"/>
        <w:tblLook w:firstRow="1" w:lastRow="0" w:firstColumn="0" w:lastColumn="0" w:noHBand="0" w:noVBand="0" w:val="0020"/>
      </w:tblPr>
      <w:tblGrid>
        <w:gridCol w:w="1131"/>
        <w:gridCol w:w="1470"/>
        <w:gridCol w:w="1131"/>
        <w:gridCol w:w="1584"/>
        <w:gridCol w:w="1244"/>
        <w:gridCol w:w="1357"/>
      </w:tblGrid>
      <w:tr>
        <w:trPr>
          <w:tblHeader w:val="on"/>
        </w:trPr>
        <w:tc>
          <w:tcPr/>
          <w:p>
            <w:pPr>
              <w:pStyle w:val="Compact"/>
              <w:jc w:val="left"/>
            </w:pPr>
            <w:r>
              <w:t xml:space="preserve">Parameter</w:t>
            </w:r>
          </w:p>
        </w:tc>
        <w:tc>
          <w:tcPr/>
          <w:p>
            <w:pPr>
              <w:pStyle w:val="Compact"/>
              <w:jc w:val="right"/>
            </w:pPr>
            <w:r>
              <w:t xml:space="preserve">Laplace mean</w:t>
            </w:r>
          </w:p>
        </w:tc>
        <w:tc>
          <w:tcPr/>
          <w:p>
            <w:pPr>
              <w:pStyle w:val="Compact"/>
              <w:jc w:val="right"/>
            </w:pPr>
            <w:r>
              <w:t xml:space="preserve">MCMC mean</w:t>
            </w:r>
          </w:p>
        </w:tc>
        <w:tc>
          <w:tcPr/>
          <w:p>
            <w:pPr>
              <w:pStyle w:val="Compact"/>
              <w:jc w:val="right"/>
            </w:pPr>
            <w:r>
              <w:t xml:space="preserve">Laplace width</w:t>
            </w:r>
          </w:p>
        </w:tc>
        <w:tc>
          <w:tcPr/>
          <w:p>
            <w:pPr>
              <w:pStyle w:val="Compact"/>
              <w:jc w:val="right"/>
            </w:pPr>
            <w:r>
              <w:t xml:space="preserve">MCMC width</w:t>
            </w:r>
          </w:p>
        </w:tc>
        <w:tc>
          <w:tcPr/>
          <w:p>
            <w:pPr>
              <w:pStyle w:val="Compact"/>
              <w:jc w:val="right"/>
            </w:pPr>
            <w:r>
              <w:t xml:space="preserve">Width ratio</w:t>
            </w:r>
          </w:p>
        </w:tc>
      </w:tr>
      <w:tr>
        <w:tc>
          <w:tcPr/>
          <w:p>
            <w:pPr>
              <w:pStyle w:val="Compact"/>
              <w:jc w:val="left"/>
            </w:pPr>
            <w:r>
              <w:t xml:space="preserve">kappa</w:t>
            </w:r>
          </w:p>
        </w:tc>
        <w:tc>
          <w:tcPr/>
          <w:p>
            <w:pPr>
              <w:pStyle w:val="Compact"/>
              <w:jc w:val="right"/>
            </w:pPr>
            <w:r>
              <w:t xml:space="preserve">3.0343</w:t>
            </w:r>
          </w:p>
        </w:tc>
        <w:tc>
          <w:tcPr/>
          <w:p>
            <w:pPr>
              <w:pStyle w:val="Compact"/>
              <w:jc w:val="right"/>
            </w:pPr>
            <w:r>
              <w:t xml:space="preserve">4.3052</w:t>
            </w:r>
          </w:p>
        </w:tc>
        <w:tc>
          <w:tcPr/>
          <w:p>
            <w:pPr>
              <w:pStyle w:val="Compact"/>
              <w:jc w:val="right"/>
            </w:pPr>
            <w:r>
              <w:t xml:space="preserve">8.777</w:t>
            </w:r>
          </w:p>
        </w:tc>
        <w:tc>
          <w:tcPr/>
          <w:p>
            <w:pPr>
              <w:pStyle w:val="Compact"/>
              <w:jc w:val="right"/>
            </w:pPr>
            <w:r>
              <w:t xml:space="preserve">19.820</w:t>
            </w:r>
          </w:p>
        </w:tc>
        <w:tc>
          <w:tcPr/>
          <w:p>
            <w:pPr>
              <w:pStyle w:val="Compact"/>
              <w:jc w:val="right"/>
            </w:pPr>
            <w:r>
              <w:t xml:space="preserve">2.26</w:t>
            </w:r>
          </w:p>
        </w:tc>
      </w:tr>
      <w:tr>
        <w:tc>
          <w:tcPr/>
          <w:p>
            <w:pPr>
              <w:pStyle w:val="Compact"/>
              <w:jc w:val="left"/>
            </w:pPr>
            <w:r>
              <w:t xml:space="preserve">lambda0</w:t>
            </w:r>
          </w:p>
        </w:tc>
        <w:tc>
          <w:tcPr/>
          <w:p>
            <w:pPr>
              <w:pStyle w:val="Compact"/>
              <w:jc w:val="right"/>
            </w:pPr>
            <w:r>
              <w:t xml:space="preserve">0.0105</w:t>
            </w:r>
          </w:p>
        </w:tc>
        <w:tc>
          <w:tcPr/>
          <w:p>
            <w:pPr>
              <w:pStyle w:val="Compact"/>
              <w:jc w:val="right"/>
            </w:pPr>
            <w:r>
              <w:t xml:space="preserve">0.0087</w:t>
            </w:r>
          </w:p>
        </w:tc>
        <w:tc>
          <w:tcPr/>
          <w:p>
            <w:pPr>
              <w:pStyle w:val="Compact"/>
              <w:jc w:val="right"/>
            </w:pPr>
            <w:r>
              <w:t xml:space="preserve">0.014</w:t>
            </w:r>
          </w:p>
        </w:tc>
        <w:tc>
          <w:tcPr/>
          <w:p>
            <w:pPr>
              <w:pStyle w:val="Compact"/>
              <w:jc w:val="right"/>
            </w:pPr>
            <w:r>
              <w:t xml:space="preserve">0.017</w:t>
            </w:r>
          </w:p>
        </w:tc>
        <w:tc>
          <w:tcPr/>
          <w:p>
            <w:pPr>
              <w:pStyle w:val="Compact"/>
              <w:jc w:val="right"/>
            </w:pPr>
            <w:r>
              <w:t xml:space="preserve">1.21</w:t>
            </w:r>
          </w:p>
        </w:tc>
      </w:tr>
      <w:tr>
        <w:tc>
          <w:tcPr/>
          <w:p>
            <w:pPr>
              <w:pStyle w:val="Compact"/>
              <w:jc w:val="left"/>
            </w:pPr>
            <w:r>
              <w:t xml:space="preserve">mu</w:t>
            </w:r>
          </w:p>
        </w:tc>
        <w:tc>
          <w:tcPr/>
          <w:p>
            <w:pPr>
              <w:pStyle w:val="Compact"/>
              <w:jc w:val="right"/>
            </w:pPr>
            <w:r>
              <w:t xml:space="preserve">0.0048</w:t>
            </w:r>
          </w:p>
        </w:tc>
        <w:tc>
          <w:tcPr/>
          <w:p>
            <w:pPr>
              <w:pStyle w:val="Compact"/>
              <w:jc w:val="right"/>
            </w:pPr>
            <w:r>
              <w:t xml:space="preserve">0.0039</w:t>
            </w:r>
          </w:p>
        </w:tc>
        <w:tc>
          <w:tcPr/>
          <w:p>
            <w:pPr>
              <w:pStyle w:val="Compact"/>
              <w:jc w:val="right"/>
            </w:pPr>
            <w:r>
              <w:t xml:space="preserve">0.011</w:t>
            </w:r>
          </w:p>
        </w:tc>
        <w:tc>
          <w:tcPr/>
          <w:p>
            <w:pPr>
              <w:pStyle w:val="Compact"/>
              <w:jc w:val="right"/>
            </w:pPr>
            <w:r>
              <w:t xml:space="preserve">0.010</w:t>
            </w:r>
          </w:p>
        </w:tc>
        <w:tc>
          <w:tcPr/>
          <w:p>
            <w:pPr>
              <w:pStyle w:val="Compact"/>
              <w:jc w:val="right"/>
            </w:pPr>
            <w:r>
              <w:t xml:space="preserve">0.85</w:t>
            </w:r>
          </w:p>
        </w:tc>
      </w:tr>
      <w:tr>
        <w:tc>
          <w:tcPr/>
          <w:p>
            <w:pPr>
              <w:pStyle w:val="Compact"/>
              <w:jc w:val="left"/>
            </w:pPr>
            <w:r>
              <w:t xml:space="preserve">sigma</w:t>
            </w:r>
          </w:p>
        </w:tc>
        <w:tc>
          <w:tcPr/>
          <w:p>
            <w:pPr>
              <w:pStyle w:val="Compact"/>
              <w:jc w:val="right"/>
            </w:pPr>
            <w:r>
              <w:t xml:space="preserve">0.1684</w:t>
            </w:r>
          </w:p>
        </w:tc>
        <w:tc>
          <w:tcPr/>
          <w:p>
            <w:pPr>
              <w:pStyle w:val="Compact"/>
              <w:jc w:val="right"/>
            </w:pPr>
            <w:r>
              <w:t xml:space="preserve">0.2297</w:t>
            </w:r>
          </w:p>
        </w:tc>
        <w:tc>
          <w:tcPr/>
          <w:p>
            <w:pPr>
              <w:pStyle w:val="Compact"/>
              <w:jc w:val="right"/>
            </w:pPr>
            <w:r>
              <w:t xml:space="preserve">0.157</w:t>
            </w:r>
          </w:p>
        </w:tc>
        <w:tc>
          <w:tcPr/>
          <w:p>
            <w:pPr>
              <w:pStyle w:val="Compact"/>
              <w:jc w:val="right"/>
            </w:pPr>
            <w:r>
              <w:t xml:space="preserve">0.284</w:t>
            </w:r>
          </w:p>
        </w:tc>
        <w:tc>
          <w:tcPr/>
          <w:p>
            <w:pPr>
              <w:pStyle w:val="Compact"/>
              <w:jc w:val="right"/>
            </w:pPr>
            <w:r>
              <w:t xml:space="preserve">1.81</w:t>
            </w:r>
          </w:p>
        </w:tc>
      </w:tr>
      <w:tr>
        <w:tc>
          <w:tcPr/>
          <w:p>
            <w:pPr>
              <w:pStyle w:val="Compact"/>
              <w:jc w:val="left"/>
            </w:pPr>
            <w:r>
              <w:t xml:space="preserve">y_asym</w:t>
            </w:r>
          </w:p>
        </w:tc>
        <w:tc>
          <w:tcPr/>
          <w:p>
            <w:pPr>
              <w:pStyle w:val="Compact"/>
              <w:jc w:val="right"/>
            </w:pPr>
            <w:r>
              <w:t xml:space="preserve">2.2205</w:t>
            </w:r>
          </w:p>
        </w:tc>
        <w:tc>
          <w:tcPr/>
          <w:p>
            <w:pPr>
              <w:pStyle w:val="Compact"/>
              <w:jc w:val="right"/>
            </w:pPr>
            <w:r>
              <w:t xml:space="preserve">2.0481</w:t>
            </w:r>
          </w:p>
        </w:tc>
        <w:tc>
          <w:tcPr/>
          <w:p>
            <w:pPr>
              <w:pStyle w:val="Compact"/>
              <w:jc w:val="right"/>
            </w:pPr>
            <w:r>
              <w:t xml:space="preserve">3.533</w:t>
            </w:r>
          </w:p>
        </w:tc>
        <w:tc>
          <w:tcPr/>
          <w:p>
            <w:pPr>
              <w:pStyle w:val="Compact"/>
              <w:jc w:val="right"/>
            </w:pPr>
            <w:r>
              <w:t xml:space="preserve">3.573</w:t>
            </w:r>
          </w:p>
        </w:tc>
        <w:tc>
          <w:tcPr/>
          <w:p>
            <w:pPr>
              <w:pStyle w:val="Compact"/>
              <w:jc w:val="right"/>
            </w:pPr>
            <w:r>
              <w:t xml:space="preserve">1.01</w:t>
            </w:r>
          </w:p>
        </w:tc>
      </w:tr>
      <w:tr>
        <w:tc>
          <w:tcPr/>
          <w:p>
            <w:pPr>
              <w:pStyle w:val="Compact"/>
              <w:jc w:val="left"/>
            </w:pPr>
            <w:r>
              <w:t xml:space="preserve">y_inf</w:t>
            </w:r>
          </w:p>
        </w:tc>
        <w:tc>
          <w:tcPr/>
          <w:p>
            <w:pPr>
              <w:pStyle w:val="Compact"/>
              <w:jc w:val="right"/>
            </w:pPr>
            <w:r>
              <w:t xml:space="preserve">-2.2916</w:t>
            </w:r>
          </w:p>
        </w:tc>
        <w:tc>
          <w:tcPr/>
          <w:p>
            <w:pPr>
              <w:pStyle w:val="Compact"/>
              <w:jc w:val="right"/>
            </w:pPr>
            <w:r>
              <w:t xml:space="preserve">-5.2912</w:t>
            </w:r>
          </w:p>
        </w:tc>
        <w:tc>
          <w:tcPr/>
          <w:p>
            <w:pPr>
              <w:pStyle w:val="Compact"/>
              <w:jc w:val="right"/>
            </w:pPr>
            <w:r>
              <w:t xml:space="preserve">23.703</w:t>
            </w:r>
          </w:p>
        </w:tc>
        <w:tc>
          <w:tcPr/>
          <w:p>
            <w:pPr>
              <w:pStyle w:val="Compact"/>
              <w:jc w:val="right"/>
            </w:pPr>
            <w:r>
              <w:t xml:space="preserve">55.593</w:t>
            </w:r>
          </w:p>
        </w:tc>
        <w:tc>
          <w:tcPr/>
          <w:p>
            <w:pPr>
              <w:pStyle w:val="Compact"/>
              <w:jc w:val="right"/>
            </w:pPr>
            <w:r>
              <w:t xml:space="preserve">2.35</w:t>
            </w:r>
          </w:p>
        </w:tc>
      </w:tr>
      <w:tr>
        <w:tc>
          <w:tcPr/>
          <w:p>
            <w:pPr>
              <w:pStyle w:val="Compact"/>
              <w:jc w:val="left"/>
            </w:pPr>
            <w:r>
              <w:t xml:space="preserve">y0</w:t>
            </w:r>
          </w:p>
        </w:tc>
        <w:tc>
          <w:tcPr/>
          <w:p>
            <w:pPr>
              <w:pStyle w:val="Compact"/>
              <w:jc w:val="right"/>
            </w:pPr>
            <w:r>
              <w:t xml:space="preserve">24.2147</w:t>
            </w:r>
          </w:p>
        </w:tc>
        <w:tc>
          <w:tcPr/>
          <w:p>
            <w:pPr>
              <w:pStyle w:val="Compact"/>
              <w:jc w:val="right"/>
            </w:pPr>
            <w:r>
              <w:t xml:space="preserve">23.8413</w:t>
            </w:r>
          </w:p>
        </w:tc>
        <w:tc>
          <w:tcPr/>
          <w:p>
            <w:pPr>
              <w:pStyle w:val="Compact"/>
              <w:jc w:val="right"/>
            </w:pPr>
            <w:r>
              <w:t xml:space="preserve">12.580</w:t>
            </w:r>
          </w:p>
        </w:tc>
        <w:tc>
          <w:tcPr/>
          <w:p>
            <w:pPr>
              <w:pStyle w:val="Compact"/>
              <w:jc w:val="right"/>
            </w:pPr>
            <w:r>
              <w:t xml:space="preserve">17.904</w:t>
            </w:r>
          </w:p>
        </w:tc>
        <w:tc>
          <w:tcPr/>
          <w:p>
            <w:pPr>
              <w:pStyle w:val="Compact"/>
              <w:jc w:val="right"/>
            </w:pPr>
            <w:r>
              <w:t xml:space="preserve">1.42</w:t>
            </w:r>
          </w:p>
        </w:tc>
      </w:tr>
    </w:tbl>
    <w:p>
      <w:pPr>
        <w:pStyle w:val="BodyText"/>
      </w:pPr>
      <w:r>
        <w:rPr>
          <w:b/>
          <w:bCs/>
        </w:rPr>
        <w:t xml:space="preserve">Table 3. What the Laplace approximation costs on this posterior.</w:t>
      </w:r>
      <w:r>
        <w:t xml:space="preserve"> </w:t>
      </w:r>
      <w:r>
        <w:t xml:space="preserve">Widths are 95% interval widths; the ratio is MCMC over Laplace, so a value above 1 means the approximation was too confident. Both fits use the same data, likelihood, operator and seed.</w:t>
      </w:r>
    </w:p>
    <w:p>
      <w:pPr>
        <w:pStyle w:val="BodyText"/>
      </w:pPr>
      <w:r>
        <w:t xml:space="preserve">The derived coordinate</w:t>
      </w:r>
      <w:r>
        <w:t xml:space="preserve"> </w:t>
      </w:r>
      <m:oMath>
        <m:sSub>
          <m:e>
            <m:r>
              <m:t>y</m:t>
            </m:r>
          </m:e>
          <m:sub>
            <m:r>
              <m:rPr>
                <m:sty m:val="p"/>
              </m:rPr>
              <m:t>∞</m:t>
            </m:r>
          </m:sub>
        </m:sSub>
      </m:oMath>
      <w:r>
        <w:t xml:space="preserve"> </w:t>
      </w:r>
      <w:r>
        <w:t xml:space="preserve">disagrees far more than the rest, and the reason is diagnosable rather than being sampler noise. Because</w:t>
      </w:r>
      <w:r>
        <w:t xml:space="preserve"> </w:t>
      </w:r>
      <m:oMath>
        <m:sSub>
          <m:e>
            <m:r>
              <m:t>y</m:t>
            </m:r>
          </m:e>
          <m:sub>
            <m:r>
              <m:rPr>
                <m:sty m:val="p"/>
              </m:rPr>
              <m:t>∞</m:t>
            </m:r>
          </m:sub>
        </m:sSub>
        <m:r>
          <m:rPr>
            <m:sty m:val="p"/>
          </m:rPr>
          <m:t>=</m:t>
        </m:r>
        <m:r>
          <m:rPr>
            <m:sty m:val="p"/>
          </m:rPr>
          <m:t>(</m:t>
        </m:r>
        <m:r>
          <m:t>A</m:t>
        </m:r>
        <m:r>
          <m:rPr>
            <m:sty m:val="p"/>
          </m:rPr>
          <m:t>−</m:t>
        </m:r>
        <m:sSub>
          <m:e>
            <m:r>
              <m:t>y</m:t>
            </m:r>
          </m:e>
          <m:sub>
            <m:r>
              <m:t>0</m:t>
            </m:r>
          </m:sub>
        </m:sSub>
        <m:sSup>
          <m:e>
            <m:r>
              <m:t>e</m:t>
            </m:r>
          </m:e>
          <m:sup>
            <m:r>
              <m:rPr>
                <m:sty m:val="p"/>
              </m:rPr>
              <m:t>−</m:t>
            </m:r>
            <m:r>
              <m:t>κ</m:t>
            </m:r>
          </m:sup>
        </m:sSup>
        <m:r>
          <m:rPr>
            <m:sty m:val="p"/>
          </m:rPr>
          <m:t>)</m:t>
        </m:r>
        <m:r>
          <m:rPr>
            <m:sty m:val="p"/>
          </m:rPr>
          <m:t>/</m:t>
        </m:r>
        <m:r>
          <m:rPr>
            <m:sty m:val="p"/>
          </m:rPr>
          <m:t>(</m:t>
        </m:r>
        <m:r>
          <m:t>1</m:t>
        </m:r>
        <m:r>
          <m:rPr>
            <m:sty m:val="p"/>
          </m:rPr>
          <m:t>−</m:t>
        </m:r>
        <m:sSup>
          <m:e>
            <m:r>
              <m:t>e</m:t>
            </m:r>
          </m:e>
          <m:sup>
            <m:r>
              <m:rPr>
                <m:sty m:val="p"/>
              </m:rPr>
              <m:t>−</m:t>
            </m:r>
            <m:r>
              <m:t>κ</m:t>
            </m:r>
          </m:sup>
        </m:sSup>
        <m:r>
          <m:rPr>
            <m:sty m:val="p"/>
          </m:rPr>
          <m:t>)</m:t>
        </m:r>
      </m:oMath>
      <w:r>
        <w:t xml:space="preserve"> </w:t>
      </w:r>
      <w:r>
        <w:t xml:space="preserve">has a pole at</w:t>
      </w:r>
      <w:r>
        <w:t xml:space="preserve"> </w:t>
      </w:r>
      <m:oMath>
        <m:r>
          <m:t>κ</m:t>
        </m:r>
        <m:r>
          <m:rPr>
            <m:sty m:val="p"/>
          </m:rPr>
          <m:t>→</m:t>
        </m:r>
        <m:r>
          <m:t>0</m:t>
        </m:r>
      </m:oMath>
      <w:r>
        <w:t xml:space="preserve">, draws with small</w:t>
      </w:r>
      <w:r>
        <w:t xml:space="preserve"> </w:t>
      </w:r>
      <m:oMath>
        <m:r>
          <m:t>κ</m:t>
        </m:r>
      </m:oMath>
      <w:r>
        <w:t xml:space="preserve"> </w:t>
      </w:r>
      <w:r>
        <w:t xml:space="preserve">send it to large magnitudes. The MCMC places 5.3% of its draws below</w:t>
      </w:r>
      <w:r>
        <w:t xml:space="preserve"> </w:t>
      </w:r>
      <m:oMath>
        <m:r>
          <m:t>κ</m:t>
        </m:r>
        <m:r>
          <m:rPr>
            <m:sty m:val="p"/>
          </m:rPr>
          <m:t>=</m:t>
        </m:r>
        <m:r>
          <m:t>0.5</m:t>
        </m:r>
      </m:oMath>
      <w:r>
        <w:t xml:space="preserve"> </w:t>
      </w:r>
      <w:r>
        <w:t xml:space="preserve">and reaches</w:t>
      </w:r>
      <w:r>
        <w:t xml:space="preserve"> </w:t>
      </w:r>
      <m:oMath>
        <m:r>
          <m:t>κ</m:t>
        </m:r>
        <m:r>
          <m:rPr>
            <m:sty m:val="p"/>
          </m:rPr>
          <m:t>=</m:t>
        </m:r>
        <m:r>
          <m:t>0.080</m:t>
        </m:r>
      </m:oMath>
      <w:r>
        <w:t xml:space="preserve">; the Laplace places 0.5% there and stops at 0.285. Conditioning both on</w:t>
      </w:r>
      <w:r>
        <w:t xml:space="preserve"> </w:t>
      </w:r>
      <m:oMath>
        <m:r>
          <m:t>κ</m:t>
        </m:r>
        <m:r>
          <m:rPr>
            <m:sty m:val="p"/>
          </m:rPr>
          <m:t>≥</m:t>
        </m:r>
        <m:r>
          <m:t>0.5</m:t>
        </m:r>
      </m:oMath>
      <w:r>
        <w:t xml:space="preserve"> </w:t>
      </w:r>
      <w:r>
        <w:t xml:space="preserve">brings them into agreement (−2.12 against −2.22). The gap</w:t>
      </w:r>
      <w:r>
        <w:t xml:space="preserve"> </w:t>
      </w:r>
      <w:r>
        <w:rPr>
          <w:i/>
          <w:iCs/>
        </w:rPr>
        <w:t xml:space="preserve">is</w:t>
      </w:r>
      <w:r>
        <w:t xml:space="preserve"> </w:t>
      </w:r>
      <w:r>
        <w:t xml:space="preserve">the tail the approximation cannot see, and it sits precisely where the quantity we have already called unidentified becomes numerically unstable — so the disagreement is further evidence for that conclusion rather than a difficulty for it.</w:t>
      </w:r>
    </w:p>
    <w:p>
      <w:pPr>
        <w:pStyle w:val="BodyText"/>
      </w:pPr>
      <w:r>
        <w:t xml:space="preserve">We therefore report MCMC throughout and keep the Laplace path available for speed, with the caveat attached to it rather than to the reader.</w:t>
      </w:r>
    </w:p>
    <w:p>
      <w:pPr>
        <w:pStyle w:val="BodyText"/>
      </w:pPr>
      <m:oMath>
        <m:sSub>
          <m:e>
            <m:r>
              <m:t>y</m:t>
            </m:r>
          </m:e>
          <m:sub>
            <m:r>
              <m:rPr>
                <m:sty m:val="p"/>
              </m:rPr>
              <m:t>∞</m:t>
            </m:r>
          </m:sub>
        </m:sSub>
      </m:oMath>
      <w:r>
        <w:rPr>
          <w:b/>
          <w:bCs/>
        </w:rPr>
        <w:t xml:space="preserve"> </w:t>
      </w:r>
      <w:r>
        <w:rPr>
          <w:b/>
          <w:bCs/>
        </w:rPr>
        <w:t xml:space="preserve">has no posterior mean, and the sampler shows it.</w:t>
      </w:r>
      <w:r>
        <w:t xml:space="preserve"> </w:t>
      </w:r>
      <w:r>
        <w:t xml:space="preserve">Calling a parameter unidentified is usually supported by a wide interval. Something stronger holds here, and it is worth demonstrating because it decides how the row in Table 2 should be read. Since</w:t>
      </w:r>
      <w:r>
        <w:t xml:space="preserve"> </w:t>
      </w:r>
      <m:oMath>
        <m:sSub>
          <m:e>
            <m:r>
              <m:t>y</m:t>
            </m:r>
          </m:e>
          <m:sub>
            <m:r>
              <m:rPr>
                <m:sty m:val="p"/>
              </m:rPr>
              <m:t>∞</m:t>
            </m:r>
          </m:sub>
        </m:sSub>
      </m:oMath>
      <w:r>
        <w:t xml:space="preserve"> </w:t>
      </w:r>
      <w:r>
        <w:t xml:space="preserve">has a pole at</w:t>
      </w:r>
      <w:r>
        <w:t xml:space="preserve"> </w:t>
      </w:r>
      <m:oMath>
        <m:r>
          <m:t>κ</m:t>
        </m:r>
        <m:r>
          <m:rPr>
            <m:sty m:val="p"/>
          </m:rPr>
          <m:t>→</m:t>
        </m:r>
        <m:r>
          <m:t>0</m:t>
        </m:r>
      </m:oMath>
      <w:r>
        <w:t xml:space="preserve"> </w:t>
      </w:r>
      <w:r>
        <w:t xml:space="preserve">and the posterior places mass arbitrarily close to it, a longer chain simply reaches further into that tail. If the mean existed, the estimate would settle as the budget grew.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MCMC iterations</w:t>
            </w:r>
          </w:p>
        </w:tc>
        <w:tc>
          <w:tcPr/>
          <w:p>
            <w:pPr>
              <w:pStyle w:val="Compact"/>
              <w:jc w:val="right"/>
            </w:pPr>
            <w:r>
              <w:t xml:space="preserve">y-inf mean</w:t>
            </w:r>
          </w:p>
        </w:tc>
        <w:tc>
          <w:tcPr/>
          <w:p>
            <w:pPr>
              <w:pStyle w:val="Compact"/>
              <w:jc w:val="right"/>
            </w:pPr>
            <w:r>
              <w:t xml:space="preserve">y-inf 2.5%</w:t>
            </w:r>
          </w:p>
        </w:tc>
        <w:tc>
          <w:tcPr/>
          <w:p>
            <w:pPr>
              <w:pStyle w:val="Compact"/>
              <w:jc w:val="right"/>
            </w:pPr>
            <w:r>
              <w:t xml:space="preserve">y(Inf) mean</w:t>
            </w:r>
          </w:p>
        </w:tc>
        <w:tc>
          <w:tcPr/>
          <w:p>
            <w:pPr>
              <w:pStyle w:val="Compact"/>
              <w:jc w:val="right"/>
            </w:pPr>
            <w:r>
              <w:t xml:space="preserve">sigma mean</w:t>
            </w:r>
          </w:p>
        </w:tc>
      </w:tr>
      <w:tr>
        <w:tc>
          <w:tcPr/>
          <w:p>
            <w:pPr>
              <w:pStyle w:val="Compact"/>
              <w:jc w:val="right"/>
            </w:pPr>
            <w:r>
              <w:t xml:space="preserve">20,000</w:t>
            </w:r>
          </w:p>
        </w:tc>
        <w:tc>
          <w:tcPr/>
          <w:p>
            <w:pPr>
              <w:pStyle w:val="Compact"/>
              <w:jc w:val="right"/>
            </w:pPr>
            <w:r>
              <w:t xml:space="preserve">-5.20</w:t>
            </w:r>
          </w:p>
        </w:tc>
        <w:tc>
          <w:tcPr/>
          <w:p>
            <w:pPr>
              <w:pStyle w:val="Compact"/>
              <w:jc w:val="right"/>
            </w:pPr>
            <w:r>
              <w:t xml:space="preserve">-50.7</w:t>
            </w:r>
          </w:p>
        </w:tc>
        <w:tc>
          <w:tcPr/>
          <w:p>
            <w:pPr>
              <w:pStyle w:val="Compact"/>
              <w:jc w:val="right"/>
            </w:pPr>
            <w:r>
              <w:t xml:space="preserve">2.059</w:t>
            </w:r>
          </w:p>
        </w:tc>
        <w:tc>
          <w:tcPr/>
          <w:p>
            <w:pPr>
              <w:pStyle w:val="Compact"/>
              <w:jc w:val="right"/>
            </w:pPr>
            <w:r>
              <w:t xml:space="preserve">0.2290</w:t>
            </w:r>
          </w:p>
        </w:tc>
      </w:tr>
      <w:tr>
        <w:tc>
          <w:tcPr/>
          <w:p>
            <w:pPr>
              <w:pStyle w:val="Compact"/>
              <w:jc w:val="right"/>
            </w:pPr>
            <w:r>
              <w:t xml:space="preserve">60,000</w:t>
            </w:r>
          </w:p>
        </w:tc>
        <w:tc>
          <w:tcPr/>
          <w:p>
            <w:pPr>
              <w:pStyle w:val="Compact"/>
              <w:jc w:val="right"/>
            </w:pPr>
            <w:r>
              <w:t xml:space="preserve">-7.76</w:t>
            </w:r>
          </w:p>
        </w:tc>
        <w:tc>
          <w:tcPr/>
          <w:p>
            <w:pPr>
              <w:pStyle w:val="Compact"/>
              <w:jc w:val="right"/>
            </w:pPr>
            <w:r>
              <w:t xml:space="preserve">-67.0</w:t>
            </w:r>
          </w:p>
        </w:tc>
        <w:tc>
          <w:tcPr/>
          <w:p>
            <w:pPr>
              <w:pStyle w:val="Compact"/>
              <w:jc w:val="right"/>
            </w:pPr>
            <w:r>
              <w:t xml:space="preserve">2.040</w:t>
            </w:r>
          </w:p>
        </w:tc>
        <w:tc>
          <w:tcPr/>
          <w:p>
            <w:pPr>
              <w:pStyle w:val="Compact"/>
              <w:jc w:val="right"/>
            </w:pPr>
            <w:r>
              <w:t xml:space="preserve">0.2316</w:t>
            </w:r>
          </w:p>
        </w:tc>
      </w:tr>
      <w:tr>
        <w:tc>
          <w:tcPr/>
          <w:p>
            <w:pPr>
              <w:pStyle w:val="Compact"/>
              <w:jc w:val="right"/>
            </w:pPr>
            <w:r>
              <w:t xml:space="preserve">120,000</w:t>
            </w:r>
          </w:p>
        </w:tc>
        <w:tc>
          <w:tcPr/>
          <w:p>
            <w:pPr>
              <w:pStyle w:val="Compact"/>
              <w:jc w:val="right"/>
            </w:pPr>
            <w:r>
              <w:t xml:space="preserve">-10.63</w:t>
            </w:r>
          </w:p>
        </w:tc>
        <w:tc>
          <w:tcPr/>
          <w:p>
            <w:pPr>
              <w:pStyle w:val="Compact"/>
              <w:jc w:val="right"/>
            </w:pPr>
            <w:r>
              <w:t xml:space="preserve">-81.8</w:t>
            </w:r>
          </w:p>
        </w:tc>
        <w:tc>
          <w:tcPr/>
          <w:p>
            <w:pPr>
              <w:pStyle w:val="Compact"/>
              <w:jc w:val="right"/>
            </w:pPr>
            <w:r>
              <w:t xml:space="preserve">2.035</w:t>
            </w:r>
          </w:p>
        </w:tc>
        <w:tc>
          <w:tcPr/>
          <w:p>
            <w:pPr>
              <w:pStyle w:val="Compact"/>
              <w:jc w:val="right"/>
            </w:pPr>
            <w:r>
              <w:t xml:space="preserve">0.2300</w:t>
            </w:r>
          </w:p>
        </w:tc>
      </w:tr>
    </w:tbl>
    <w:p>
      <w:pPr>
        <w:pStyle w:val="BodyText"/>
      </w:pPr>
      <w:r>
        <w:rPr>
          <w:b/>
          <w:bCs/>
        </w:rPr>
        <w:t xml:space="preserve">Table 4. The same posterior at three sampling budgets.</w:t>
      </w:r>
      <w:r>
        <w:t xml:space="preserve"> </w:t>
      </w:r>
      <w:r>
        <w:t xml:space="preserve">Only the chain length changes; the data, likelihood, operator, prior and seed are fixed.</w:t>
      </w:r>
    </w:p>
    <w:p>
      <w:pPr>
        <w:pStyle w:val="BodyText"/>
      </w:pPr>
      <w:r>
        <w:t xml:space="preserve">It does not settle. The posterior mean of</w:t>
      </w:r>
      <w:r>
        <w:t xml:space="preserve"> </w:t>
      </w:r>
      <m:oMath>
        <m:sSub>
          <m:e>
            <m:r>
              <m:t>y</m:t>
            </m:r>
          </m:e>
          <m:sub>
            <m:r>
              <m:rPr>
                <m:sty m:val="p"/>
              </m:rPr>
              <m:t>∞</m:t>
            </m:r>
          </m:sub>
        </m:sSub>
      </m:oMath>
      <w:r>
        <w:t xml:space="preserve"> </w:t>
      </w:r>
      <w:r>
        <w:t xml:space="preserve">moves by 105% between the shortest and longest run and its lower quantile follows, while over the same sweep the attainable deep value moves 1.2% and the observation noise 0.4%. The number in the</w:t>
      </w:r>
      <w:r>
        <w:t xml:space="preserve"> </w:t>
      </w:r>
      <m:oMath>
        <m:sSub>
          <m:e>
            <m:r>
              <m:t>y</m:t>
            </m:r>
          </m:e>
          <m:sub>
            <m:r>
              <m:rPr>
                <m:sty m:val="p"/>
              </m:rPr>
              <m:t>∞</m:t>
            </m:r>
          </m:sub>
        </m:sSub>
      </m:oMath>
      <w:r>
        <w:t xml:space="preserve"> </w:t>
      </w:r>
      <w:r>
        <w:t xml:space="preserve">row of Table 2 is therefore a statement about how long we sampled, not about the soil, and we report it only because the symbol appears in the equation. The identified quantities are settled by the second row of Table 4.</w:t>
      </w:r>
    </w:p>
    <w:p>
      <w:pPr>
        <w:pStyle w:val="BodyText"/>
      </w:pPr>
      <w:r>
        <w:rPr>
          <w:b/>
          <w:bCs/>
        </w:rPr>
        <w:t xml:space="preserve">How much of this posterior is the prior?</w:t>
      </w:r>
      <w:r>
        <w:t xml:space="preserve"> </w:t>
      </w:r>
      <w:r>
        <w:t xml:space="preserve">The package’s default prior is empirical Bayes and the source says so: three of its hyperparameters are functions of the response being fitted. A posterior built that way cannot be presented as though the data alone produced it, so</w:t>
      </w:r>
      <w:r>
        <w:t xml:space="preserve"> </w:t>
      </w:r>
      <w:r>
        <w:rPr>
          <w:rStyle w:val="VerbatimChar"/>
        </w:rPr>
        <w:t xml:space="preserve">piml_prior_literature()</w:t>
      </w:r>
      <w:r>
        <w:t xml:space="preserve"> </w:t>
      </w:r>
      <w:r>
        <w:t xml:space="preserve">supplies a non-circular alternative whose hyperparameters come from published depth-function work and which takes no data at all. We refit under both, and under a third arm that widens the literature prior threefold on every scale, by MCMC throughout and at a budget large enough that all three converge (maximum split-</w:t>
      </w:r>
      <m:oMath>
        <m:acc>
          <m:accPr>
            <m:chr m:val="̂"/>
          </m:accPr>
          <m:e>
            <m:r>
              <m:t>R</m:t>
            </m:r>
          </m:e>
        </m:acc>
      </m:oMath>
      <w:r>
        <w:t xml:space="preserve"> </w:t>
      </w:r>
      <w:r>
        <w:t xml:space="preserve">1.007, minimum bulk ESS 487).</w:t>
      </w:r>
    </w:p>
    <w:tbl>
      <w:tblPr>
        <w:tblStyle w:val="Table"/>
        <w:tblW w:type="pct" w:w="5000"/>
        <w:tblLayout w:type="fixed"/>
        <w:tblLook w:firstRow="1" w:lastRow="0" w:firstColumn="0" w:lastColumn="0" w:noHBand="0" w:noVBand="0" w:val="0020"/>
      </w:tblPr>
      <w:tblGrid>
        <w:gridCol w:w="870"/>
        <w:gridCol w:w="1392"/>
        <w:gridCol w:w="957"/>
        <w:gridCol w:w="1827"/>
        <w:gridCol w:w="1827"/>
        <w:gridCol w:w="1044"/>
      </w:tblGrid>
      <w:tr>
        <w:trPr>
          <w:tblHeader w:val="on"/>
        </w:trPr>
        <w:tc>
          <w:tcPr/>
          <w:p>
            <w:pPr>
              <w:pStyle w:val="Compact"/>
              <w:jc w:val="left"/>
            </w:pPr>
            <w:r>
              <w:t xml:space="preserve">Parameter</w:t>
            </w:r>
          </w:p>
        </w:tc>
        <w:tc>
          <w:tcPr/>
          <w:p>
            <w:pPr>
              <w:pStyle w:val="Compact"/>
              <w:jc w:val="right"/>
            </w:pPr>
            <w:r>
              <w:t xml:space="preserve">Empirical Bayes</w:t>
            </w:r>
          </w:p>
        </w:tc>
        <w:tc>
          <w:tcPr/>
          <w:p>
            <w:pPr>
              <w:pStyle w:val="Compact"/>
              <w:jc w:val="right"/>
            </w:pPr>
            <w:r>
              <w:t xml:space="preserve">Literature</w:t>
            </w:r>
          </w:p>
        </w:tc>
        <w:tc>
          <w:tcPr/>
          <w:p>
            <w:pPr>
              <w:pStyle w:val="Compact"/>
              <w:jc w:val="right"/>
            </w:pPr>
            <w:r>
              <w:t xml:space="preserve">Literature, 3x wider</w:t>
            </w:r>
          </w:p>
        </w:tc>
        <w:tc>
          <w:tcPr/>
          <w:p>
            <w:pPr>
              <w:pStyle w:val="Compact"/>
              <w:jc w:val="right"/>
            </w:pPr>
            <w:r>
              <w:t xml:space="preserve">Shift (posterior SD)</w:t>
            </w:r>
          </w:p>
        </w:tc>
        <w:tc>
          <w:tcPr/>
          <w:p>
            <w:pPr>
              <w:pStyle w:val="Compact"/>
              <w:jc w:val="right"/>
            </w:pPr>
            <w:r>
              <w:t xml:space="preserve">Width ratio</w:t>
            </w:r>
          </w:p>
        </w:tc>
      </w:tr>
      <w:tr>
        <w:tc>
          <w:tcPr/>
          <w:p>
            <w:pPr>
              <w:pStyle w:val="Compact"/>
              <w:jc w:val="left"/>
            </w:pPr>
            <w:r>
              <w:t xml:space="preserve">lambda0</w:t>
            </w:r>
          </w:p>
        </w:tc>
        <w:tc>
          <w:tcPr/>
          <w:p>
            <w:pPr>
              <w:pStyle w:val="Compact"/>
              <w:jc w:val="right"/>
            </w:pPr>
            <w:r>
              <w:t xml:space="preserve">0.0086</w:t>
            </w:r>
          </w:p>
        </w:tc>
        <w:tc>
          <w:tcPr/>
          <w:p>
            <w:pPr>
              <w:pStyle w:val="Compact"/>
              <w:jc w:val="right"/>
            </w:pPr>
            <w:r>
              <w:t xml:space="preserve">0.0090</w:t>
            </w:r>
          </w:p>
        </w:tc>
        <w:tc>
          <w:tcPr/>
          <w:p>
            <w:pPr>
              <w:pStyle w:val="Compact"/>
              <w:jc w:val="right"/>
            </w:pPr>
            <w:r>
              <w:t xml:space="preserve">0.2589</w:t>
            </w:r>
          </w:p>
        </w:tc>
        <w:tc>
          <w:tcPr/>
          <w:p>
            <w:pPr>
              <w:pStyle w:val="Compact"/>
              <w:jc w:val="right"/>
            </w:pPr>
            <w:r>
              <w:t xml:space="preserve">0.10</w:t>
            </w:r>
          </w:p>
        </w:tc>
        <w:tc>
          <w:tcPr/>
          <w:p>
            <w:pPr>
              <w:pStyle w:val="Compact"/>
              <w:jc w:val="right"/>
            </w:pPr>
            <w:r>
              <w:t xml:space="preserve">1.24</w:t>
            </w:r>
          </w:p>
        </w:tc>
      </w:tr>
      <w:tr>
        <w:tc>
          <w:tcPr/>
          <w:p>
            <w:pPr>
              <w:pStyle w:val="Compact"/>
              <w:jc w:val="left"/>
            </w:pPr>
            <w:r>
              <w:t xml:space="preserve">mu</w:t>
            </w:r>
          </w:p>
        </w:tc>
        <w:tc>
          <w:tcPr/>
          <w:p>
            <w:pPr>
              <w:pStyle w:val="Compact"/>
              <w:jc w:val="right"/>
            </w:pPr>
            <w:r>
              <w:t xml:space="preserve">0.0040</w:t>
            </w:r>
          </w:p>
        </w:tc>
        <w:tc>
          <w:tcPr/>
          <w:p>
            <w:pPr>
              <w:pStyle w:val="Compact"/>
              <w:jc w:val="right"/>
            </w:pPr>
            <w:r>
              <w:t xml:space="preserve">0.0059</w:t>
            </w:r>
          </w:p>
        </w:tc>
        <w:tc>
          <w:tcPr/>
          <w:p>
            <w:pPr>
              <w:pStyle w:val="Compact"/>
              <w:jc w:val="right"/>
            </w:pPr>
            <w:r>
              <w:t xml:space="preserve">0.0388</w:t>
            </w:r>
          </w:p>
        </w:tc>
        <w:tc>
          <w:tcPr/>
          <w:p>
            <w:pPr>
              <w:pStyle w:val="Compact"/>
              <w:jc w:val="right"/>
            </w:pPr>
            <w:r>
              <w:t xml:space="preserve">0.67</w:t>
            </w:r>
          </w:p>
        </w:tc>
        <w:tc>
          <w:tcPr/>
          <w:p>
            <w:pPr>
              <w:pStyle w:val="Compact"/>
              <w:jc w:val="right"/>
            </w:pPr>
            <w:r>
              <w:t xml:space="preserve">1.32</w:t>
            </w:r>
          </w:p>
        </w:tc>
      </w:tr>
      <w:tr>
        <w:tc>
          <w:tcPr/>
          <w:p>
            <w:pPr>
              <w:pStyle w:val="Compact"/>
              <w:jc w:val="left"/>
            </w:pPr>
            <w:r>
              <w:t xml:space="preserve">y_inf</w:t>
            </w:r>
          </w:p>
        </w:tc>
        <w:tc>
          <w:tcPr/>
          <w:p>
            <w:pPr>
              <w:pStyle w:val="Compact"/>
              <w:jc w:val="right"/>
            </w:pPr>
            <w:r>
              <w:t xml:space="preserve">-7.7593</w:t>
            </w:r>
          </w:p>
        </w:tc>
        <w:tc>
          <w:tcPr/>
          <w:p>
            <w:pPr>
              <w:pStyle w:val="Compact"/>
              <w:jc w:val="right"/>
            </w:pPr>
            <w:r>
              <w:t xml:space="preserve">-16.2449</w:t>
            </w:r>
          </w:p>
        </w:tc>
        <w:tc>
          <w:tcPr/>
          <w:p>
            <w:pPr>
              <w:pStyle w:val="Compact"/>
              <w:jc w:val="right"/>
            </w:pPr>
            <w:r>
              <w:t xml:space="preserve">-1222070.5019</w:t>
            </w:r>
          </w:p>
        </w:tc>
        <w:tc>
          <w:tcPr/>
          <w:p>
            <w:pPr>
              <w:pStyle w:val="Compact"/>
              <w:jc w:val="right"/>
            </w:pPr>
            <w:r>
              <w:t xml:space="preserve">0.26</w:t>
            </w:r>
          </w:p>
        </w:tc>
        <w:tc>
          <w:tcPr/>
          <w:p>
            <w:pPr>
              <w:pStyle w:val="Compact"/>
              <w:jc w:val="right"/>
            </w:pPr>
            <w:r>
              <w:t xml:space="preserve">1.65</w:t>
            </w:r>
          </w:p>
        </w:tc>
      </w:tr>
      <w:tr>
        <w:tc>
          <w:tcPr/>
          <w:p>
            <w:pPr>
              <w:pStyle w:val="Compact"/>
              <w:jc w:val="left"/>
            </w:pPr>
            <w:r>
              <w:t xml:space="preserve">y0</w:t>
            </w:r>
          </w:p>
        </w:tc>
        <w:tc>
          <w:tcPr/>
          <w:p>
            <w:pPr>
              <w:pStyle w:val="Compact"/>
              <w:jc w:val="right"/>
            </w:pPr>
            <w:r>
              <w:t xml:space="preserve">23.8394</w:t>
            </w:r>
          </w:p>
        </w:tc>
        <w:tc>
          <w:tcPr/>
          <w:p>
            <w:pPr>
              <w:pStyle w:val="Compact"/>
              <w:jc w:val="right"/>
            </w:pPr>
            <w:r>
              <w:t xml:space="preserve">25.2035</w:t>
            </w:r>
          </w:p>
        </w:tc>
        <w:tc>
          <w:tcPr/>
          <w:p>
            <w:pPr>
              <w:pStyle w:val="Compact"/>
              <w:jc w:val="right"/>
            </w:pPr>
            <w:r>
              <w:t xml:space="preserve">23.1607</w:t>
            </w:r>
          </w:p>
        </w:tc>
        <w:tc>
          <w:tcPr/>
          <w:p>
            <w:pPr>
              <w:pStyle w:val="Compact"/>
              <w:jc w:val="right"/>
            </w:pPr>
            <w:r>
              <w:t xml:space="preserve">0.30</w:t>
            </w:r>
          </w:p>
        </w:tc>
        <w:tc>
          <w:tcPr/>
          <w:p>
            <w:pPr>
              <w:pStyle w:val="Compact"/>
              <w:jc w:val="right"/>
            </w:pPr>
            <w:r>
              <w:t xml:space="preserve">1.26</w:t>
            </w:r>
          </w:p>
        </w:tc>
      </w:tr>
      <w:tr>
        <w:tc>
          <w:tcPr/>
          <w:p>
            <w:pPr>
              <w:pStyle w:val="Compact"/>
              <w:jc w:val="left"/>
            </w:pPr>
            <w:r>
              <w:t xml:space="preserve">kappa</w:t>
            </w:r>
          </w:p>
        </w:tc>
        <w:tc>
          <w:tcPr/>
          <w:p>
            <w:pPr>
              <w:pStyle w:val="Compact"/>
              <w:jc w:val="right"/>
            </w:pPr>
            <w:r>
              <w:t xml:space="preserve">4.2594</w:t>
            </w:r>
          </w:p>
        </w:tc>
        <w:tc>
          <w:tcPr/>
          <w:p>
            <w:pPr>
              <w:pStyle w:val="Compact"/>
              <w:jc w:val="right"/>
            </w:pPr>
            <w:r>
              <w:t xml:space="preserve">2.1919</w:t>
            </w:r>
          </w:p>
        </w:tc>
        <w:tc>
          <w:tcPr/>
          <w:p>
            <w:pPr>
              <w:pStyle w:val="Compact"/>
              <w:jc w:val="right"/>
            </w:pPr>
            <w:r>
              <w:t xml:space="preserve">44.9214</w:t>
            </w:r>
          </w:p>
        </w:tc>
        <w:tc>
          <w:tcPr/>
          <w:p>
            <w:pPr>
              <w:pStyle w:val="Compact"/>
              <w:jc w:val="right"/>
            </w:pPr>
            <w:r>
              <w:t xml:space="preserve">0.30</w:t>
            </w:r>
          </w:p>
        </w:tc>
        <w:tc>
          <w:tcPr/>
          <w:p>
            <w:pPr>
              <w:pStyle w:val="Compact"/>
              <w:jc w:val="right"/>
            </w:pPr>
            <w:r>
              <w:t xml:space="preserve">0.39</w:t>
            </w:r>
          </w:p>
        </w:tc>
      </w:tr>
      <w:tr>
        <w:tc>
          <w:tcPr/>
          <w:p>
            <w:pPr>
              <w:pStyle w:val="Compact"/>
              <w:jc w:val="left"/>
            </w:pPr>
            <w:r>
              <w:t xml:space="preserve">y_asym</w:t>
            </w:r>
          </w:p>
        </w:tc>
        <w:tc>
          <w:tcPr/>
          <w:p>
            <w:pPr>
              <w:pStyle w:val="Compact"/>
              <w:jc w:val="right"/>
            </w:pPr>
            <w:r>
              <w:t xml:space="preserve">2.0397</w:t>
            </w:r>
          </w:p>
        </w:tc>
        <w:tc>
          <w:tcPr/>
          <w:p>
            <w:pPr>
              <w:pStyle w:val="Compact"/>
              <w:jc w:val="right"/>
            </w:pPr>
            <w:r>
              <w:t xml:space="preserve">2.3676</w:t>
            </w:r>
          </w:p>
        </w:tc>
        <w:tc>
          <w:tcPr/>
          <w:p>
            <w:pPr>
              <w:pStyle w:val="Compact"/>
              <w:jc w:val="right"/>
            </w:pPr>
            <w:r>
              <w:t xml:space="preserve">1.7585</w:t>
            </w:r>
          </w:p>
        </w:tc>
        <w:tc>
          <w:tcPr/>
          <w:p>
            <w:pPr>
              <w:pStyle w:val="Compact"/>
              <w:jc w:val="right"/>
            </w:pPr>
            <w:r>
              <w:t xml:space="preserve">0.34</w:t>
            </w:r>
          </w:p>
        </w:tc>
        <w:tc>
          <w:tcPr/>
          <w:p>
            <w:pPr>
              <w:pStyle w:val="Compact"/>
              <w:jc w:val="right"/>
            </w:pPr>
            <w:r>
              <w:t xml:space="preserve">1.16</w:t>
            </w:r>
          </w:p>
        </w:tc>
      </w:tr>
      <w:tr>
        <w:tc>
          <w:tcPr/>
          <w:p>
            <w:pPr>
              <w:pStyle w:val="Compact"/>
              <w:jc w:val="left"/>
            </w:pPr>
            <w:r>
              <w:t xml:space="preserve">sigma</w:t>
            </w:r>
          </w:p>
        </w:tc>
        <w:tc>
          <w:tcPr/>
          <w:p>
            <w:pPr>
              <w:pStyle w:val="Compact"/>
              <w:jc w:val="right"/>
            </w:pPr>
            <w:r>
              <w:t xml:space="preserve">0.2316</w:t>
            </w:r>
          </w:p>
        </w:tc>
        <w:tc>
          <w:tcPr/>
          <w:p>
            <w:pPr>
              <w:pStyle w:val="Compact"/>
              <w:jc w:val="right"/>
            </w:pPr>
            <w:r>
              <w:t xml:space="preserve">0.2575</w:t>
            </w:r>
          </w:p>
        </w:tc>
        <w:tc>
          <w:tcPr/>
          <w:p>
            <w:pPr>
              <w:pStyle w:val="Compact"/>
              <w:jc w:val="right"/>
            </w:pPr>
            <w:r>
              <w:t xml:space="preserve">0.2898</w:t>
            </w:r>
          </w:p>
        </w:tc>
        <w:tc>
          <w:tcPr/>
          <w:p>
            <w:pPr>
              <w:pStyle w:val="Compact"/>
              <w:jc w:val="right"/>
            </w:pPr>
            <w:r>
              <w:t xml:space="preserve">0.34</w:t>
            </w:r>
          </w:p>
        </w:tc>
        <w:tc>
          <w:tcPr/>
          <w:p>
            <w:pPr>
              <w:pStyle w:val="Compact"/>
              <w:jc w:val="right"/>
            </w:pPr>
            <w:r>
              <w:t xml:space="preserve">1.39</w:t>
            </w:r>
          </w:p>
        </w:tc>
      </w:tr>
    </w:tbl>
    <w:p>
      <w:pPr>
        <w:pStyle w:val="BodyText"/>
      </w:pPr>
      <w:r>
        <w:rPr>
          <w:b/>
          <w:bCs/>
        </w:rPr>
        <w:t xml:space="preserve">Table 5. Prior sensitivity on the reported pedon.</w:t>
      </w:r>
      <w:r>
        <w:t xml:space="preserve"> </w:t>
      </w:r>
      <w:r>
        <w:t xml:space="preserve">Posterior means under three priors.</w:t>
      </w:r>
      <w:r>
        <w:t xml:space="preserve"> </w:t>
      </w:r>
      <w:r>
        <w:t xml:space="preserve">“Shift”</w:t>
      </w:r>
      <w:r>
        <w:t xml:space="preserve"> </w:t>
      </w:r>
      <w:r>
        <w:t xml:space="preserve">is the movement between the circular default and the non-circular literature prior in units of the default’s posterior standard deviation;</w:t>
      </w:r>
      <w:r>
        <w:t xml:space="preserve"> </w:t>
      </w:r>
      <w:r>
        <w:t xml:space="preserve">“width ratio”</w:t>
      </w:r>
      <w:r>
        <w:t xml:space="preserve"> </w:t>
      </w:r>
      <w:r>
        <w:t xml:space="preserve">is the literature interval over the default one.</w:t>
      </w:r>
    </w:p>
    <w:p>
      <w:pPr>
        <w:pStyle w:val="BodyText"/>
      </w:pPr>
      <w:r>
        <w:t xml:space="preserve">One parameter,</w:t>
      </w:r>
      <w:r>
        <w:t xml:space="preserve"> </w:t>
      </w:r>
      <m:oMath>
        <m:r>
          <m:t>μ</m:t>
        </m:r>
      </m:oMath>
      <w:r>
        <w:t xml:space="preserve">, moves by more than half a posterior standard deviation when the circular prior is replaced by one that never saw these data, and the largest shift is 0.67 standard deviations. The circularity is therefore mild rather than absent, and it is concentrated where the data are weakest —</w:t>
      </w:r>
      <w:r>
        <w:t xml:space="preserve"> </w:t>
      </w:r>
      <m:oMath>
        <m:r>
          <m:t>μ</m:t>
        </m:r>
      </m:oMath>
      <w:r>
        <w:t xml:space="preserve"> </w:t>
      </w:r>
      <w:r>
        <w:t xml:space="preserve">is the depth-attenuation rate, the parameter whose variogram in Fig 4 also fails to identify a range. We do not claim the default prior is harmless; we report how much it moves each number and let a reader who prefers the non-circular one read that column instead.</w:t>
      </w:r>
    </w:p>
    <w:p>
      <w:pPr>
        <w:pStyle w:val="BodyText"/>
      </w:pPr>
      <w:r>
        <w:t xml:space="preserve">One methodological note belongs here rather than in a supplement. An earlier run of this comparison, at the package’s default 20,000 iterations, put the shift for</w:t>
      </w:r>
      <w:r>
        <w:t xml:space="preserve"> </w:t>
      </w:r>
      <m:oMath>
        <m:sSub>
          <m:e>
            <m:r>
              <m:t>y</m:t>
            </m:r>
          </m:e>
          <m:sub>
            <m:r>
              <m:rPr>
                <m:sty m:val="p"/>
              </m:rPr>
              <m:t>∞</m:t>
            </m:r>
          </m:sub>
        </m:sSub>
      </m:oMath>
      <w:r>
        <w:t xml:space="preserve"> </w:t>
      </w:r>
      <w:r>
        <w:t xml:space="preserve">at 0.87 standard deviations and would have supported a stronger claim about circularity. The widest arm had not converged (split-</w:t>
      </w:r>
      <m:oMath>
        <m:acc>
          <m:accPr>
            <m:chr m:val="̂"/>
          </m:accPr>
          <m:e>
            <m:r>
              <m:t>R</m:t>
            </m:r>
          </m:e>
        </m:acc>
      </m:oMath>
      <w:r>
        <w:t xml:space="preserve"> </w:t>
      </w:r>
      <w:r>
        <w:t xml:space="preserve">1.035, bulk ESS 177), and at a budget where it does the shift falls to 0.26. The convergence guard in the script caught it; without one, an under-mixed chain would have been reported as a finding.</w:t>
      </w:r>
    </w:p>
    <w:p>
      <w:pPr>
        <w:pStyle w:val="BodyText"/>
      </w:pPr>
      <w:r>
        <w:t xml:space="preserve">That guard was itself weaker than the sentence above implies, and the correction belongs in the record. It caught an under-mixed chain, which is what it was written for, but it was blind to a chain that had not mixed</w:t>
      </w:r>
      <w:r>
        <w:t xml:space="preserve"> </w:t>
      </w:r>
      <w:r>
        <w:rPr>
          <w:b/>
          <w:bCs/>
        </w:rPr>
        <w:t xml:space="preserve">at all</w:t>
      </w:r>
      <w:r>
        <w:t xml:space="preserve">. When every draw is identical the split-</w:t>
      </w:r>
      <m:oMath>
        <m:acc>
          <m:accPr>
            <m:chr m:val="̂"/>
          </m:accPr>
          <m:e>
            <m:r>
              <m:t>R</m:t>
            </m:r>
          </m:e>
        </m:acc>
      </m:oMath>
      <w:r>
        <w:t xml:space="preserve"> </w:t>
      </w:r>
      <w:r>
        <w:t xml:space="preserve">is undefined, the diagnostic returned</w:t>
      </w:r>
      <w:r>
        <w:t xml:space="preserve"> </w:t>
      </w:r>
      <w:r>
        <w:rPr>
          <w:rStyle w:val="VerbatimChar"/>
        </w:rPr>
        <w:t xml:space="preserve">NA</w:t>
      </w:r>
      <w:r>
        <w:t xml:space="preserve"> </w:t>
      </w:r>
      <w:r>
        <w:t xml:space="preserve">for each parameter, and the reduction</w:t>
      </w:r>
      <w:r>
        <w:t xml:space="preserve"> </w:t>
      </w:r>
      <w:r>
        <w:rPr>
          <w:rStyle w:val="VerbatimChar"/>
        </w:rPr>
        <w:t xml:space="preserve">max(rhat, na.rm = TRUE)</w:t>
      </w:r>
      <w:r>
        <w:t xml:space="preserve"> </w:t>
      </w:r>
      <w:r>
        <w:t xml:space="preserve">over an all-</w:t>
      </w:r>
      <w:r>
        <w:rPr>
          <w:rStyle w:val="VerbatimChar"/>
        </w:rPr>
        <w:t xml:space="preserve">NA</w:t>
      </w:r>
      <w:r>
        <w:t xml:space="preserve"> </w:t>
      </w:r>
      <w:r>
        <w:t xml:space="preserve">vector returns</w:t>
      </w:r>
      <w:r>
        <w:t xml:space="preserve"> </w:t>
      </w:r>
      <m:oMath>
        <m:r>
          <m:rPr>
            <m:sty m:val="p"/>
          </m:rPr>
          <m:t>−</m:t>
        </m:r>
        <m:r>
          <m:rPr>
            <m:sty m:val="p"/>
          </m:rPr>
          <m:t>∞</m:t>
        </m:r>
      </m:oMath>
      <w:r>
        <w:t xml:space="preserve"> </w:t>
      </w:r>
      <w:r>
        <w:t xml:space="preserve">— the identity element of the maximum over an empty set, and a value that passes any upper threshold. On a sample of 60 profiles from this archive, a quarter of every positive convergence verdict the package issued was of that kind. No number in this paper rests on one: the pedon reported here has nine horizons, an acceptance rate of 0.12 and 6,706 distinct draws in 56,000, and the failure is confined to profiles with three or four horizons against four free parameters. But the diagnostic now encodes an uncomputable statistic as</w:t>
      </w:r>
      <w:r>
        <w:t xml:space="preserve"> </w:t>
      </w:r>
      <m:oMath>
        <m:acc>
          <m:accPr>
            <m:chr m:val="̂"/>
          </m:accPr>
          <m:e>
            <m:r>
              <m:t>R</m:t>
            </m:r>
          </m:e>
        </m:acc>
        <m:r>
          <m:rPr>
            <m:sty m:val="p"/>
          </m:rPr>
          <m:t>=</m:t>
        </m:r>
        <m:r>
          <m:rPr>
            <m:sty m:val="p"/>
          </m:rPr>
          <m:t>∞</m:t>
        </m:r>
      </m:oMath>
      <w:r>
        <w:t xml:space="preserve"> </w:t>
      </w:r>
      <w:r>
        <w:t xml:space="preserve">and ESS</w:t>
      </w:r>
      <w:r>
        <w:t xml:space="preserve"> </w:t>
      </w:r>
      <m:oMath>
        <m:r>
          <m:rPr>
            <m:sty m:val="p"/>
          </m:rPr>
          <m:t>=</m:t>
        </m:r>
        <m:r>
          <m:t>0</m:t>
        </m:r>
      </m:oMath>
      <w:r>
        <w:t xml:space="preserve"> </w:t>
      </w:r>
      <w:r>
        <w:t xml:space="preserve">rather than as</w:t>
      </w:r>
      <w:r>
        <w:t xml:space="preserve"> </w:t>
      </w:r>
      <w:r>
        <w:rPr>
          <w:rStyle w:val="VerbatimChar"/>
        </w:rPr>
        <w:t xml:space="preserve">NA</w:t>
      </w:r>
      <w:r>
        <w:t xml:space="preserve">, so that every reduction fails on it, and the acceptance rate is reported in its own right.</w:t>
      </w:r>
    </w:p>
    <w:p>
      <w:pPr>
        <w:pStyle w:val="BodyText"/>
      </w:pPr>
      <w:r>
        <w:rPr>
          <w:b/>
          <w:bCs/>
        </w:rPr>
        <w:t xml:space="preserve">Does the mechanism buy anything?</w:t>
      </w:r>
      <w:r>
        <w:t xml:space="preserve"> </w:t>
      </w:r>
      <w:r>
        <w:t xml:space="preserve">This is the question a depth model must answer. We ran two pre-declared tasks over all 1,105 profiles — hold out an interior horizon (interpolation), and hold out the deepest horizon (extrapolation) — against six competitors including an equal-area spline, a pooled depth-as-covariate random forest that sees other profiles’ data, and two zero-parameter baselines. The equal-area spline does not extrapolate below the observed range and abstains from the second task; that is reported rather than papered over by clamping it to its last value.</w:t>
      </w:r>
    </w:p>
    <w:p>
      <w:pPr>
        <w:pStyle w:val="BodyText"/>
      </w:pPr>
      <w:r>
        <w:t xml:space="preserve">Root-mean-square error is the wrong statistic to lead with here, and saying why is part of the result. On the extrapolation task every method lands near 14 g/kg — the ODE at 14.04, copying the nearest measured horizon at 14.05, the random forest at 14.05 — and those numbers are not measuring the methods. Ten profiles out of 935, 1.1% of the set, account for 99% of the ODE’s sum of squares; removing them takes its RMSE from 14.74 to 1.54. The extreme case is a profile whose horizon at 125 cm holds 430 g/kg of carbon with 3.0 g/kg immediately above it: a buried organic horizon, which a monotone depth function cannot represent and, more importantly, cannot anticipate. We therefore report mean absolute error as the primary criterion and RMSE alongside it, and treat the difference between them as the finding rather than as a nuisance.</w:t>
      </w:r>
    </w:p>
    <w:p>
      <w:pPr>
        <w:pStyle w:val="BodyText"/>
      </w:pPr>
      <w:r>
        <w:t xml:space="preserve">On that criterion the mechanism does help (Table 6). The ODE reaches MAE 1.82 g/kg with a median absolute error of 0.76, against 2.06 for copying the nearest horizon, 2.07 for its own nested</w:t>
      </w:r>
      <w:r>
        <w:t xml:space="preserve"> </w:t>
      </w:r>
      <m:oMath>
        <m:r>
          <m:t>μ</m:t>
        </m:r>
        <m:r>
          <m:rPr>
            <m:sty m:val="p"/>
          </m:rPr>
          <m:t>=</m:t>
        </m:r>
        <m:r>
          <m:t>0</m:t>
        </m:r>
      </m:oMath>
      <w:r>
        <w:t xml:space="preserve"> </w:t>
      </w:r>
      <w:r>
        <w:t xml:space="preserve">special case and 2.67 for the pooled random forest. Paired across profiles it beats copying the nearest horizon on 579 of 935 (Wilcoxon</w:t>
      </w:r>
      <w:r>
        <w:t xml:space="preserve"> </w:t>
      </w:r>
      <m:oMath>
        <m:r>
          <m:t>p</m:t>
        </m:r>
        <m:r>
          <m:rPr>
            <m:sty m:val="p"/>
          </m:rPr>
          <m:t>=</m:t>
        </m:r>
        <m:r>
          <m:t>3</m:t>
        </m:r>
        <m:r>
          <m:rPr>
            <m:sty m:val="p"/>
          </m:rPr>
          <m:t>×</m:t>
        </m:r>
        <m:sSup>
          <m:e>
            <m:r>
              <m:t>10</m:t>
            </m:r>
          </m:e>
          <m:sup>
            <m:r>
              <m:rPr>
                <m:sty m:val="p"/>
              </m:rPr>
              <m:t>−</m:t>
            </m:r>
            <m:r>
              <m:t>16</m:t>
            </m:r>
          </m:sup>
        </m:sSup>
      </m:oMath>
      <w:r>
        <w:t xml:space="preserve">), its nested special case on 646 (</w:t>
      </w:r>
      <m:oMath>
        <m:r>
          <m:t>p</m:t>
        </m:r>
        <m:r>
          <m:rPr>
            <m:sty m:val="p"/>
          </m:rPr>
          <m:t>=</m:t>
        </m:r>
        <m:r>
          <m:t>1</m:t>
        </m:r>
        <m:r>
          <m:rPr>
            <m:sty m:val="p"/>
          </m:rPr>
          <m:t>×</m:t>
        </m:r>
        <m:sSup>
          <m:e>
            <m:r>
              <m:t>10</m:t>
            </m:r>
          </m:e>
          <m:sup>
            <m:r>
              <m:rPr>
                <m:sty m:val="p"/>
              </m:rPr>
              <m:t>−</m:t>
            </m:r>
            <m:r>
              <m:t>42</m:t>
            </m:r>
          </m:sup>
        </m:sSup>
      </m:oMath>
      <w:r>
        <w:t xml:space="preserve">) and the random forest on 679 (</w:t>
      </w:r>
      <m:oMath>
        <m:r>
          <m:t>p</m:t>
        </m:r>
        <m:r>
          <m:rPr>
            <m:sty m:val="p"/>
          </m:rPr>
          <m:t>=</m:t>
        </m:r>
        <m:r>
          <m:t>4</m:t>
        </m:r>
        <m:r>
          <m:rPr>
            <m:sty m:val="p"/>
          </m:rPr>
          <m:t>×</m:t>
        </m:r>
        <m:sSup>
          <m:e>
            <m:r>
              <m:t>10</m:t>
            </m:r>
          </m:e>
          <m:sup>
            <m:r>
              <m:rPr>
                <m:sty m:val="p"/>
              </m:rPr>
              <m:t>−</m:t>
            </m:r>
            <m:r>
              <m:t>50</m:t>
            </m:r>
          </m:sup>
        </m:sSup>
      </m:oMath>
      <w:r>
        <w:t xml:space="preserve">).</w:t>
      </w:r>
    </w:p>
    <w:p>
      <w:pPr>
        <w:pStyle w:val="BodyText"/>
      </w:pPr>
      <w:r>
        <w:rPr>
          <w:b/>
          <w:bCs/>
        </w:rPr>
        <w:t xml:space="preserve">Table 6. Leave-the-deepest-horizon-out prediction on 935 WoSIS profiles.</w:t>
      </w:r>
      <w:r>
        <w:t xml:space="preserve"> </w:t>
      </w:r>
      <w:r>
        <w:t xml:space="preserve">The profiles whose</w:t>
      </w:r>
      <w:r>
        <w:t xml:space="preserve"> </w:t>
      </w:r>
      <w:r>
        <w:rPr>
          <w:i/>
          <w:iCs/>
        </w:rPr>
        <w:t xml:space="preserve">training</w:t>
      </w:r>
      <w:r>
        <w:t xml:space="preserve"> </w:t>
      </w:r>
      <w:r>
        <w:t xml:space="preserve">horizons are monotone — the model’s declared validity domain, judged without reading the horizon being predicted. MAE is the primary criterion: RMSE on this task is dominated by ten profiles with buried organic horizons and separates the methods by less than 0.5%.</w:t>
      </w:r>
    </w:p>
    <w:tbl>
      <w:tblPr>
        <w:tblStyle w:val="Table"/>
        <w:tblW w:type="pct" w:w="5000"/>
        <w:tblLayout w:type="fixed"/>
        <w:tblLook w:firstRow="1" w:lastRow="0" w:firstColumn="0" w:lastColumn="0" w:noHBand="0" w:noVBand="0" w:val="0020"/>
      </w:tblPr>
      <w:tblGrid>
        <w:gridCol w:w="4491"/>
        <w:gridCol w:w="709"/>
        <w:gridCol w:w="709"/>
        <w:gridCol w:w="1300"/>
        <w:gridCol w:w="709"/>
      </w:tblGrid>
      <w:tr>
        <w:trPr>
          <w:tblHeader w:val="on"/>
        </w:trPr>
        <w:tc>
          <w:tcPr/>
          <w:p>
            <w:pPr>
              <w:pStyle w:val="Compact"/>
              <w:jc w:val="left"/>
            </w:pPr>
            <w:r>
              <w:t xml:space="preserve">Method</w:t>
            </w:r>
          </w:p>
        </w:tc>
        <w:tc>
          <w:tcPr/>
          <w:p>
            <w:pPr>
              <w:pStyle w:val="Compact"/>
              <w:jc w:val="right"/>
            </w:pPr>
            <w:r>
              <w:t xml:space="preserve">MAE</w:t>
            </w:r>
          </w:p>
        </w:tc>
        <w:tc>
          <w:tcPr/>
          <w:p>
            <w:pPr>
              <w:pStyle w:val="Compact"/>
              <w:jc w:val="right"/>
            </w:pPr>
            <w:r>
              <w:t xml:space="preserve">RMSE</w:t>
            </w:r>
          </w:p>
        </w:tc>
        <w:tc>
          <w:tcPr/>
          <w:p>
            <w:pPr>
              <w:pStyle w:val="Compact"/>
              <w:jc w:val="right"/>
            </w:pPr>
            <w:r>
              <w:t xml:space="preserve">Mean error</w:t>
            </w:r>
          </w:p>
        </w:tc>
        <w:tc>
          <w:tcPr/>
          <w:p>
            <w:pPr>
              <w:pStyle w:val="Compact"/>
              <w:jc w:val="right"/>
            </w:pPr>
            <w:r>
              <w:t xml:space="preserve">CCC</w:t>
            </w:r>
          </w:p>
        </w:tc>
      </w:tr>
      <w:tr>
        <w:tc>
          <w:tcPr/>
          <w:p>
            <w:pPr>
              <w:pStyle w:val="Compact"/>
              <w:jc w:val="left"/>
            </w:pPr>
            <w:r>
              <w:t xml:space="preserve">derived advection-reaction (5 par)</w:t>
            </w:r>
          </w:p>
        </w:tc>
        <w:tc>
          <w:tcPr/>
          <w:p>
            <w:pPr>
              <w:pStyle w:val="Compact"/>
              <w:jc w:val="right"/>
            </w:pPr>
            <w:r>
              <w:t xml:space="preserve">1.760</w:t>
            </w:r>
          </w:p>
        </w:tc>
        <w:tc>
          <w:tcPr/>
          <w:p>
            <w:pPr>
              <w:pStyle w:val="Compact"/>
              <w:jc w:val="right"/>
            </w:pPr>
            <w:r>
              <w:t xml:space="preserve">14.74</w:t>
            </w:r>
          </w:p>
        </w:tc>
        <w:tc>
          <w:tcPr/>
          <w:p>
            <w:pPr>
              <w:pStyle w:val="Compact"/>
              <w:jc w:val="right"/>
            </w:pPr>
            <w:r>
              <w:t xml:space="preserve">-0.242</w:t>
            </w:r>
          </w:p>
        </w:tc>
        <w:tc>
          <w:tcPr/>
          <w:p>
            <w:pPr>
              <w:pStyle w:val="Compact"/>
              <w:jc w:val="right"/>
            </w:pPr>
            <w:r>
              <w:t xml:space="preserve">0.037</w:t>
            </w:r>
          </w:p>
        </w:tc>
      </w:tr>
      <w:tr>
        <w:tc>
          <w:tcPr/>
          <w:p>
            <w:pPr>
              <w:pStyle w:val="Compact"/>
              <w:jc w:val="left"/>
            </w:pPr>
            <w:r>
              <w:t xml:space="preserve">edaphos ODE, attenuating rate (4 par)</w:t>
            </w:r>
          </w:p>
        </w:tc>
        <w:tc>
          <w:tcPr/>
          <w:p>
            <w:pPr>
              <w:pStyle w:val="Compact"/>
              <w:jc w:val="right"/>
            </w:pPr>
            <w:r>
              <w:t xml:space="preserve">1.819</w:t>
            </w:r>
          </w:p>
        </w:tc>
        <w:tc>
          <w:tcPr/>
          <w:p>
            <w:pPr>
              <w:pStyle w:val="Compact"/>
              <w:jc w:val="right"/>
            </w:pPr>
            <w:r>
              <w:t xml:space="preserve">14.74</w:t>
            </w:r>
          </w:p>
        </w:tc>
        <w:tc>
          <w:tcPr/>
          <w:p>
            <w:pPr>
              <w:pStyle w:val="Compact"/>
              <w:jc w:val="right"/>
            </w:pPr>
            <w:r>
              <w:t xml:space="preserve">-0.222</w:t>
            </w:r>
          </w:p>
        </w:tc>
        <w:tc>
          <w:tcPr/>
          <w:p>
            <w:pPr>
              <w:pStyle w:val="Compact"/>
              <w:jc w:val="right"/>
            </w:pPr>
            <w:r>
              <w:t xml:space="preserve">0.037</w:t>
            </w:r>
          </w:p>
        </w:tc>
      </w:tr>
      <w:tr>
        <w:tc>
          <w:tcPr/>
          <w:p>
            <w:pPr>
              <w:pStyle w:val="Compact"/>
              <w:jc w:val="left"/>
            </w:pPr>
            <w:r>
              <w:t xml:space="preserve">copy nearest training horizon</w:t>
            </w:r>
          </w:p>
        </w:tc>
        <w:tc>
          <w:tcPr/>
          <w:p>
            <w:pPr>
              <w:pStyle w:val="Compact"/>
              <w:jc w:val="right"/>
            </w:pPr>
            <w:r>
              <w:t xml:space="preserve">2.058</w:t>
            </w:r>
          </w:p>
        </w:tc>
        <w:tc>
          <w:tcPr/>
          <w:p>
            <w:pPr>
              <w:pStyle w:val="Compact"/>
              <w:jc w:val="right"/>
            </w:pPr>
            <w:r>
              <w:t xml:space="preserve">14.77</w:t>
            </w:r>
          </w:p>
        </w:tc>
        <w:tc>
          <w:tcPr/>
          <w:p>
            <w:pPr>
              <w:pStyle w:val="Compact"/>
              <w:jc w:val="right"/>
            </w:pPr>
            <w:r>
              <w:t xml:space="preserve">0.391</w:t>
            </w:r>
          </w:p>
        </w:tc>
        <w:tc>
          <w:tcPr/>
          <w:p>
            <w:pPr>
              <w:pStyle w:val="Compact"/>
              <w:jc w:val="right"/>
            </w:pPr>
            <w:r>
              <w:t xml:space="preserve">0.040</w:t>
            </w:r>
          </w:p>
        </w:tc>
      </w:tr>
      <w:tr>
        <w:tc>
          <w:tcPr/>
          <w:p>
            <w:pPr>
              <w:pStyle w:val="Compact"/>
              <w:jc w:val="left"/>
            </w:pPr>
            <w:r>
              <w:t xml:space="preserve">nested exponential (3 par)</w:t>
            </w:r>
          </w:p>
        </w:tc>
        <w:tc>
          <w:tcPr/>
          <w:p>
            <w:pPr>
              <w:pStyle w:val="Compact"/>
              <w:jc w:val="right"/>
            </w:pPr>
            <w:r>
              <w:t xml:space="preserve">2.073</w:t>
            </w:r>
          </w:p>
        </w:tc>
        <w:tc>
          <w:tcPr/>
          <w:p>
            <w:pPr>
              <w:pStyle w:val="Compact"/>
              <w:jc w:val="right"/>
            </w:pPr>
            <w:r>
              <w:t xml:space="preserve">14.77</w:t>
            </w:r>
          </w:p>
        </w:tc>
        <w:tc>
          <w:tcPr/>
          <w:p>
            <w:pPr>
              <w:pStyle w:val="Compact"/>
              <w:jc w:val="right"/>
            </w:pPr>
            <w:r>
              <w:t xml:space="preserve">0.081</w:t>
            </w:r>
          </w:p>
        </w:tc>
        <w:tc>
          <w:tcPr/>
          <w:p>
            <w:pPr>
              <w:pStyle w:val="Compact"/>
              <w:jc w:val="right"/>
            </w:pPr>
            <w:r>
              <w:t xml:space="preserve">0.036</w:t>
            </w:r>
          </w:p>
        </w:tc>
      </w:tr>
      <w:tr>
        <w:tc>
          <w:tcPr/>
          <w:p>
            <w:pPr>
              <w:pStyle w:val="Compact"/>
              <w:jc w:val="left"/>
            </w:pPr>
            <w:r>
              <w:t xml:space="preserve">RF, depth as covariate (pooled)</w:t>
            </w:r>
          </w:p>
        </w:tc>
        <w:tc>
          <w:tcPr/>
          <w:p>
            <w:pPr>
              <w:pStyle w:val="Compact"/>
              <w:jc w:val="right"/>
            </w:pPr>
            <w:r>
              <w:t xml:space="preserve">2.667</w:t>
            </w:r>
          </w:p>
        </w:tc>
        <w:tc>
          <w:tcPr/>
          <w:p>
            <w:pPr>
              <w:pStyle w:val="Compact"/>
              <w:jc w:val="right"/>
            </w:pPr>
            <w:r>
              <w:t xml:space="preserve">14.76</w:t>
            </w:r>
          </w:p>
        </w:tc>
        <w:tc>
          <w:tcPr/>
          <w:p>
            <w:pPr>
              <w:pStyle w:val="Compact"/>
              <w:jc w:val="right"/>
            </w:pPr>
            <w:r>
              <w:t xml:space="preserve">0.380</w:t>
            </w:r>
          </w:p>
        </w:tc>
        <w:tc>
          <w:tcPr/>
          <w:p>
            <w:pPr>
              <w:pStyle w:val="Compact"/>
              <w:jc w:val="right"/>
            </w:pPr>
            <w:r>
              <w:t xml:space="preserve">0.013</w:t>
            </w:r>
          </w:p>
        </w:tc>
      </w:tr>
      <w:tr>
        <w:tc>
          <w:tcPr/>
          <w:p>
            <w:pPr>
              <w:pStyle w:val="Compact"/>
              <w:jc w:val="left"/>
            </w:pPr>
            <w:r>
              <w:t xml:space="preserve">profile mean</w:t>
            </w:r>
          </w:p>
        </w:tc>
        <w:tc>
          <w:tcPr/>
          <w:p>
            <w:pPr>
              <w:pStyle w:val="Compact"/>
              <w:jc w:val="right"/>
            </w:pPr>
            <w:r>
              <w:t xml:space="preserve">8.000</w:t>
            </w:r>
          </w:p>
        </w:tc>
        <w:tc>
          <w:tcPr/>
          <w:p>
            <w:pPr>
              <w:pStyle w:val="Compact"/>
              <w:jc w:val="right"/>
            </w:pPr>
            <w:r>
              <w:t xml:space="preserve">17.23</w:t>
            </w:r>
          </w:p>
        </w:tc>
        <w:tc>
          <w:tcPr/>
          <w:p>
            <w:pPr>
              <w:pStyle w:val="Compact"/>
              <w:jc w:val="right"/>
            </w:pPr>
            <w:r>
              <w:t xml:space="preserve">6.548</w:t>
            </w:r>
          </w:p>
        </w:tc>
        <w:tc>
          <w:tcPr/>
          <w:p>
            <w:pPr>
              <w:pStyle w:val="Compact"/>
              <w:jc w:val="right"/>
            </w:pPr>
            <w:r>
              <w:t xml:space="preserve">0.039</w:t>
            </w:r>
          </w:p>
        </w:tc>
      </w:tr>
    </w:tbl>
    <w:p>
      <w:pPr>
        <w:pStyle w:val="BodyText"/>
      </w:pPr>
      <w:r>
        <w:rPr>
          <w:b/>
          <w:bCs/>
        </w:rPr>
        <w:t xml:space="preserve">Applying our own standard to our own pillar.</w:t>
      </w:r>
      <w:r>
        <w:t xml:space="preserve"> </w:t>
      </w:r>
      <w:r>
        <w:t xml:space="preserve">This paper argues that coverage belongs beside accuracy. Pillar 2 is the pillar it spends most of its pages on, and every number above it is an error statistic; nothing so far has said whether its interval covers. Scored where the point prediction is scored — the held-out deepest horizon, over profiles in the declared domain — on 150 profiles: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Subset</w:t>
            </w:r>
          </w:p>
        </w:tc>
        <w:tc>
          <w:tcPr/>
          <w:p>
            <w:pPr>
              <w:pStyle w:val="Compact"/>
              <w:jc w:val="right"/>
            </w:pPr>
            <w:r>
              <w:t xml:space="preserve">n</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Interval score</w:t>
            </w:r>
          </w:p>
        </w:tc>
      </w:tr>
      <w:tr>
        <w:tc>
          <w:tcPr/>
          <w:p>
            <w:pPr>
              <w:pStyle w:val="Compact"/>
              <w:jc w:val="left"/>
            </w:pPr>
            <w:r>
              <w:t xml:space="preserve">all fits</w:t>
            </w:r>
          </w:p>
        </w:tc>
        <w:tc>
          <w:tcPr/>
          <w:p>
            <w:pPr>
              <w:pStyle w:val="Compact"/>
              <w:jc w:val="right"/>
            </w:pPr>
            <w:r>
              <w:t xml:space="preserve">150</w:t>
            </w:r>
          </w:p>
        </w:tc>
        <w:tc>
          <w:tcPr/>
          <w:p>
            <w:pPr>
              <w:pStyle w:val="Compact"/>
              <w:jc w:val="right"/>
            </w:pPr>
            <w:r>
              <w:t xml:space="preserve">0.520</w:t>
            </w:r>
          </w:p>
        </w:tc>
        <w:tc>
          <w:tcPr/>
          <w:p>
            <w:pPr>
              <w:pStyle w:val="Compact"/>
              <w:jc w:val="right"/>
            </w:pPr>
            <w:r>
              <w:t xml:space="preserve">3.38</w:t>
            </w:r>
          </w:p>
        </w:tc>
        <w:tc>
          <w:tcPr/>
          <w:p>
            <w:pPr>
              <w:pStyle w:val="Compact"/>
              <w:jc w:val="right"/>
            </w:pPr>
            <w:r>
              <w:t xml:space="preserve">5.22</w:t>
            </w:r>
          </w:p>
        </w:tc>
      </w:tr>
      <w:tr>
        <w:tc>
          <w:tcPr/>
          <w:p>
            <w:pPr>
              <w:pStyle w:val="Compact"/>
              <w:jc w:val="left"/>
            </w:pPr>
            <w:r>
              <w:t xml:space="preserve">converged fits only</w:t>
            </w:r>
          </w:p>
        </w:tc>
        <w:tc>
          <w:tcPr/>
          <w:p>
            <w:pPr>
              <w:pStyle w:val="Compact"/>
              <w:jc w:val="right"/>
            </w:pPr>
            <w:r>
              <w:t xml:space="preserve">41</w:t>
            </w:r>
          </w:p>
        </w:tc>
        <w:tc>
          <w:tcPr/>
          <w:p>
            <w:pPr>
              <w:pStyle w:val="Compact"/>
              <w:jc w:val="right"/>
            </w:pPr>
            <w:r>
              <w:t xml:space="preserve">0.756</w:t>
            </w:r>
          </w:p>
        </w:tc>
        <w:tc>
          <w:tcPr/>
          <w:p>
            <w:pPr>
              <w:pStyle w:val="Compact"/>
              <w:jc w:val="right"/>
            </w:pPr>
            <w:r>
              <w:t xml:space="preserve">6.00</w:t>
            </w:r>
          </w:p>
        </w:tc>
        <w:tc>
          <w:tcPr/>
          <w:p>
            <w:pPr>
              <w:pStyle w:val="Compact"/>
              <w:jc w:val="right"/>
            </w:pPr>
            <w:r>
              <w:t xml:space="preserve">5.53</w:t>
            </w:r>
          </w:p>
        </w:tc>
      </w:tr>
    </w:tbl>
    <w:p>
      <w:pPr>
        <w:pStyle w:val="BodyText"/>
      </w:pPr>
      <w:r>
        <w:rPr>
          <w:b/>
          <w:bCs/>
        </w:rPr>
        <w:t xml:space="preserve">Table 7. Coverage of the Pillar-2 predictive interval.</w:t>
      </w:r>
      <w:r>
        <w:t xml:space="preserve"> </w:t>
      </w:r>
      <w:r>
        <w:t xml:space="preserve">Nominal 0.90. The interval is the predictive one for a future</w:t>
      </w:r>
      <w:r>
        <w:t xml:space="preserve"> </w:t>
      </w:r>
      <w:r>
        <w:rPr>
          <w:i/>
          <w:iCs/>
        </w:rPr>
        <w:t xml:space="preserve">observation</w:t>
      </w:r>
      <w:r>
        <w:t xml:space="preserve">, which is what a held-out laboratory value is. The interval score</w:t>
      </w:r>
      <w:r>
        <w:t xml:space="preserve"> </w:t>
      </w:r>
      <w:r>
        <w:t xml:space="preserve">[10]</w:t>
      </w:r>
      <w:r>
        <w:t xml:space="preserve"> </w:t>
      </w:r>
      <w:r>
        <w:t xml:space="preserve">is width plus a penalty per miss, so coverage cannot be bought with width alone; lower is better.</w:t>
      </w:r>
    </w:p>
    <w:p>
      <w:pPr>
        <w:pStyle w:val="BodyText"/>
      </w:pPr>
      <w:r>
        <w:t xml:space="preserve">It undercovers badly. A nominal 90% interval contains the held-out value 52% of the time, and restricting to the fits that genuinely converge — 27% of them — only lifts it to 76%. Widening is not the missing ingredient: the converged subset already has intervals 1.8 times wider and still misses a quarter of the time.</w:t>
      </w:r>
    </w:p>
    <w:p>
      <w:pPr>
        <w:pStyle w:val="BodyText"/>
      </w:pPr>
      <w:r>
        <w:t xml:space="preserve">The reason is a limitation of the interval rather than of the sampler, and it is worth stating precisely because it applies to every physics-informed model of this shape. What the posterior propagates is uncertainty in the</w:t>
      </w:r>
      <w:r>
        <w:t xml:space="preserve"> </w:t>
      </w:r>
      <w:r>
        <w:rPr>
          <w:i/>
          <w:iCs/>
        </w:rPr>
        <w:t xml:space="preserve">parameters</w:t>
      </w:r>
      <w:r>
        <w:t xml:space="preserve"> </w:t>
      </w:r>
      <w:r>
        <w:t xml:space="preserve">and in the observation noise, conditional on the equation being right. The held-out horizon is deeper than anything the fit saw, so the dominant error there is that the equation’s shape is wrong below the data — and a within-model interval cannot represent that. Coverage improves with depth (0.54 for horizons at 100–200 cm against 0.35 at 50–100 cm), which is consistent with that reading: a profile whose deepest horizon is already at 200 cm has been observed through most of its curvature.</w:t>
      </w:r>
    </w:p>
    <w:p>
      <w:pPr>
        <w:pStyle w:val="BodyText"/>
      </w:pPr>
      <w:r>
        <w:t xml:space="preserve">We report this as a failure of the pillar’s uncertainty, not as a caveat. A method that is more confident than it is correct is exactly what this paper’s benchmark section is built to expose, and the same standard has to survive being turned inward.</w:t>
      </w:r>
    </w:p>
    <w:p>
      <w:pPr>
        <w:pStyle w:val="BodyText"/>
      </w:pPr>
      <w:r>
        <w:rPr>
          <w:b/>
          <w:bCs/>
        </w:rPr>
        <w:t xml:space="preserve">Stock, on the profiles that can carry it.</w:t>
      </w:r>
      <w:r>
        <w:t xml:space="preserve"> </w:t>
      </w:r>
      <w:r>
        <w:t xml:space="preserve">Carbon stock, not concentration, is the quantity that is conserved, mapped and reported to inventories, and every number above is a concentration. We wrote earlier that WoSIS bulk density covers 3.9% of these horizons and that a stock comparison would therefore rest on a pedotransfer function rather than on measurement. The first half is true; the second was too quick.</w:t>
      </w:r>
    </w:p>
    <w:p>
      <w:pPr>
        <w:pStyle w:val="BodyText"/>
      </w:pPr>
      <w:r>
        <w:t xml:space="preserve">Repeating the leave-the-deepest-horizon-out task in stock units needs a measured density on that horizon, and exactly two profiles in this archive have one — so on</w:t>
      </w:r>
      <w:r>
        <w:t xml:space="preserve"> </w:t>
      </w:r>
      <w:r>
        <w:rPr>
          <w:i/>
          <w:iCs/>
        </w:rPr>
        <w:t xml:space="preserve">that</w:t>
      </w:r>
      <w:r>
        <w:t xml:space="preserve"> </w:t>
      </w:r>
      <w:r>
        <w:t xml:space="preserve">task the original statement stands. On the other pre-declared task, holding out an interior horizon, 35 profiles carry a measured interior density and 24 of those also have monotone training horizons. That is enough for a comparison, and it needs no pedotransfer function at all: the model’s predicted concentration is converted with the held-out horizon’s own measured density and thickness, the same arithmetic the observation went through, so the only thing scored is the depth function.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Mean error</w:t>
            </w:r>
          </w:p>
        </w:tc>
      </w:tr>
      <w:tr>
        <w:tc>
          <w:tcPr/>
          <w:p>
            <w:pPr>
              <w:pStyle w:val="Compact"/>
              <w:jc w:val="left"/>
            </w:pPr>
            <w:r>
              <w:t xml:space="preserve">edaphos ODE</w:t>
            </w:r>
          </w:p>
        </w:tc>
        <w:tc>
          <w:tcPr/>
          <w:p>
            <w:pPr>
              <w:pStyle w:val="Compact"/>
              <w:jc w:val="right"/>
            </w:pPr>
            <w:r>
              <w:t xml:space="preserve">9.50</w:t>
            </w:r>
          </w:p>
        </w:tc>
        <w:tc>
          <w:tcPr/>
          <w:p>
            <w:pPr>
              <w:pStyle w:val="Compact"/>
              <w:jc w:val="right"/>
            </w:pPr>
            <w:r>
              <w:t xml:space="preserve">6.85</w:t>
            </w:r>
          </w:p>
        </w:tc>
        <w:tc>
          <w:tcPr/>
          <w:p>
            <w:pPr>
              <w:pStyle w:val="Compact"/>
              <w:jc w:val="right"/>
            </w:pPr>
            <w:r>
              <w:t xml:space="preserve">-3.88</w:t>
            </w:r>
          </w:p>
        </w:tc>
      </w:tr>
      <w:tr>
        <w:tc>
          <w:tcPr/>
          <w:p>
            <w:pPr>
              <w:pStyle w:val="Compact"/>
              <w:jc w:val="left"/>
            </w:pPr>
            <w:r>
              <w:t xml:space="preserve">copy nearest training horizon</w:t>
            </w:r>
          </w:p>
        </w:tc>
        <w:tc>
          <w:tcPr/>
          <w:p>
            <w:pPr>
              <w:pStyle w:val="Compact"/>
              <w:jc w:val="right"/>
            </w:pPr>
            <w:r>
              <w:t xml:space="preserve">15.98</w:t>
            </w:r>
          </w:p>
        </w:tc>
        <w:tc>
          <w:tcPr/>
          <w:p>
            <w:pPr>
              <w:pStyle w:val="Compact"/>
              <w:jc w:val="right"/>
            </w:pPr>
            <w:r>
              <w:t xml:space="preserve">13.42</w:t>
            </w:r>
          </w:p>
        </w:tc>
        <w:tc>
          <w:tcPr/>
          <w:p>
            <w:pPr>
              <w:pStyle w:val="Compact"/>
              <w:jc w:val="right"/>
            </w:pPr>
            <w:r>
              <w:t xml:space="preserve">10.96</w:t>
            </w:r>
          </w:p>
        </w:tc>
      </w:tr>
      <w:tr>
        <w:tc>
          <w:tcPr/>
          <w:p>
            <w:pPr>
              <w:pStyle w:val="Compact"/>
              <w:jc w:val="left"/>
            </w:pPr>
            <w:r>
              <w:t xml:space="preserve">profile mean</w:t>
            </w:r>
          </w:p>
        </w:tc>
        <w:tc>
          <w:tcPr/>
          <w:p>
            <w:pPr>
              <w:pStyle w:val="Compact"/>
              <w:jc w:val="right"/>
            </w:pPr>
            <w:r>
              <w:t xml:space="preserve">50.42</w:t>
            </w:r>
          </w:p>
        </w:tc>
        <w:tc>
          <w:tcPr/>
          <w:p>
            <w:pPr>
              <w:pStyle w:val="Compact"/>
              <w:jc w:val="right"/>
            </w:pPr>
            <w:r>
              <w:t xml:space="preserve">39.95</w:t>
            </w:r>
          </w:p>
        </w:tc>
        <w:tc>
          <w:tcPr/>
          <w:p>
            <w:pPr>
              <w:pStyle w:val="Compact"/>
              <w:jc w:val="right"/>
            </w:pPr>
            <w:r>
              <w:t xml:space="preserve">39.04</w:t>
            </w:r>
          </w:p>
        </w:tc>
      </w:tr>
    </w:tbl>
    <w:p>
      <w:pPr>
        <w:pStyle w:val="BodyText"/>
      </w:pPr>
      <w:r>
        <w:rPr>
          <w:b/>
          <w:bCs/>
        </w:rPr>
        <w:t xml:space="preserve">Table 8. Held-out interior horizon scored as carbon stock, Mg/ha.</w:t>
      </w:r>
      <w:r>
        <w:t xml:space="preserve"> </w:t>
      </w:r>
      <w:r>
        <w:t xml:space="preserve">The 24 profiles in the declared domain that carry a measured bulk density on an interior horizon. Held-out depths run from 25 to 305 cm and observed stocks from 5.5 to 112.0 Mg/ha. This is an interpolation task and is</w:t>
      </w:r>
      <w:r>
        <w:t xml:space="preserve"> </w:t>
      </w:r>
      <w:r>
        <w:rPr>
          <w:i/>
          <w:iCs/>
        </w:rPr>
        <w:t xml:space="preserve">not</w:t>
      </w:r>
      <w:r>
        <w:t xml:space="preserve"> </w:t>
      </w:r>
      <w:r>
        <w:t xml:space="preserve">comparable to Table 6, which holds out the deepest horizon.</w:t>
      </w:r>
    </w:p>
    <w:p>
      <w:pPr>
        <w:pStyle w:val="BodyText"/>
      </w:pPr>
      <w:r>
        <w:t xml:space="preserve">The equation wins, and by more than it does on concentration: mean absolute error 6.9 Mg/ha against 13.4 for copying the nearest measured horizon, 18 wins of 24 and a paired Wilcoxon</w:t>
      </w:r>
      <w:r>
        <w:t xml:space="preserve"> </w:t>
      </w:r>
      <w:r>
        <w:rPr>
          <w:i/>
          <w:iCs/>
        </w:rPr>
        <w:t xml:space="preserve">p</w:t>
      </w:r>
      <w:r>
        <w:t xml:space="preserve"> </w:t>
      </w:r>
      <w:r>
        <w:t xml:space="preserve">of 0.0043. The ranking is the same one the concentration scoring gives on these same profiles, which is the part worth stating: the conclusion survives the change of units.</w:t>
      </w:r>
    </w:p>
    <w:p>
      <w:pPr>
        <w:pStyle w:val="BodyText"/>
      </w:pPr>
      <w:r>
        <w:t xml:space="preserve">With 24 profiles this is an indication and not a validation, and we report it as one. What it replaces is a declared impossibility, which was the weaker position.</w:t>
      </w:r>
    </w:p>
    <w:p>
      <w:pPr>
        <w:pStyle w:val="BodyText"/>
      </w:pPr>
      <w:r>
        <w:rPr>
          <w:b/>
          <w:bCs/>
        </w:rPr>
        <w:t xml:space="preserve">What declaring the validity domain does, and does not, buy.</w:t>
      </w:r>
      <w:r>
        <w:t xml:space="preserve"> </w:t>
      </w:r>
      <m:oMath>
        <m:sSub>
          <m:e>
            <m:r>
              <m:t>λ</m:t>
            </m:r>
          </m:e>
          <m:sub>
            <m:r>
              <m:t>0</m:t>
            </m:r>
          </m:sub>
        </m:sSub>
        <m:r>
          <m:rPr>
            <m:sty m:val="p"/>
          </m:rPr>
          <m:t>&gt;</m:t>
        </m:r>
        <m:r>
          <m:t>0</m:t>
        </m:r>
      </m:oMath>
      <w:r>
        <w:t xml:space="preserve"> </w:t>
      </w:r>
      <w:r>
        <w:t xml:space="preserve">with a first-order relaxation makes</w:t>
      </w:r>
      <w:r>
        <w:t xml:space="preserve"> </w:t>
      </w:r>
      <m:oMath>
        <m:r>
          <m:t>y</m:t>
        </m:r>
        <m:r>
          <m:rPr>
            <m:sty m:val="p"/>
          </m:rPr>
          <m:t>(</m:t>
        </m:r>
        <m:r>
          <m:t>z</m:t>
        </m:r>
        <m:r>
          <m:rPr>
            <m:sty m:val="p"/>
          </m:rPr>
          <m:t>)</m:t>
        </m:r>
      </m:oMath>
      <w:r>
        <w:t xml:space="preserve"> </w:t>
      </w:r>
      <w:r>
        <w:t xml:space="preserve">monotone by construction, so an argillic bulge, an E horizon beneath an A, or a buried A cannot be represented at all; 15.4% of these profiles are not monotone even in their training horizons. It is tempting to read that as a scope statement that rescues the model, and an earlier version of this analysis did exactly that, reporting that restricting to the monotone profiles moved the RMSE from 14.04 to 1.51.</w:t>
      </w:r>
    </w:p>
    <w:p>
      <w:pPr>
        <w:pStyle w:val="BodyText"/>
      </w:pPr>
      <w:r>
        <w:t xml:space="preserve">That reduction was an artefact of how the restriction was computed. Judging a profile monotone from its</w:t>
      </w:r>
      <w:r>
        <w:t xml:space="preserve"> </w:t>
      </w:r>
      <w:r>
        <w:rPr>
          <w:i/>
          <w:iCs/>
        </w:rPr>
        <w:t xml:space="preserve">complete</w:t>
      </w:r>
      <w:r>
        <w:t xml:space="preserve"> </w:t>
      </w:r>
      <w:r>
        <w:t xml:space="preserve">record — including the deepest horizon, the one the extrapolation task holds out — excludes precisely those profiles whose held-out horizon jumps, which are the hard cases. Sixty of the 935 profiles are monotone in their training horizons but not in the full record, and they are enough to carry the result: the largest jump of the held-out horizon is 17 g/kg among the profiles the leaking criterion admits and 427 g/kg among those the honest one admits. Computing the criterion from training horizons only, as it must be, leaves the RMSE at 14.74 rather than 1.51.</w:t>
      </w:r>
    </w:p>
    <w:p>
      <w:pPr>
        <w:pStyle w:val="BodyText"/>
      </w:pPr>
      <w:r>
        <w:t xml:space="preserve">The honest conclusion is narrower than the one that stratification appeared to license, and more useful. The model predicts the typical held-out horizon well — median absolute error 0.76 g/kg — and fails catastrophically on about one profile in a hundred, and nothing available at fit time distinguishes the two. The absolute correlation between the size of the jump in the held-out horizon and the number of training horizons, the depth of the prediction, or the model’s own extrapolation diagnostic is below 0.03 in every case. A depth function fitted to the horizons above cannot know that a buried organic horizon is coming, and declaring a validity domain does not change that, because the declaration would have to be made from the same information.</w:t>
      </w:r>
    </w:p>
    <w:p>
      <w:pPr>
        <w:pStyle w:val="BodyText"/>
      </w:pPr>
      <w:r>
        <w:rPr>
          <w:b/>
          <w:bCs/>
        </w:rPr>
        <w:t xml:space="preserve">A derivable alternative, and it wins.</w:t>
      </w:r>
      <w:r>
        <w:t xml:space="preserve"> </w:t>
      </w:r>
      <w:r>
        <w:t xml:space="preserve">The equation above is not derived from anything. There is no process in soil physics that yields a relaxation rate decaying exponentially with depth; what the equation</w:t>
      </w:r>
      <w:r>
        <w:t xml:space="preserve"> </w:t>
      </w:r>
      <w:r>
        <w:rPr>
          <w:i/>
          <w:iCs/>
        </w:rPr>
        <w:t xml:space="preserve">is</w:t>
      </w:r>
      <w:r>
        <w:t xml:space="preserve">, exactly, is the Russell and Moore exponential depth function</w:t>
      </w:r>
      <w:r>
        <w:t xml:space="preserve"> </w:t>
      </w:r>
      <w:r>
        <w:t xml:space="preserve">[reviewed in 11]</w:t>
      </w:r>
      <w:r>
        <w:t xml:space="preserve"> </w:t>
      </w:r>
      <w:r>
        <w:t xml:space="preserve">carrying a fourth shape parameter. The defensible steady-state balance for soil carbon is an advection–reaction–diffusion equation</w:t>
      </w:r>
      <w:r>
        <w:t xml:space="preserve"> </w:t>
      </w:r>
      <w:r>
        <w:t xml:space="preserve">[12,13]</w:t>
      </w:r>
      <w:r>
        <w:t xml:space="preserve">. Dropping bioturbation, valid below the mixed surface layer, and writing</w:t>
      </w:r>
      <w:r>
        <w:t xml:space="preserve"> </w:t>
      </w:r>
      <m:oMath>
        <m:r>
          <m:t>v</m:t>
        </m:r>
      </m:oMath>
      <w:r>
        <w:t xml:space="preserve"> </w:t>
      </w:r>
      <w:r>
        <w:t xml:space="preserve">for the advection velocity and</w:t>
      </w:r>
      <w:r>
        <w:t xml:space="preserve"> </w:t>
      </w:r>
      <m:oMath>
        <m:r>
          <m:t>k</m:t>
        </m:r>
      </m:oMath>
      <w:r>
        <w:t xml:space="preserve"> </w:t>
      </w:r>
      <w:r>
        <w:t xml:space="preserve">for the decomposition rate constant,</w:t>
      </w:r>
    </w:p>
    <w:p>
      <w:pPr>
        <w:pStyle w:val="BodyText"/>
      </w:pPr>
      <m:oMathPara>
        <m:oMathParaPr>
          <m:jc m:val="center"/>
        </m:oMathParaPr>
        <m:oMath>
          <m:r>
            <m:t>v</m:t>
          </m:r>
          <m:f>
            <m:fPr>
              <m:type m:val="bar"/>
            </m:fPr>
            <m:num>
              <m:r>
                <m:t>d</m:t>
              </m:r>
              <m:r>
                <m:t>C</m:t>
              </m:r>
            </m:num>
            <m:den>
              <m:r>
                <m:t>d</m:t>
              </m:r>
              <m:r>
                <m:t>z</m:t>
              </m:r>
            </m:den>
          </m:f>
          <m:r>
            <m:rPr>
              <m:sty m:val="p"/>
            </m:rPr>
            <m:t>=</m:t>
          </m:r>
          <m:r>
            <m:t>I</m:t>
          </m:r>
          <m:r>
            <m:rPr>
              <m:sty m:val="p"/>
            </m:rPr>
            <m:t>(</m:t>
          </m:r>
          <m:r>
            <m:t>z</m:t>
          </m:r>
          <m:r>
            <m:rPr>
              <m:sty m:val="p"/>
            </m:rPr>
            <m:t>)</m:t>
          </m:r>
          <m:r>
            <m:rPr>
              <m:sty m:val="p"/>
            </m:rPr>
            <m:t>−</m:t>
          </m:r>
          <m:r>
            <m:t>k</m:t>
          </m:r>
          <m:r>
            <m:t>C</m:t>
          </m:r>
          <m:r>
            <m:t>  </m:t>
          </m:r>
          <m:r>
            <m:rPr>
              <m:sty m:val="p"/>
            </m:rPr>
            <m:t>⇔</m:t>
          </m:r>
          <m:r>
            <m:t>  </m:t>
          </m:r>
          <m:f>
            <m:fPr>
              <m:type m:val="bar"/>
            </m:fPr>
            <m:num>
              <m:r>
                <m:t>d</m:t>
              </m:r>
              <m:r>
                <m:t>C</m:t>
              </m:r>
            </m:num>
            <m:den>
              <m:r>
                <m:t>d</m:t>
              </m:r>
              <m:r>
                <m:t>z</m:t>
              </m:r>
            </m:den>
          </m:f>
          <m:r>
            <m:rPr>
              <m:sty m:val="p"/>
            </m:rPr>
            <m:t>=</m:t>
          </m:r>
          <m:r>
            <m:rPr>
              <m:sty m:val="p"/>
            </m:rPr>
            <m:t>−</m:t>
          </m:r>
          <m:r>
            <m:t>λ</m:t>
          </m:r>
          <m:d>
            <m:dPr>
              <m:begChr m:val="("/>
              <m:sepChr m:val=""/>
              <m:endChr m:val=")"/>
              <m:grow/>
            </m:dPr>
            <m:e>
              <m:r>
                <m:t>C</m:t>
              </m:r>
              <m:r>
                <m:rPr>
                  <m:sty m:val="p"/>
                </m:rPr>
                <m:t>−</m:t>
              </m:r>
              <m:f>
                <m:fPr>
                  <m:type m:val="bar"/>
                </m:fPr>
                <m:num>
                  <m:r>
                    <m:t>I</m:t>
                  </m:r>
                  <m:r>
                    <m:rPr>
                      <m:sty m:val="p"/>
                    </m:rPr>
                    <m:t>(</m:t>
                  </m:r>
                  <m:r>
                    <m:t>z</m:t>
                  </m:r>
                  <m:r>
                    <m:rPr>
                      <m:sty m:val="p"/>
                    </m:rPr>
                    <m:t>)</m:t>
                  </m:r>
                </m:num>
                <m:den>
                  <m:r>
                    <m:t>k</m:t>
                  </m:r>
                </m:den>
              </m:f>
            </m:e>
          </m:d>
          <m:r>
            <m:rPr>
              <m:sty m:val="p"/>
            </m:rPr>
            <m:t>,</m:t>
          </m:r>
          <m:r>
            <m:t> </m:t>
          </m:r>
          <m:r>
            <m:t>λ</m:t>
          </m:r>
          <m:r>
            <m:rPr>
              <m:sty m:val="p"/>
            </m:rPr>
            <m:t>=</m:t>
          </m:r>
          <m:r>
            <m:t>k</m:t>
          </m:r>
          <m:r>
            <m:rPr>
              <m:sty m:val="p"/>
            </m:rPr>
            <m:t>/</m:t>
          </m:r>
          <m:r>
            <m:t>v</m:t>
          </m:r>
          <m:r>
            <m:rPr>
              <m:sty m:val="p"/>
            </m:rPr>
            <m:t>.</m:t>
          </m:r>
        </m:oMath>
      </m:oMathPara>
    </w:p>
    <w:p>
      <w:pPr>
        <w:pStyle w:val="FirstParagraph"/>
      </w:pPr>
      <w:r>
        <w:t xml:space="preserve">That is a relaxation with a</w:t>
      </w:r>
      <w:r>
        <w:t xml:space="preserve"> </w:t>
      </w:r>
      <w:r>
        <w:rPr>
          <w:b/>
          <w:bCs/>
        </w:rPr>
        <w:t xml:space="preserve">constant</w:t>
      </w:r>
      <w:r>
        <w:t xml:space="preserve"> </w:t>
      </w:r>
      <w:r>
        <w:t xml:space="preserve">rate toward a</w:t>
      </w:r>
      <w:r>
        <w:t xml:space="preserve"> </w:t>
      </w:r>
      <w:r>
        <w:rPr>
          <w:b/>
          <w:bCs/>
        </w:rPr>
        <w:t xml:space="preserve">depth-varying</w:t>
      </w:r>
      <w:r>
        <w:t xml:space="preserve"> </w:t>
      </w:r>
      <w:r>
        <w:t xml:space="preserve">target. The depth-dependence belongs in the asymptote, not in the rate. Root carbon input declines exponentially with depth</w:t>
      </w:r>
      <w:r>
        <w:t xml:space="preserve"> </w:t>
      </w:r>
      <w:r>
        <w:t xml:space="preserve">[14,15]</w:t>
      </w:r>
      <w:r>
        <w:t xml:space="preserve">,</w:t>
      </w:r>
      <w:r>
        <w:t xml:space="preserve"> </w:t>
      </w:r>
      <m:oMath>
        <m:r>
          <m:t>I</m:t>
        </m:r>
        <m:r>
          <m:rPr>
            <m:sty m:val="p"/>
          </m:rPr>
          <m:t>(</m:t>
        </m:r>
        <m:r>
          <m:t>z</m:t>
        </m:r>
        <m:r>
          <m:rPr>
            <m:sty m:val="p"/>
          </m:rPr>
          <m:t>)</m:t>
        </m:r>
        <m:r>
          <m:rPr>
            <m:sty m:val="p"/>
          </m:rPr>
          <m:t>=</m:t>
        </m:r>
        <m:sSub>
          <m:e>
            <m:r>
              <m:t>I</m:t>
            </m:r>
          </m:e>
          <m:sub>
            <m:r>
              <m:t>0</m:t>
            </m:r>
          </m:sub>
        </m:sSub>
        <m:sSup>
          <m:e>
            <m:r>
              <m:t>e</m:t>
            </m:r>
          </m:e>
          <m:sup>
            <m:r>
              <m:rPr>
                <m:sty m:val="p"/>
              </m:rPr>
              <m:t>−</m:t>
            </m:r>
            <m:r>
              <m:t>z</m:t>
            </m:r>
            <m:r>
              <m:rPr>
                <m:sty m:val="p"/>
              </m:rPr>
              <m:t>/</m:t>
            </m:r>
            <m:sSub>
              <m:e>
                <m:r>
                  <m:t>z</m:t>
                </m:r>
              </m:e>
              <m:sub>
                <m:r>
                  <m:t>r</m:t>
                </m:r>
              </m:sub>
            </m:sSub>
          </m:sup>
        </m:sSup>
      </m:oMath>
      <w:r>
        <w:t xml:space="preserve">, so with a mineral-associated floor</w:t>
      </w:r>
      <w:r>
        <w:t xml:space="preserve"> </w:t>
      </w:r>
      <m:oMath>
        <m:r>
          <m:t>A</m:t>
        </m:r>
      </m:oMath>
      <w:r>
        <w:t xml:space="preserve"> </w:t>
      </w:r>
      <w:r>
        <w:t xml:space="preserve">the target is</w:t>
      </w:r>
      <w:r>
        <w:t xml:space="preserve"> </w:t>
      </w:r>
      <m:oMath>
        <m:r>
          <m:t>A</m:t>
        </m:r>
        <m:r>
          <m:rPr>
            <m:sty m:val="p"/>
          </m:rPr>
          <m:t>+</m:t>
        </m:r>
        <m:r>
          <m:t>B</m:t>
        </m:r>
        <m:sSup>
          <m:e>
            <m:r>
              <m:t>e</m:t>
            </m:r>
          </m:e>
          <m:sup>
            <m:r>
              <m:rPr>
                <m:sty m:val="p"/>
              </m:rPr>
              <m:t>−</m:t>
            </m:r>
            <m:r>
              <m:t>z</m:t>
            </m:r>
            <m:r>
              <m:rPr>
                <m:sty m:val="p"/>
              </m:rPr>
              <m:t>/</m:t>
            </m:r>
            <m:sSub>
              <m:e>
                <m:r>
                  <m:t>z</m:t>
                </m:r>
              </m:e>
              <m:sub>
                <m:r>
                  <m:t>r</m:t>
                </m:r>
              </m:sub>
            </m:sSub>
          </m:sup>
        </m:sSup>
      </m:oMath>
      <w:r>
        <w:t xml:space="preserve"> </w:t>
      </w:r>
      <w:r>
        <w:t xml:space="preserve">where</w:t>
      </w:r>
      <w:r>
        <w:t xml:space="preserve"> </w:t>
      </w:r>
      <m:oMath>
        <m:r>
          <m:t>B</m:t>
        </m:r>
        <m:r>
          <m:rPr>
            <m:sty m:val="p"/>
          </m:rPr>
          <m:t>=</m:t>
        </m:r>
        <m:sSub>
          <m:e>
            <m:r>
              <m:t>I</m:t>
            </m:r>
          </m:e>
          <m:sub>
            <m:r>
              <m:t>0</m:t>
            </m:r>
          </m:sub>
        </m:sSub>
        <m:r>
          <m:rPr>
            <m:sty m:val="p"/>
          </m:rPr>
          <m:t>/</m:t>
        </m:r>
        <m:r>
          <m:t>k</m:t>
        </m:r>
      </m:oMath>
      <w:r>
        <w:t xml:space="preserve">. This too is closed-form, its layer averages are analytic, and every parameter is positive with a literature prior —</w:t>
      </w:r>
      <w:r>
        <w:t xml:space="preserve"> </w:t>
      </w:r>
      <m:oMath>
        <m:sSub>
          <m:e>
            <m:r>
              <m:t>z</m:t>
            </m:r>
          </m:e>
          <m:sub>
            <m:r>
              <m:t>r</m:t>
            </m:r>
          </m:sub>
        </m:sSub>
      </m:oMath>
      <w:r>
        <w:t xml:space="preserve"> </w:t>
      </w:r>
      <w:r>
        <w:t xml:space="preserve">from the Jackson et al. rooting parameter,</w:t>
      </w:r>
      <w:r>
        <w:t xml:space="preserve"> </w:t>
      </w:r>
      <m:oMath>
        <m:r>
          <m:t>A</m:t>
        </m:r>
      </m:oMath>
      <w:r>
        <w:t xml:space="preserve"> </w:t>
      </w:r>
      <w:r>
        <w:t xml:space="preserve">from mineral-association saturation.</w:t>
      </w:r>
    </w:p>
    <w:p>
      <w:pPr>
        <w:pStyle w:val="BodyText"/>
      </w:pPr>
      <w:r>
        <w:t xml:space="preserve">On the same 935 profiles the derived model leads the table on mean absolute error, 1.76 against 1.82 g/kg, but the difference is not significant: it wins on 486 profiles against 449, paired Wilcoxon</w:t>
      </w:r>
      <w:r>
        <w:t xml:space="preserve"> </w:t>
      </w:r>
      <m:oMath>
        <m:r>
          <m:t>p</m:t>
        </m:r>
        <m:r>
          <m:rPr>
            <m:sty m:val="p"/>
          </m:rPr>
          <m:t>=</m:t>
        </m:r>
        <m:r>
          <m:t>0.25</m:t>
        </m:r>
      </m:oMath>
      <w:r>
        <w:t xml:space="preserve">. On the nine-horizon pedon it does fit markedly better, 0.44 against 2.52 g/kg.</w:t>
      </w:r>
    </w:p>
    <w:p>
      <w:pPr>
        <w:pStyle w:val="BodyText"/>
      </w:pPr>
      <w:r>
        <w:t xml:space="preserve">That null result is worth stating carefully, because an earlier version of this analysis reached the opposite conclusion. Under a Gaussian likelihood the derived model appeared to win decisively (</w:t>
      </w:r>
      <m:oMath>
        <m:r>
          <m:t>p</m:t>
        </m:r>
        <m:r>
          <m:rPr>
            <m:sty m:val="p"/>
          </m:rPr>
          <m:t>=</m:t>
        </m:r>
        <m:r>
          <m:t>2</m:t>
        </m:r>
        <m:r>
          <m:rPr>
            <m:sty m:val="p"/>
          </m:rPr>
          <m:t>×</m:t>
        </m:r>
        <m:sSup>
          <m:e>
            <m:r>
              <m:t>10</m:t>
            </m:r>
          </m:e>
          <m:sup>
            <m:r>
              <m:rPr>
                <m:sty m:val="p"/>
              </m:rPr>
              <m:t>−</m:t>
            </m:r>
            <m:r>
              <m:t>6</m:t>
            </m:r>
          </m:sup>
        </m:sSup>
      </m:oMath>
      <w:r>
        <w:t xml:space="preserve">). Correcting the likelihood for both models removed the difference — the Gaussian was penalising the attenuating-rate form more, because over-weighting the topsoil hurts the model whose flexibility lies in the deep tail. The two forms are, on this evidence, equally accurate at predicting a held-out deepest horizon.</w:t>
      </w:r>
    </w:p>
    <w:p>
      <w:pPr>
        <w:pStyle w:val="BodyText"/>
      </w:pPr>
      <w:r>
        <w:t xml:space="preserve">We therefore recommend the derived form on the grounds it can actually be defended — it follows from a carbon balance, its parameters are positive and priorable from published rooting and stabilisation values, and its asymptote is a parameter of the equation rather than a coordinate the profile never reaches — and not on grounds of accuracy, where the honest answer is a tie. The attenuating-rate equation is retained because it is what the depth-function literature has used and it is the fair comparator.</w:t>
      </w:r>
    </w:p>
    <w:p>
      <w:pPr>
        <w:pStyle w:val="BodyText"/>
      </w:pPr>
      <w:r>
        <w:rPr>
          <w:b/>
          <w:bCs/>
        </w:rPr>
        <w:t xml:space="preserve">Can the fitted profile be mapped?</w:t>
      </w:r>
      <w:r>
        <w:t xml:space="preserve"> </w:t>
      </w:r>
      <w:r>
        <w:t xml:space="preserve">A pedometrician handed a per-pedon depth model reaches for the obvious two-stage workflow: fit the equation at every profile, then krige its parameters onto a grid. That workflow needs the fitted parameters to be spatially structured, and nobody had checked whether they are. Fitting all 1,105 profiles and computing the empirical variogram of each parameter over 386,729 point pairs gives an answer that is neither the hoped-for yes nor a flat no (Fig 4).</w:t>
      </w:r>
    </w:p>
    <w:p>
      <w:pPr>
        <w:pStyle w:val="BodyText"/>
      </w:pPr>
      <w:r>
        <w:t xml:space="preserve">Only one of the four parameters has an identified variogram. The attainable deep value reaches a sill at a range of 69 km with a nugget-to-sill ratio of 0.69 — moderate spatial dependence in the sense of Cambardella et al.</w:t>
      </w:r>
      <w:r>
        <w:t xml:space="preserve"> </w:t>
      </w:r>
      <w:r>
        <w:t xml:space="preserve">[16]</w:t>
      </w:r>
      <w:r>
        <w:t xml:space="preserve">, and close to the 0.75 boundary they set for weak. The other three, the surface value, the depth attenuation and the total relaxation, fit ranges of 3, 12 and 8 km, all</w:t>
      </w:r>
      <w:r>
        <w:t xml:space="preserve"> </w:t>
      </w:r>
      <w:r>
        <w:rPr>
          <w:i/>
          <w:iCs/>
        </w:rPr>
        <w:t xml:space="preserve">below the closest pair of profiles in the archive</w:t>
      </w:r>
      <w:r>
        <w:t xml:space="preserve">: the nearest lag these profiles support is 35 km, so a range shorter than that is interpolated through empty space rather than measured. Their spatial structure, whatever it is, operates at a scale this survey cannot see.</w:t>
      </w:r>
    </w:p>
    <w:p>
      <w:pPr>
        <w:pStyle w:val="BodyText"/>
      </w:pPr>
      <w:r>
        <w:t xml:space="preserve">These figures replace an earlier version of this table computed from Gaussian-likelihood fits, which reported two identified parameters at 68 and 55 km. Changing the observation model changes the fitted parameters, and therefore their variograms; the depth attenuation’s apparent 55 km range does not survive the correction.</w:t>
      </w:r>
    </w:p>
    <w:p>
      <w:pPr>
        <w:pStyle w:val="BodyText"/>
      </w:pPr>
      <w:r>
        <w:t xml:space="preserve">The consequence for mapping is unfavourable, and more so than before. The single identified range, 69 km, is far shorter than the median separation between profiles in this archive, so kriging that parameter would be extrapolating almost everywhere — and for the other three there is no range to krige with at all. Regressing each on climate and terrain first does not rescue the situation: those covariates explain between 2.3% and 9.0% of the parameters’ variance, and the residual variograms are no better structured than the raw ones.</w:t>
      </w:r>
    </w:p>
    <w:p>
      <w:pPr>
        <w:pStyle w:val="BodyText"/>
      </w:pPr>
      <w:r>
        <w:t xml:space="preserve">We therefore report the two-stage workflow as inadequate on these data, and for a reason that is about sampling design rather than about the equation: the depth function varies over tens of kilometres while the profiles are hundreds of kilometres apart. The remedy is not a better kriging model but a one-stage hierarchical one, in which the profile parameters are regressed on covariates and share a spatial random effect, so that the shape of a profile at an unvisited site is borrowed rather than interpolated. We flag that as the pillar’s next step rather than claim it here.</w:t>
      </w:r>
    </w:p>
    <w:p>
      <w:pPr>
        <w:pStyle w:val="BodyText"/>
      </w:pPr>
      <w:r>
        <w:drawing>
          <wp:inline>
            <wp:extent cx="5334000" cy="3845441"/>
            <wp:effectExtent b="0" l="0" r="0" t="0"/>
            <wp:docPr descr="" title="" id="20" name="Picture"/>
            <a:graphic>
              <a:graphicData uri="http://schemas.openxmlformats.org/drawingml/2006/picture">
                <pic:pic>
                  <pic:nvPicPr>
                    <pic:cNvPr descr="plos-manuscript_files/figures/Fig4.png" id="21" name="Picture"/>
                    <pic:cNvPicPr>
                      <a:picLocks noChangeArrowheads="1" noChangeAspect="1"/>
                    </pic:cNvPicPr>
                  </pic:nvPicPr>
                  <pic:blipFill>
                    <a:blip r:embed="rId19"/>
                    <a:stretch>
                      <a:fillRect/>
                    </a:stretch>
                  </pic:blipFill>
                  <pic:spPr bwMode="auto">
                    <a:xfrm>
                      <a:off x="0" y="0"/>
                      <a:ext cx="5334000" cy="3845441"/>
                    </a:xfrm>
                    <a:prstGeom prst="rect">
                      <a:avLst/>
                    </a:prstGeom>
                    <a:noFill/>
                    <a:ln w="9525">
                      <a:noFill/>
                      <a:headEnd/>
                      <a:tailEnd/>
                    </a:ln>
                  </pic:spPr>
                </pic:pic>
              </a:graphicData>
            </a:graphic>
          </wp:inline>
        </w:drawing>
      </w:r>
    </w:p>
    <w:p>
      <w:pPr>
        <w:pStyle w:val="BodyText"/>
      </w:pPr>
      <w:r>
        <w:rPr>
          <w:b/>
          <w:bCs/>
        </w:rPr>
        <w:t xml:space="preserve">Fig 4. The depth function varies faster than the survey can see.</w:t>
      </w:r>
      <w:r>
        <w:t xml:space="preserve"> </w:t>
      </w:r>
      <w:r>
        <w:t xml:space="preserve">Empirical variograms of the four fitted parameters across 1,060 profiles with converged fits, 386,729 point pairs, with fitted exponential models. One parameter — the attainable deep value — reaches a sill within the observed separations, at 69 km; the other three fit ranges shorter than the 35 km nearest lag the archive supports, and are therefore not identified. Point size is the number of pairs in each lag.</w:t>
      </w:r>
    </w:p>
    <w:p>
      <w:pPr>
        <w:pStyle w:val="BodyText"/>
      </w:pPr>
      <w:r>
        <w:rPr>
          <w:b/>
          <w:bCs/>
        </w:rPr>
        <w:t xml:space="preserve">Do the parameters mean what they are called?</w:t>
      </w:r>
      <w:r>
        <w:t xml:space="preserve"> </w:t>
      </w:r>
      <w:r>
        <w:t xml:space="preserve">The pillar claims its parameters are identified and interpretable. Identified we demonstrate; interpretable we had only asserted. Two directional predictions test it, both falsifiable, and they come out differently.</w:t>
      </w:r>
    </w:p>
    <w:p>
      <w:pPr>
        <w:pStyle w:val="BodyText"/>
      </w:pPr>
      <w:r>
        <w:t xml:space="preserve">The first concerns the deep floor. Hassink</w:t>
      </w:r>
      <w:r>
        <w:t xml:space="preserve"> </w:t>
      </w:r>
      <w:r>
        <w:t xml:space="preserve">[17]</w:t>
      </w:r>
      <w:r>
        <w:t xml:space="preserve"> </w:t>
      </w:r>
      <w:r>
        <w:t xml:space="preserve">showed that a soil’s capacity to preserve carbon in association with its fine fraction rises with the mass of that fraction, so if</w:t>
      </w:r>
      <w:r>
        <w:t xml:space="preserve"> </w:t>
      </w:r>
      <m:oMath>
        <m:r>
          <m:t>y</m:t>
        </m:r>
        <m:r>
          <m:rPr>
            <m:sty m:val="p"/>
          </m:rPr>
          <m:t>(</m:t>
        </m:r>
        <m:r>
          <m:rPr>
            <m:sty m:val="p"/>
          </m:rPr>
          <m:t>∞</m:t>
        </m:r>
        <m:r>
          <m:rPr>
            <m:sty m:val="p"/>
          </m:rPr>
          <m:t>)</m:t>
        </m:r>
      </m:oMath>
      <w:r>
        <w:t xml:space="preserve"> </w:t>
      </w:r>
      <w:r>
        <w:t xml:space="preserve">is a mineral-associated floor it must increase with clay plus silt; if it is only a shape parameter, there is no reason it should. Across 812 monotone profiles with a texture estimate within 5 km, it does: the slope of</w:t>
      </w:r>
      <w:r>
        <w:t xml:space="preserve"> </w:t>
      </w:r>
      <m:oMath>
        <m:r>
          <m:rPr>
            <m:sty m:val="p"/>
          </m:rPr>
          <m:t>log</m:t>
        </m:r>
        <m:r>
          <m:t>y</m:t>
        </m:r>
        <m:r>
          <m:rPr>
            <m:sty m:val="p"/>
          </m:rPr>
          <m:t>(</m:t>
        </m:r>
        <m:r>
          <m:rPr>
            <m:sty m:val="p"/>
          </m:rPr>
          <m:t>∞</m:t>
        </m:r>
        <m:r>
          <m:rPr>
            <m:sty m:val="p"/>
          </m:rPr>
          <m:t>)</m:t>
        </m:r>
      </m:oMath>
      <w:r>
        <w:t xml:space="preserve"> </w:t>
      </w:r>
      <w:r>
        <w:t xml:space="preserve">on clay + silt is</w:t>
      </w:r>
      <w:r>
        <w:t xml:space="preserve"> </w:t>
      </w:r>
      <m:oMath>
        <m:r>
          <m:rPr>
            <m:sty m:val="p"/>
          </m:rPr>
          <m:t>+</m:t>
        </m:r>
        <m:r>
          <m:t>0.0067</m:t>
        </m:r>
      </m:oMath>
      <w:r>
        <w:t xml:space="preserve"> </w:t>
      </w:r>
      <w:r>
        <w:t xml:space="preserve">per percentage point (</w:t>
      </w:r>
      <m:oMath>
        <m:r>
          <m:t>p</m:t>
        </m:r>
        <m:r>
          <m:rPr>
            <m:sty m:val="p"/>
          </m:rPr>
          <m:t>=</m:t>
        </m:r>
        <m:r>
          <m:t>0.03</m:t>
        </m:r>
      </m:oMath>
      <w:r>
        <w:t xml:space="preserve">; Spearman</w:t>
      </w:r>
      <w:r>
        <w:t xml:space="preserve"> </w:t>
      </w:r>
      <m:oMath>
        <m:r>
          <m:t>ρ</m:t>
        </m:r>
        <m:r>
          <m:rPr>
            <m:sty m:val="p"/>
          </m:rPr>
          <m:t>=</m:t>
        </m:r>
        <m:r>
          <m:t>0.10</m:t>
        </m:r>
      </m:oMath>
      <w:r>
        <w:t xml:space="preserve">,</w:t>
      </w:r>
      <w:r>
        <w:t xml:space="preserve"> </w:t>
      </w:r>
      <m:oMath>
        <m:r>
          <m:t>p</m:t>
        </m:r>
        <m:r>
          <m:rPr>
            <m:sty m:val="p"/>
          </m:rPr>
          <m:t>=</m:t>
        </m:r>
        <m:r>
          <m:t>0.004</m:t>
        </m:r>
      </m:oMath>
      <w:r>
        <w:t xml:space="preserve">), which over the observed 17–93% range corresponds to a 1.7-fold change in the fitted floor. The direction is the predicted one and the association is not an artefact of one parameterisation — the attained value of the attenuating-rate form gives the same sign more strongly (</w:t>
      </w:r>
      <m:oMath>
        <m:r>
          <m:t>p</m:t>
        </m:r>
        <m:r>
          <m:rPr>
            <m:sty m:val="p"/>
          </m:rPr>
          <m:t>=</m:t>
        </m:r>
        <m:r>
          <m:t>0.002</m:t>
        </m:r>
      </m:oMath>
      <w:r>
        <w:t xml:space="preserve">).</w:t>
      </w:r>
    </w:p>
    <w:p>
      <w:pPr>
        <w:pStyle w:val="BodyText"/>
      </w:pPr>
      <w:r>
        <w:t xml:space="preserve">The magnitude, however, is negligible: texture explains 0.5% of the variance in the fitted floor. With 812 profiles a relation this weak clears significance easily, and the texture is a SoilGrids prediction rather than a measurement, from a product trained partly on the same WoSIS archive. We report this as consistent with the mechanism and as very much weaker than a confirmation of it.</w:t>
      </w:r>
    </w:p>
    <w:p>
      <w:pPr>
        <w:pStyle w:val="BodyText"/>
      </w:pPr>
      <w:r>
        <w:t xml:space="preserve">The second anchor fails, and how it fails is the more useful result. Jobbágy and Jackson</w:t>
      </w:r>
      <w:r>
        <w:t xml:space="preserve"> </w:t>
      </w:r>
      <w:r>
        <w:t xml:space="preserve">[18]</w:t>
      </w:r>
      <w:r>
        <w:t xml:space="preserve"> </w:t>
      </w:r>
      <w:r>
        <w:t xml:space="preserve">summarise the vertical distribution of soil carbon by</w:t>
      </w:r>
      <w:r>
        <w:t xml:space="preserve"> </w:t>
      </w:r>
      <m:oMath>
        <m:r>
          <m:t>β</m:t>
        </m:r>
      </m:oMath>
      <w:r>
        <w:t xml:space="preserve"> </w:t>
      </w:r>
      <w:r>
        <w:t xml:space="preserve">in</w:t>
      </w:r>
      <w:r>
        <w:t xml:space="preserve"> </w:t>
      </w:r>
      <m:oMath>
        <m:r>
          <m:t>Y</m:t>
        </m:r>
        <m:r>
          <m:rPr>
            <m:sty m:val="p"/>
          </m:rPr>
          <m:t>(</m:t>
        </m:r>
        <m:r>
          <m:t>d</m:t>
        </m:r>
        <m:r>
          <m:rPr>
            <m:sty m:val="p"/>
          </m:rPr>
          <m:t>)</m:t>
        </m:r>
        <m:r>
          <m:rPr>
            <m:sty m:val="p"/>
          </m:rPr>
          <m:t>=</m:t>
        </m:r>
        <m:r>
          <m:t>1</m:t>
        </m:r>
        <m:r>
          <m:rPr>
            <m:sty m:val="p"/>
          </m:rPr>
          <m:t>−</m:t>
        </m:r>
        <m:sSup>
          <m:e>
            <m:r>
              <m:t>β</m:t>
            </m:r>
          </m:e>
          <m:sup>
            <m:r>
              <m:t>d</m:t>
            </m:r>
          </m:sup>
        </m:sSup>
      </m:oMath>
      <w:r>
        <w:t xml:space="preserve">, a whole-profile shape statistic defined without reference to any of our parameters, and their central finding is that vegetation shapes it. Our fitted depth functions imply a</w:t>
      </w:r>
      <w:r>
        <w:t xml:space="preserve"> </w:t>
      </w:r>
      <m:oMath>
        <m:r>
          <m:t>β</m:t>
        </m:r>
      </m:oMath>
      <w:r>
        <w:t xml:space="preserve"> </w:t>
      </w:r>
      <w:r>
        <w:t xml:space="preserve">with a median of 0.971 and a 5–95% range of 0.957–0.980 — a narrow, pedologically unremarkable band. But it moves with nothing outside the fit. Regressed on tree cover it gives a slope of</w:t>
      </w:r>
      <w:r>
        <w:t xml:space="preserve"> </w:t>
      </w:r>
      <m:oMath>
        <m:r>
          <m:rPr>
            <m:sty m:val="p"/>
          </m:rPr>
          <m:t>−</m:t>
        </m:r>
        <m:r>
          <m:t>4</m:t>
        </m:r>
        <m:r>
          <m:rPr>
            <m:sty m:val="p"/>
          </m:rPr>
          <m:t>×</m:t>
        </m:r>
        <m:sSup>
          <m:e>
            <m:r>
              <m:t>10</m:t>
            </m:r>
          </m:e>
          <m:sup>
            <m:r>
              <m:rPr>
                <m:sty m:val="p"/>
              </m:rPr>
              <m:t>−</m:t>
            </m:r>
            <m:r>
              <m:t>5</m:t>
            </m:r>
          </m:sup>
        </m:sSup>
      </m:oMath>
      <w:r>
        <w:t xml:space="preserve"> </w:t>
      </w:r>
      <w:r>
        <w:t xml:space="preserve">(</w:t>
      </w:r>
      <m:oMath>
        <m:r>
          <m:t>p</m:t>
        </m:r>
        <m:r>
          <m:rPr>
            <m:sty m:val="p"/>
          </m:rPr>
          <m:t>=</m:t>
        </m:r>
        <m:r>
          <m:t>0.97</m:t>
        </m:r>
      </m:oMath>
      <w:r>
        <w:t xml:space="preserve">,</w:t>
      </w:r>
      <w:r>
        <w:t xml:space="preserve"> </w:t>
      </w:r>
      <m:oMath>
        <m:sSup>
          <m:e>
            <m:r>
              <m:t>R</m:t>
            </m:r>
          </m:e>
          <m:sup>
            <m:r>
              <m:t>2</m:t>
            </m:r>
          </m:sup>
        </m:sSup>
        <m:r>
          <m:rPr>
            <m:sty m:val="p"/>
          </m:rPr>
          <m:t>=</m:t>
        </m:r>
        <m:r>
          <m:t>0.00003</m:t>
        </m:r>
      </m:oMath>
      <w:r>
        <w:t xml:space="preserve">); on clay,</w:t>
      </w:r>
      <w:r>
        <w:t xml:space="preserve"> </w:t>
      </w:r>
      <m:oMath>
        <m:sSup>
          <m:e>
            <m:r>
              <m:t>R</m:t>
            </m:r>
          </m:e>
          <m:sup>
            <m:r>
              <m:t>2</m:t>
            </m:r>
          </m:sup>
        </m:sSup>
        <m:r>
          <m:rPr>
            <m:sty m:val="p"/>
          </m:rPr>
          <m:t>&lt;</m:t>
        </m:r>
        <m:r>
          <m:t>0.0001</m:t>
        </m:r>
      </m:oMath>
      <w:r>
        <w:t xml:space="preserve">; on mean annual precipitation,</w:t>
      </w:r>
      <w:r>
        <w:t xml:space="preserve"> </w:t>
      </w:r>
      <m:oMath>
        <m:sSup>
          <m:e>
            <m:r>
              <m:t>R</m:t>
            </m:r>
          </m:e>
          <m:sup>
            <m:r>
              <m:t>2</m:t>
            </m:r>
          </m:sup>
        </m:sSup>
        <m:r>
          <m:rPr>
            <m:sty m:val="p"/>
          </m:rPr>
          <m:t>=</m:t>
        </m:r>
        <m:r>
          <m:t>0.0005</m:t>
        </m:r>
      </m:oMath>
      <w:r>
        <w:t xml:space="preserve">. The one external variable it does track is the depth to which the profile happened to be dug (</w:t>
      </w:r>
      <m:oMath>
        <m:sSup>
          <m:e>
            <m:r>
              <m:t>R</m:t>
            </m:r>
          </m:e>
          <m:sup>
            <m:r>
              <m:t>2</m:t>
            </m:r>
          </m:sup>
        </m:sSup>
        <m:r>
          <m:rPr>
            <m:sty m:val="p"/>
          </m:rPr>
          <m:t>=</m:t>
        </m:r>
        <m:r>
          <m:t>0.024</m:t>
        </m:r>
      </m:oMath>
      <w:r>
        <w:t xml:space="preserve">,</w:t>
      </w:r>
      <w:r>
        <w:t xml:space="preserve"> </w:t>
      </w:r>
      <m:oMath>
        <m:r>
          <m:t>p</m:t>
        </m:r>
        <m:r>
          <m:rPr>
            <m:sty m:val="p"/>
          </m:rPr>
          <m:t>=</m:t>
        </m:r>
        <m:r>
          <m:t>1</m:t>
        </m:r>
        <m:r>
          <m:rPr>
            <m:sty m:val="p"/>
          </m:rPr>
          <m:t>×</m:t>
        </m:r>
        <m:sSup>
          <m:e>
            <m:r>
              <m:t>10</m:t>
            </m:r>
          </m:e>
          <m:sup>
            <m:r>
              <m:rPr>
                <m:sty m:val="p"/>
              </m:rPr>
              <m:t>−</m:t>
            </m:r>
            <m:r>
              <m:t>5</m:t>
            </m:r>
          </m:sup>
        </m:sSup>
      </m:oMath>
      <w:r>
        <w:t xml:space="preserve">), which is a property of the survey rather than of the soil.</w:t>
      </w:r>
    </w:p>
    <w:p>
      <w:pPr>
        <w:pStyle w:val="BodyText"/>
      </w:pPr>
      <w:r>
        <w:t xml:space="preserve">What it does track is us. Sixty-three percent of the variance in the implied</w:t>
      </w:r>
      <w:r>
        <w:t xml:space="preserve"> </w:t>
      </w:r>
      <m:oMath>
        <m:r>
          <m:t>β</m:t>
        </m:r>
      </m:oMath>
      <w:r>
        <w:t xml:space="preserve"> </w:t>
      </w:r>
      <w:r>
        <w:t xml:space="preserve">is explained by the fitted surface concentration alone. That is mechanically unsurprising once stated — within this model family the cumulative curve is pinned by the contrast between the surface and the deep value, which is what the parameterisation encodes — but it is decisive for the anchor’s purpose. A statistic that is two-thirds determined by a parameter of the model it is meant to validate is not external evidence, and we withdraw it as such. It remains a useful check that the fitted profiles are not absurd; it is not a check that they are right.</w:t>
      </w:r>
    </w:p>
    <w:p>
      <w:pPr>
        <w:pStyle w:val="BodyText"/>
      </w:pPr>
      <w:r>
        <w:rPr>
          <w:b/>
          <w:bCs/>
        </w:rPr>
        <w:t xml:space="preserve">What we do not claim.</w:t>
      </w:r>
      <w:r>
        <w:t xml:space="preserve"> </w:t>
      </w:r>
      <w:r>
        <w:t xml:space="preserve">Six limits belong with this pillar. The model is monotone and cannot represent horizon differentiation; the 15.4% of profiles whose training horizons already violate monotonicity are not a rounding error but the pedologically most interesting ones, and the profiles that violate it only in the horizon being predicted cannot be excluded in advance at all. Carbon</w:t>
      </w:r>
      <w:r>
        <w:t xml:space="preserve"> </w:t>
      </w:r>
      <w:r>
        <w:rPr>
          <w:i/>
          <w:iCs/>
        </w:rPr>
        <w:t xml:space="preserve">stock</w:t>
      </w:r>
      <w:r>
        <w:t xml:space="preserve"> </w:t>
      </w:r>
      <w:r>
        <w:t xml:space="preserve">is scored above on 24 profiles, which is every one in the declared domain carrying a measured density on an interior horizon. On the harder extrapolation task the archive supports no stock test at all — two profiles have a measured density on their deepest horizon — so the pillar’s headline comparison remains a concentration result, and a stock validation at scale would need a pedotransfer function we have not built. Depth is not time — Jenny’s kinetics are written in</w:t>
      </w:r>
      <w:r>
        <w:t xml:space="preserve"> </w:t>
      </w:r>
      <m:oMath>
        <m:r>
          <m:t>t</m:t>
        </m:r>
      </m:oMath>
      <w:r>
        <w:t xml:space="preserve">, and substituting</w:t>
      </w:r>
      <w:r>
        <w:t xml:space="preserve"> </w:t>
      </w:r>
      <m:oMath>
        <m:r>
          <m:t>z</m:t>
        </m:r>
      </m:oMath>
      <w:r>
        <w:t xml:space="preserve"> </w:t>
      </w:r>
      <w:r>
        <w:t xml:space="preserve">for</w:t>
      </w:r>
      <w:r>
        <w:t xml:space="preserve"> </w:t>
      </w:r>
      <m:oMath>
        <m:r>
          <m:t>t</m:t>
        </m:r>
      </m:oMath>
      <w:r>
        <w:t xml:space="preserve"> </w:t>
      </w:r>
      <w:r>
        <w:t xml:space="preserve">is legitimate only through the advection velocity</w:t>
      </w:r>
      <w:r>
        <w:t xml:space="preserve"> </w:t>
      </w:r>
      <m:oMath>
        <m:r>
          <m:t>v</m:t>
        </m:r>
      </m:oMath>
      <w:r>
        <w:t xml:space="preserve">, which appears in the derived form above and nowhere in the original equation. The interpretation of the parameters rests, on the evidence above, on one weak directional association and one anchor that turned out to be internal. The predictive interval covers about half the time against a nominal 90%, so the pillar’s</w:t>
      </w:r>
      <w:r>
        <w:t xml:space="preserve"> </w:t>
      </w:r>
      <w:r>
        <w:rPr>
          <w:i/>
          <w:iCs/>
        </w:rPr>
        <w:t xml:space="preserve">uncertainty</w:t>
      </w:r>
      <w:r>
        <w:t xml:space="preserve"> </w:t>
      </w:r>
      <w:r>
        <w:t xml:space="preserve">should not be used as a decision input until the model error it omits is represented; and only 27% of these fits converge at the package’s default budget, with the failures concentrated in the three-to-four-horizon profiles that make up most of the archive, so the Bayesian path is not currently usable at archive scale. And the acquisition machinery this pillar feeds is lateral only: it chooses</w:t>
      </w:r>
      <w:r>
        <w:t xml:space="preserve"> </w:t>
      </w:r>
      <w:r>
        <w:rPr>
          <w:i/>
          <w:iCs/>
        </w:rPr>
        <w:t xml:space="preserve">where</w:t>
      </w:r>
      <w:r>
        <w:t xml:space="preserve"> </w:t>
      </w:r>
      <w:r>
        <w:t xml:space="preserve">to sample, never</w:t>
      </w:r>
      <w:r>
        <w:t xml:space="preserve"> </w:t>
      </w:r>
      <w:r>
        <w:rPr>
          <w:i/>
          <w:iCs/>
        </w:rPr>
        <w:t xml:space="preserve">how deep</w:t>
      </w:r>
      <w:r>
        <w:t xml:space="preserve">, so the decision a depth model is best placed to inform — whether to auger further at a site already visited — cannot currently be expressed in it.</w:t>
      </w:r>
    </w:p>
    <w:p>
      <w:pPr>
        <w:pStyle w:val="Heading3"/>
      </w:pPr>
      <w:r>
        <w:t xml:space="preserve">Four-dimensional pedometry: machinery without a soil test case</w:t>
      </w:r>
    </w:p>
    <w:p>
      <w:pPr>
        <w:pStyle w:val="FirstParagraph"/>
      </w:pPr>
      <w:r>
        <w:t xml:space="preserve">The third pillar treats a gridded environmental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BodyText"/>
      </w:pPr>
      <w:r>
        <w:t xml:space="preserve">We state at the outset what the target of the real-data demonstration is, because the machinery is general and the demonstration is not. The cube in Fig 5 is MODIS MOD13Q1 vegetation index driven by NASA POWER precipitation and temperature;</w:t>
      </w:r>
      <w:r>
        <w:t xml:space="preserve"> </w:t>
      </w:r>
      <w:r>
        <w:rPr>
          <w:b/>
          <w:bCs/>
        </w:rPr>
        <w:t xml:space="preserve">no soil quantity appears in it</w:t>
      </w:r>
      <w:r>
        <w:t xml:space="preserve">. The reason is not that the pillar was built for vegetation but that the archive cannot support the soil version: across the 1,095 Cerrado profiles, exactly six locations were sampled in more than one year, all of them a single 1981-versus-1986 pair. Six two-point series are not a space–time field. Pillar 3 is therefore a demonstrator of the forecasting and assimilation machinery on a real, densely observed cube, not a validated soil-carbon forecast, and nothing in Results rests on it.</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 Fig 5 shows both halves of the pillar on a real Cerrado vegetation-index cube.</w:t>
      </w:r>
    </w:p>
    <w:p>
      <w:pPr>
        <w:pStyle w:val="BodyText"/>
      </w:pPr>
      <w:r>
        <w:drawing>
          <wp:inline>
            <wp:extent cx="5334000" cy="4312595"/>
            <wp:effectExtent b="0" l="0" r="0" t="0"/>
            <wp:docPr descr="" title="" id="23" name="Picture"/>
            <a:graphic>
              <a:graphicData uri="http://schemas.openxmlformats.org/drawingml/2006/picture">
                <pic:pic>
                  <pic:nvPicPr>
                    <pic:cNvPr descr="plos-manuscript_files/figures/Fig5.png" id="24" name="Picture"/>
                    <pic:cNvPicPr>
                      <a:picLocks noChangeArrowheads="1" noChangeAspect="1"/>
                    </pic:cNvPicPr>
                  </pic:nvPicPr>
                  <pic:blipFill>
                    <a:blip r:embed="rId22"/>
                    <a:stretch>
                      <a:fillRect/>
                    </a:stretch>
                  </pic:blipFill>
                  <pic:spPr bwMode="auto">
                    <a:xfrm>
                      <a:off x="0" y="0"/>
                      <a:ext cx="5334000" cy="4312595"/>
                    </a:xfrm>
                    <a:prstGeom prst="rect">
                      <a:avLst/>
                    </a:prstGeom>
                    <a:noFill/>
                    <a:ln w="9525">
                      <a:noFill/>
                      <a:headEnd/>
                      <a:tailEnd/>
                    </a:ln>
                  </pic:spPr>
                </pic:pic>
              </a:graphicData>
            </a:graphic>
          </wp:inline>
        </w:drawing>
      </w:r>
    </w:p>
    <w:p>
      <w:pPr>
        <w:pStyle w:val="BodyText"/>
      </w:pPr>
      <w:r>
        <w:rPr>
          <w:b/>
          <w:bCs/>
        </w:rPr>
        <w:t xml:space="preserve">Fig 5. Forecasting a field and assimilating observations into it.</w:t>
      </w:r>
      <w:r>
        <w:t xml:space="preserve"> </w:t>
      </w:r>
      <w:r>
        <w:t xml:space="preserve">The target throughout is MODIS vegetation index, not soil carbon. (A) Observed and forecast vegetation index at three lead times over a 10 x 10 Cerrado grid. (B) The ten-member forecast ensemble at the cell the filter corrects most, against the observed trajectory. (C) Ensemble Kalman assimilation of eight point observations: the prior field, the analysis, and the increment between them. Those eight points are</w:t>
      </w:r>
      <w:r>
        <w:t xml:space="preserve"> </w:t>
      </w:r>
      <w:r>
        <w:rPr>
          <w:b/>
          <w:bCs/>
        </w:rPr>
        <w:t xml:space="preserve">synthetic</w:t>
      </w:r>
      <w:r>
        <w:t xml:space="preserve"> </w:t>
      </w:r>
      <w:r>
        <w:t xml:space="preserve">— the withheld truth field plus Gaussian noise of 0.15 z-units — because no repeated in-situ series exists here to assimilate; panel C therefore demonstrates that the filter is exact at observed cells and correctly localised, and cannot speak to its skill against real measurements. The update is localised, so distant cells are left alone.</w:t>
      </w:r>
    </w:p>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Fig 6 shows what the objective does and what the resulting embedding organises by.</w:t>
      </w:r>
    </w:p>
    <w:p>
      <w:pPr>
        <w:pStyle w:val="BodyText"/>
      </w:pPr>
      <w:r>
        <w:drawing>
          <wp:inline>
            <wp:extent cx="5334000" cy="4553414"/>
            <wp:effectExtent b="0" l="0" r="0" t="0"/>
            <wp:docPr descr="" title="" id="26" name="Picture"/>
            <a:graphic>
              <a:graphicData uri="http://schemas.openxmlformats.org/drawingml/2006/picture">
                <pic:pic>
                  <pic:nvPicPr>
                    <pic:cNvPr descr="plos-manuscript_files/figures/Fig6.png" id="27" name="Picture"/>
                    <pic:cNvPicPr>
                      <a:picLocks noChangeArrowheads="1" noChangeAspect="1"/>
                    </pic:cNvPicPr>
                  </pic:nvPicPr>
                  <pic:blipFill>
                    <a:blip r:embed="rId25"/>
                    <a:stretch>
                      <a:fillRect/>
                    </a:stretch>
                  </pic:blipFill>
                  <pic:spPr bwMode="auto">
                    <a:xfrm>
                      <a:off x="0" y="0"/>
                      <a:ext cx="5334000" cy="4553414"/>
                    </a:xfrm>
                    <a:prstGeom prst="rect">
                      <a:avLst/>
                    </a:prstGeom>
                    <a:noFill/>
                    <a:ln w="9525">
                      <a:noFill/>
                      <a:headEnd/>
                      <a:tailEnd/>
                    </a:ln>
                  </pic:spPr>
                </pic:pic>
              </a:graphicData>
            </a:graphic>
          </wp:inline>
        </w:drawing>
      </w:r>
    </w:p>
    <w:p>
      <w:pPr>
        <w:pStyle w:val="BodyText"/>
      </w:pPr>
      <w:r>
        <w:rPr>
          <w:b/>
          <w:bCs/>
        </w:rPr>
        <w:t xml:space="preserve">Fig 6. Self-supervised pre-training on unlabelled raster patches.</w:t>
      </w:r>
      <w:r>
        <w:t xml:space="preserve"> </w:t>
      </w:r>
      <w:r>
        <w:t xml:space="preserve">(A) The InfoNCE objective over patches drawn from the bundled covariate grid, against the uninformative reference log(1 + K) for a queue of K negatives. (B) The first two principal components of the encoder output, coloured by the mean topographic wetness of each patch — a covariate the encoder is never given as a target, yet which the representation separates.</w:t>
      </w:r>
    </w:p>
    <w:p>
      <w:pPr>
        <w:pStyle w:val="BodyText"/>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p>
      <w:pPr>
        <w:pStyle w:val="BodyText"/>
      </w:pPr>
      <w:r>
        <w:rPr>
          <w:b/>
          <w:bCs/>
        </w:rPr>
        <w:t xml:space="preserve">The encoder is shown a prediction of its own label.</w:t>
      </w:r>
      <w:r>
        <w:t xml:space="preserve"> </w:t>
      </w:r>
      <w:r>
        <w:t xml:space="preserve">The 31-channel stack the pre-trained encoder consumes begins with SoilGrids organic carbon, alongside clay, sand, pH and bulk density, and that stack is cut into a patch centred on each profile at</w:t>
      </w:r>
      <w:r>
        <w:t xml:space="preserve"> </w:t>
      </w:r>
      <w:r>
        <w:rPr>
          <w:i/>
          <w:iCs/>
        </w:rPr>
        <w:t xml:space="preserve">inference</w:t>
      </w:r>
      <w:r>
        <w:t xml:space="preserve"> </w:t>
      </w:r>
      <w:r>
        <w:t xml:space="preserve">time as well as during pre-training. The embeddings handed to the downstream head are therefore a nonlinear function of another product’s published estimate of the quantity being predicted, evaluated at the coordinate being predicted, and SoilGrids is itself fitted partly to WoSIS. Spatial blocking does not break this path: the raster is global and fold-independent. This is feature leakage, and it must be declared for any embedding number in this paper to be read correctly.</w:t>
      </w:r>
    </w:p>
    <w:p>
      <w:pPr>
        <w:pStyle w:val="BodyText"/>
      </w:pPr>
      <w:r>
        <w:t xml:space="preserve">We measured what it is worth rather than reasoning about it. Extracting the SoilGrids 0–5 cm carbon layer at all 1,095 profile coordinates gives a correlation with the WoSIS topsoil measurement of only</w:t>
      </w:r>
      <w:r>
        <w:t xml:space="preserve"> </w:t>
      </w:r>
      <m:oMath>
        <m:r>
          <m:t>r</m:t>
        </m:r>
        <m:r>
          <m:rPr>
            <m:sty m:val="p"/>
          </m:rPr>
          <m:t>=</m:t>
        </m:r>
        <m:r>
          <m:t>0.25</m:t>
        </m:r>
      </m:oMath>
      <w:r>
        <w:t xml:space="preserve"> </w:t>
      </w:r>
      <w:r>
        <w:t xml:space="preserve">(Spearman 0.26), and a linear model using that leaked layer</w:t>
      </w:r>
      <w:r>
        <w:t xml:space="preserve"> </w:t>
      </w:r>
      <w:r>
        <w:rPr>
          <w:i/>
          <w:iCs/>
        </w:rPr>
        <w:t xml:space="preserve">alone</w:t>
      </w:r>
      <w:r>
        <w:t xml:space="preserve">, scored on the same buffered blocks, reaches an NSE of</w:t>
      </w:r>
      <w:r>
        <w:t xml:space="preserve"> </w:t>
      </w:r>
      <m:oMath>
        <m:r>
          <m:rPr>
            <m:sty m:val="p"/>
          </m:rPr>
          <m:t>−</m:t>
        </m:r>
        <m:r>
          <m:t>0.012</m:t>
        </m:r>
      </m:oMath>
      <w:r>
        <w:t xml:space="preserve"> </w:t>
      </w:r>
      <w:r>
        <w:t xml:space="preserve">— below the achievable null. The leaked channel carries essentially no skill for this label, most likely for the same reason as in the causal analysis: it is a 2020 estimate of a 1982 measurement. So the leakage cannot account for the embeddings’ position in the benchmark, and correcting it would not rescue them.</w:t>
      </w:r>
    </w:p>
    <w:p>
      <w:pPr>
        <w:pStyle w:val="BodyText"/>
      </w:pPr>
      <w:r>
        <w:t xml:space="preserve">If anything the finding runs the other way, and it is worth stating plainly: the foundation embeddings rank fourth of six</w:t>
      </w:r>
      <w:r>
        <w:t xml:space="preserve"> </w:t>
      </w:r>
      <w:r>
        <w:rPr>
          <w:i/>
          <w:iCs/>
        </w:rPr>
        <w:t xml:space="preserve">even with a prediction of the label inside their input</w:t>
      </w:r>
      <w:r>
        <w:t xml:space="preserve">, behind an ordinary least-squares fit on ten covariates that never sees it. The clean experiment — an encoder pre-trained on a stack with the carbon channel removed — requires retraining and is not reported here; we flag it as the fix rather than claim to have performed it.</w:t>
      </w:r>
    </w:p>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Fig 7 shows the decision the pillar exists to make.</w:t>
      </w:r>
    </w:p>
    <w:p>
      <w:pPr>
        <w:pStyle w:val="BodyText"/>
      </w:pPr>
      <w:r>
        <w:drawing>
          <wp:inline>
            <wp:extent cx="5334000" cy="4741333"/>
            <wp:effectExtent b="0" l="0" r="0" t="0"/>
            <wp:docPr descr="" title="" id="29" name="Picture"/>
            <a:graphic>
              <a:graphicData uri="http://schemas.openxmlformats.org/drawingml/2006/picture">
                <pic:pic>
                  <pic:nvPicPr>
                    <pic:cNvPr descr="plos-manuscript_files/figures/Fig7.png" id="30" name="Picture"/>
                    <pic:cNvPicPr>
                      <a:picLocks noChangeArrowheads="1" noChangeAspect="1"/>
                    </pic:cNvPicPr>
                  </pic:nvPicPr>
                  <pic:blipFill>
                    <a:blip r:embed="rId28"/>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7. Choosing where to sample next.</w:t>
      </w:r>
      <w:r>
        <w:t xml:space="preserve"> </w:t>
      </w:r>
      <w:r>
        <w:t xml:space="preserve">(A) The predictive-interval width over the demonstration grid, the profiles already labelled, and the batch of eight the policy selects. (B) The batch is drawn from the uncertain tail of the candidate pool. (C) Where that batch falls in covariate space: it spreads along wetness but concentrates at high precipitation, because the policy chases variance and variance here is not uniformly distributed.</w:t>
      </w:r>
    </w:p>
    <w:p>
      <w:pPr>
        <w:pStyle w:val="BodyText"/>
      </w:pPr>
      <w:r>
        <w:t xml:space="preserve">The selected batch has a mean 80% prediction-interval width of 21.3 g/kg against 14.2 g/kg for the candidate pool as a whole, confirming that the query is drawn from the uncertain part of the covariate space rather than from the bulk.</w:t>
      </w:r>
    </w:p>
    <w:p>
      <w:pPr>
        <w:pStyle w:val="BodyText"/>
      </w:pPr>
      <w:r>
        <w:rPr>
          <w:b/>
          <w:bCs/>
        </w:rPr>
        <w:t xml:space="preserve">Does any of it beat sampling at random?</w:t>
      </w:r>
      <w:r>
        <w:t xml:space="preserve"> </w:t>
      </w:r>
      <w:r>
        <w:t xml:space="preserve">That the policy selects uncertain sites is a statement about the policy, not about whether it helps. The package ships four acquisition strategies and a BatchBALD implementation, and the only comparison it previously contained was three variants of the same heuristic against one another — no random arm, no design arm, and BatchBALD evaluated nowhere at all. A strategy that cannot beat a uniform draw does not earn its complexity, and the only way to find out is to put a uniform draw in the loop.</w:t>
      </w:r>
    </w:p>
    <w:p>
      <w:pPr>
        <w:pStyle w:val="BodyText"/>
      </w:pPr>
      <w:r>
        <w:t xml:space="preserve">Each arm starts from the same 40-profile conditioned-Latin-hypercube seed, acquires 20 profiles per round for 6 rounds, refits a quantile regression forest each round, and is scored on a 300-profile test set fixed before any acquisition and never touched. Five repeats, because a single active-learning run is noisy.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Policy</w:t>
            </w:r>
          </w:p>
        </w:tc>
        <w:tc>
          <w:tcPr/>
          <w:p>
            <w:pPr>
              <w:pStyle w:val="Compact"/>
              <w:jc w:val="right"/>
            </w:pPr>
            <w:r>
              <w:t xml:space="preserve">Final RMSE</w:t>
            </w:r>
          </w:p>
        </w:tc>
        <w:tc>
          <w:tcPr/>
          <w:p>
            <w:pPr>
              <w:pStyle w:val="Compact"/>
              <w:jc w:val="right"/>
            </w:pPr>
            <w:r>
              <w:t xml:space="preserve">vs random</w:t>
            </w:r>
          </w:p>
        </w:tc>
        <w:tc>
          <w:tcPr/>
          <w:p>
            <w:pPr>
              <w:pStyle w:val="Compact"/>
              <w:jc w:val="right"/>
            </w:pPr>
            <w:r>
              <w:t xml:space="preserve">Paired p</w:t>
            </w:r>
          </w:p>
        </w:tc>
        <w:tc>
          <w:tcPr/>
          <w:p>
            <w:pPr>
              <w:pStyle w:val="Compact"/>
              <w:jc w:val="right"/>
            </w:pPr>
            <w:r>
              <w:t xml:space="preserve">Wins</w:t>
            </w:r>
          </w:p>
        </w:tc>
      </w:tr>
      <w:tr>
        <w:tc>
          <w:tcPr/>
          <w:p>
            <w:pPr>
              <w:pStyle w:val="Compact"/>
              <w:jc w:val="left"/>
            </w:pPr>
            <w:r>
              <w:t xml:space="preserve">clhs</w:t>
            </w:r>
          </w:p>
        </w:tc>
        <w:tc>
          <w:tcPr/>
          <w:p>
            <w:pPr>
              <w:pStyle w:val="Compact"/>
              <w:jc w:val="right"/>
            </w:pPr>
            <w:r>
              <w:t xml:space="preserve">0.5820</w:t>
            </w:r>
          </w:p>
        </w:tc>
        <w:tc>
          <w:tcPr/>
          <w:p>
            <w:pPr>
              <w:pStyle w:val="Compact"/>
              <w:jc w:val="right"/>
            </w:pPr>
            <w:r>
              <w:t xml:space="preserve">-0.0021</w:t>
            </w:r>
          </w:p>
        </w:tc>
        <w:tc>
          <w:tcPr/>
          <w:p>
            <w:pPr>
              <w:pStyle w:val="Compact"/>
              <w:jc w:val="right"/>
            </w:pPr>
            <w:r>
              <w:t xml:space="preserve">0.81</w:t>
            </w:r>
          </w:p>
        </w:tc>
        <w:tc>
          <w:tcPr/>
          <w:p>
            <w:pPr>
              <w:pStyle w:val="Compact"/>
              <w:jc w:val="right"/>
            </w:pPr>
            <w:r>
              <w:t xml:space="preserve">3/5</w:t>
            </w:r>
          </w:p>
        </w:tc>
      </w:tr>
      <w:tr>
        <w:tc>
          <w:tcPr/>
          <w:p>
            <w:pPr>
              <w:pStyle w:val="Compact"/>
              <w:jc w:val="left"/>
            </w:pPr>
            <w:r>
              <w:t xml:space="preserve">uncertainty</w:t>
            </w:r>
          </w:p>
        </w:tc>
        <w:tc>
          <w:tcPr/>
          <w:p>
            <w:pPr>
              <w:pStyle w:val="Compact"/>
              <w:jc w:val="right"/>
            </w:pPr>
            <w:r>
              <w:t xml:space="preserve">0.5834</w:t>
            </w:r>
          </w:p>
        </w:tc>
        <w:tc>
          <w:tcPr/>
          <w:p>
            <w:pPr>
              <w:pStyle w:val="Compact"/>
              <w:jc w:val="right"/>
            </w:pPr>
            <w:r>
              <w:t xml:space="preserve">-0.0007</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hybrid</w:t>
            </w:r>
          </w:p>
        </w:tc>
        <w:tc>
          <w:tcPr/>
          <w:p>
            <w:pPr>
              <w:pStyle w:val="Compact"/>
              <w:jc w:val="right"/>
            </w:pPr>
            <w:r>
              <w:t xml:space="preserve">0.5839</w:t>
            </w:r>
          </w:p>
        </w:tc>
        <w:tc>
          <w:tcPr/>
          <w:p>
            <w:pPr>
              <w:pStyle w:val="Compact"/>
              <w:jc w:val="right"/>
            </w:pPr>
            <w:r>
              <w:t xml:space="preserve">-0.0002</w:t>
            </w:r>
          </w:p>
        </w:tc>
        <w:tc>
          <w:tcPr/>
          <w:p>
            <w:pPr>
              <w:pStyle w:val="Compact"/>
              <w:jc w:val="right"/>
            </w:pPr>
            <w:r>
              <w:t xml:space="preserve">1.00</w:t>
            </w:r>
          </w:p>
        </w:tc>
        <w:tc>
          <w:tcPr/>
          <w:p>
            <w:pPr>
              <w:pStyle w:val="Compact"/>
              <w:jc w:val="right"/>
            </w:pPr>
            <w:r>
              <w:t xml:space="preserve">2/5</w:t>
            </w:r>
          </w:p>
        </w:tc>
      </w:tr>
      <w:tr>
        <w:tc>
          <w:tcPr/>
          <w:p>
            <w:pPr>
              <w:pStyle w:val="Compact"/>
              <w:jc w:val="left"/>
            </w:pPr>
            <w:r>
              <w:t xml:space="preserve">random</w:t>
            </w:r>
          </w:p>
        </w:tc>
        <w:tc>
          <w:tcPr/>
          <w:p>
            <w:pPr>
              <w:pStyle w:val="Compact"/>
              <w:jc w:val="right"/>
            </w:pPr>
            <w:r>
              <w:t xml:space="preserve">0.5841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batchbald</w:t>
            </w:r>
          </w:p>
        </w:tc>
        <w:tc>
          <w:tcPr/>
          <w:p>
            <w:pPr>
              <w:pStyle w:val="Compact"/>
              <w:jc w:val="right"/>
            </w:pPr>
            <w:r>
              <w:t xml:space="preserve">0.5871</w:t>
            </w:r>
          </w:p>
        </w:tc>
        <w:tc>
          <w:tcPr/>
          <w:p>
            <w:pPr>
              <w:pStyle w:val="Compact"/>
              <w:jc w:val="right"/>
            </w:pPr>
            <w:r>
              <w:t xml:space="preserve">0.0030</w:t>
            </w:r>
          </w:p>
        </w:tc>
        <w:tc>
          <w:tcPr/>
          <w:p>
            <w:pPr>
              <w:pStyle w:val="Compact"/>
              <w:jc w:val="right"/>
            </w:pPr>
            <w:r>
              <w:t xml:space="preserve">1.00</w:t>
            </w:r>
          </w:p>
        </w:tc>
        <w:tc>
          <w:tcPr/>
          <w:p>
            <w:pPr>
              <w:pStyle w:val="Compact"/>
              <w:jc w:val="right"/>
            </w:pPr>
            <w:r>
              <w:t xml:space="preserve">2/5</w:t>
            </w:r>
          </w:p>
        </w:tc>
      </w:tr>
    </w:tbl>
    <w:p>
      <w:pPr>
        <w:pStyle w:val="BodyText"/>
      </w:pPr>
      <w:r>
        <w:rPr>
          <w:b/>
          <w:bCs/>
        </w:rPr>
        <w:t xml:space="preserve">Table 9. Acquisition policies against a random draw.</w:t>
      </w:r>
      <w:r>
        <w:t xml:space="preserve"> </w:t>
      </w:r>
      <w:r>
        <w:t xml:space="preserve">Root-mean-square error on the held-out set after 6 rounds (160 labelled profiles), averaged over 5 repeats.</w:t>
      </w:r>
      <w:r>
        <w:t xml:space="preserve"> </w:t>
      </w:r>
      <w:r>
        <w:t xml:space="preserve">“Wins”</w:t>
      </w:r>
      <w:r>
        <w:t xml:space="preserve"> </w:t>
      </w:r>
      <w:r>
        <w:t xml:space="preserve">counts repeats in which the policy beat random.</w:t>
      </w:r>
    </w:p>
    <w:p>
      <w:pPr>
        <w:pStyle w:val="BodyText"/>
      </w:pPr>
      <w:r>
        <w:t xml:space="preserve">None of them does. The three policies that edge ahead do so by between 0.0002 and 0.0021 in RMSE, with paired</w:t>
      </w:r>
      <w:r>
        <w:t xml:space="preserve"> </w:t>
      </w:r>
      <w:r>
        <w:rPr>
          <w:i/>
          <w:iCs/>
        </w:rPr>
        <w:t xml:space="preserve">p</w:t>
      </w:r>
      <w:r>
        <w:t xml:space="preserve"> </w:t>
      </w:r>
      <w:r>
        <w:t xml:space="preserve">values of 0.81 and above and wins in two or three repeats out of five — which is a tie described at length. BatchBALD, the most elaborate of the five, is the only arm that finishes</w:t>
      </w:r>
      <w:r>
        <w:t xml:space="preserve"> </w:t>
      </w:r>
      <w:r>
        <w:rPr>
          <w:i/>
          <w:iCs/>
        </w:rPr>
        <w:t xml:space="preserve">behind</w:t>
      </w:r>
      <w:r>
        <w:t xml:space="preserve"> </w:t>
      </w:r>
      <w:r>
        <w:t xml:space="preserve">the random draw. No acquisition fell back to random selection, so these are the policies’ own choices.</w:t>
      </w:r>
    </w:p>
    <w:p>
      <w:pPr>
        <w:pStyle w:val="BodyText"/>
      </w:pPr>
      <w:r>
        <w:t xml:space="preserve">What does move the error is labelling more: every curve falls from 0.608 to about 0.584 as the labelled set goes from 40 to 160. On this task the gain comes from sampling more, not from sampling cleverly — the same shape of answer the six-method benchmark returns, and we report it for the same reason.</w:t>
      </w:r>
    </w:p>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Fig 8 contrasts the resulting similarity structure with a Gaussian kernel on the same profiles.</w:t>
      </w:r>
    </w:p>
    <w:p>
      <w:pPr>
        <w:pStyle w:val="BodyText"/>
      </w:pPr>
      <w:r>
        <w:drawing>
          <wp:inline>
            <wp:extent cx="5334000" cy="4572000"/>
            <wp:effectExtent b="0" l="0" r="0" t="0"/>
            <wp:docPr descr="" title="" id="32" name="Picture"/>
            <a:graphic>
              <a:graphicData uri="http://schemas.openxmlformats.org/drawingml/2006/picture">
                <pic:pic>
                  <pic:nvPicPr>
                    <pic:cNvPr descr="plos-manuscript_files/figures/Fig8.png" id="33" name="Picture"/>
                    <pic:cNvPicPr>
                      <a:picLocks noChangeArrowheads="1" noChangeAspect="1"/>
                    </pic:cNvPicPr>
                  </pic:nvPicPr>
                  <pic:blipFill>
                    <a:blip r:embed="rId31"/>
                    <a:stretch>
                      <a:fillRect/>
                    </a:stretch>
                  </pic:blipFill>
                  <pic:spPr bwMode="auto">
                    <a:xfrm>
                      <a:off x="0" y="0"/>
                      <a:ext cx="5334000" cy="4572000"/>
                    </a:xfrm>
                    <a:prstGeom prst="rect">
                      <a:avLst/>
                    </a:prstGeom>
                    <a:noFill/>
                    <a:ln w="9525">
                      <a:noFill/>
                      <a:headEnd/>
                      <a:tailEnd/>
                    </a:ln>
                  </pic:spPr>
                </pic:pic>
              </a:graphicData>
            </a:graphic>
          </wp:inline>
        </w:drawing>
      </w:r>
    </w:p>
    <w:p>
      <w:pPr>
        <w:pStyle w:val="BodyText"/>
      </w:pPr>
      <w:r>
        <w:rPr>
          <w:b/>
          <w:bCs/>
        </w:rPr>
        <w:t xml:space="preserve">Fig 8. What the quantum feature map does to similarity.</w:t>
      </w:r>
      <w:r>
        <w:t xml:space="preserve"> </w:t>
      </w:r>
      <w:r>
        <w:t xml:space="preserve">(A) Gram matrices over the same 60 profiles, ordered by organic carbon. (B) Kernel value against distance in covariate space: the Gaussian kernel decays monotonically, while the ZZ feature map does not — the non-monotone structure is the property the method is proposed for, and on this task also the reason it generalises worst of the six methods compared below.</w:t>
      </w:r>
    </w:p>
    <w:p>
      <w:pPr>
        <w:pStyle w:val="BodyText"/>
      </w:pPr>
      <w:r>
        <w:t xml:space="preserve">Two things should be said plainly. No quantum hardware is involved — this is a simulation of a quantum kernel, not a quantum computation — and the simulator’s cost is exponential in qubit count, which bounds practical use to small feature sets.</w:t>
      </w:r>
    </w:p>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Fig 9 shows the surface and, more importantly, its uncertainty.</w:t>
      </w:r>
    </w:p>
    <w:p>
      <w:pPr>
        <w:pStyle w:val="BodyText"/>
      </w:pPr>
      <w:r>
        <w:drawing>
          <wp:inline>
            <wp:extent cx="5334000" cy="4174434"/>
            <wp:effectExtent b="0" l="0" r="0" t="0"/>
            <wp:docPr descr="" title="" id="35" name="Picture"/>
            <a:graphic>
              <a:graphicData uri="http://schemas.openxmlformats.org/drawingml/2006/picture">
                <pic:pic>
                  <pic:nvPicPr>
                    <pic:cNvPr descr="plos-manuscript_files/figures/Fig9.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BodyText"/>
      </w:pPr>
      <w:r>
        <w:rPr>
          <w:b/>
          <w:bCs/>
        </w:rPr>
        <w:t xml:space="preserve">Fig 9. Bayesian kriging with the parameter uncertainty carried through.</w:t>
      </w:r>
      <w:r>
        <w:t xml:space="preserve"> </w:t>
      </w:r>
      <w:r>
        <w:t xml:space="preserve">(A) Posterior mean surface conditioned on 150 observations. (B) Posterior standard deviation: it contracts near data and widens away from it. (C) The same relationship directly — predictive uncertainty against distance to the nearest observation. A nugget-only interval would be flat here, which is how the omission in an earlier version of this package was caught.</w:t>
      </w:r>
    </w:p>
    <w:p>
      <w:pPr>
        <w:pStyle w:val="BodyText"/>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Fig 10 shows the property that distinguishes an operator from a per-depth regression.</w:t>
      </w:r>
    </w:p>
    <w:p>
      <w:pPr>
        <w:pStyle w:val="BodyText"/>
      </w:pPr>
      <w:r>
        <w:drawing>
          <wp:inline>
            <wp:extent cx="5334000" cy="4713767"/>
            <wp:effectExtent b="0" l="0" r="0" t="0"/>
            <wp:docPr descr="" title="" id="38" name="Picture"/>
            <a:graphic>
              <a:graphicData uri="http://schemas.openxmlformats.org/drawingml/2006/picture">
                <pic:pic>
                  <pic:nvPicPr>
                    <pic:cNvPr descr="plos-manuscript_files/figures/Fig10.png" id="39" name="Picture"/>
                    <pic:cNvPicPr>
                      <a:picLocks noChangeArrowheads="1" noChangeAspect="1"/>
                    </pic:cNvPicPr>
                  </pic:nvPicPr>
                  <pic:blipFill>
                    <a:blip r:embed="rId37"/>
                    <a:stretch>
                      <a:fillRect/>
                    </a:stretch>
                  </pic:blipFill>
                  <pic:spPr bwMode="auto">
                    <a:xfrm>
                      <a:off x="0" y="0"/>
                      <a:ext cx="5334000" cy="4713767"/>
                    </a:xfrm>
                    <a:prstGeom prst="rect">
                      <a:avLst/>
                    </a:prstGeom>
                    <a:noFill/>
                    <a:ln w="9525">
                      <a:noFill/>
                      <a:headEnd/>
                      <a:tailEnd/>
                    </a:ln>
                  </pic:spPr>
                </pic:pic>
              </a:graphicData>
            </a:graphic>
          </wp:inline>
        </w:drawing>
      </w:r>
    </w:p>
    <w:p>
      <w:pPr>
        <w:pStyle w:val="BodyText"/>
      </w:pPr>
      <w:r>
        <w:rPr>
          <w:b/>
          <w:bCs/>
        </w:rPr>
        <w:t xml:space="preserve">Fig 10. One operator, evaluated at any depth.</w:t>
      </w:r>
      <w:r>
        <w:t xml:space="preserve"> </w:t>
      </w:r>
      <w:r>
        <w:t xml:space="preserve">(A) Held-out sites: the trained operator’s profile (solid) against the generating profile (dashed), with the six training depths marked. The curve is evaluated every 2 cm, including depths never seen in training. (B) Error by depth, distinguishing the six trained depths from the rest — the operator interpolates the depth axis rather than treating each depth as a separate task.</w:t>
      </w:r>
    </w:p>
    <w:p>
      <w:pPr>
        <w:pStyle w:val="BodyText"/>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Fig 11 shows why this pillar needs a quantitative check rather than a visual one.</w:t>
      </w:r>
    </w:p>
    <w:p>
      <w:pPr>
        <w:pStyle w:val="BodyText"/>
      </w:pPr>
      <w:r>
        <w:drawing>
          <wp:inline>
            <wp:extent cx="5334000" cy="4589720"/>
            <wp:effectExtent b="0" l="0" r="0" t="0"/>
            <wp:docPr descr="" title="" id="41" name="Picture"/>
            <a:graphic>
              <a:graphicData uri="http://schemas.openxmlformats.org/drawingml/2006/picture">
                <pic:pic>
                  <pic:nvPicPr>
                    <pic:cNvPr descr="plos-manuscript_files/figures/Fig11.png" id="42" name="Picture"/>
                    <pic:cNvPicPr>
                      <a:picLocks noChangeArrowheads="1" noChangeAspect="1"/>
                    </pic:cNvPicPr>
                  </pic:nvPicPr>
                  <pic:blipFill>
                    <a:blip r:embed="rId40"/>
                    <a:stretch>
                      <a:fillRect/>
                    </a:stretch>
                  </pic:blipFill>
                  <pic:spPr bwMode="auto">
                    <a:xfrm>
                      <a:off x="0" y="0"/>
                      <a:ext cx="5334000" cy="4589720"/>
                    </a:xfrm>
                    <a:prstGeom prst="rect">
                      <a:avLst/>
                    </a:prstGeom>
                    <a:noFill/>
                    <a:ln w="9525">
                      <a:noFill/>
                      <a:headEnd/>
                      <a:tailEnd/>
                    </a:ln>
                  </pic:spPr>
                </pic:pic>
              </a:graphicData>
            </a:graphic>
          </wp:inline>
        </w:drawing>
      </w:r>
    </w:p>
    <w:p>
      <w:pPr>
        <w:pStyle w:val="BodyText"/>
      </w:pPr>
      <w:r>
        <w:rPr>
          <w:b/>
          <w:bCs/>
        </w:rPr>
        <w:t xml:space="preserve">Fig 11. Generated map patches and the check that separates them.</w:t>
      </w:r>
      <w:r>
        <w:t xml:space="preserve"> </w:t>
      </w:r>
      <w:r>
        <w:t xml:space="preserve">(A) Real patches and draws from the pure-R reference sampler and the trained sampler; colour is clipped so the reference sampler’s saturated cells are themselves diagnostic. (B) Within-patch standard deviation against lag-one spatial autocorrelation, one point per patch, with 80% ellipses. The trained sampler’s cloud overlaps the real patches; the reference sampler sits far from both axes’ targets.</w:t>
      </w:r>
    </w:p>
    <w:p>
      <w:pPr>
        <w:pStyle w:val="BodyText"/>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 The sense here is generative-probabilistic throughout: the model draws joint realisations of a field, and it encodes no soil-forming process.</w:t>
      </w:r>
    </w:p>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Fig 12 shows the graph that this pillar builds before any learning happens.</w:t>
      </w:r>
    </w:p>
    <w:p>
      <w:pPr>
        <w:pStyle w:val="BodyText"/>
      </w:pPr>
      <w:r>
        <w:drawing>
          <wp:inline>
            <wp:extent cx="5334000" cy="5470769"/>
            <wp:effectExtent b="0" l="0" r="0" t="0"/>
            <wp:docPr descr="" title="" id="44" name="Picture"/>
            <a:graphic>
              <a:graphicData uri="http://schemas.openxmlformats.org/drawingml/2006/picture">
                <pic:pic>
                  <pic:nvPicPr>
                    <pic:cNvPr descr="plos-manuscript_files/figures/Fig12.png" id="45" name="Picture"/>
                    <pic:cNvPicPr>
                      <a:picLocks noChangeArrowheads="1" noChangeAspect="1"/>
                    </pic:cNvPicPr>
                  </pic:nvPicPr>
                  <pic:blipFill>
                    <a:blip r:embed="rId43"/>
                    <a:stretch>
                      <a:fillRect/>
                    </a:stretch>
                  </pic:blipFill>
                  <pic:spPr bwMode="auto">
                    <a:xfrm>
                      <a:off x="0" y="0"/>
                      <a:ext cx="5334000" cy="5470769"/>
                    </a:xfrm>
                    <a:prstGeom prst="rect">
                      <a:avLst/>
                    </a:prstGeom>
                    <a:noFill/>
                    <a:ln w="9525">
                      <a:noFill/>
                      <a:headEnd/>
                      <a:tailEnd/>
                    </a:ln>
                  </pic:spPr>
                </pic:pic>
              </a:graphicData>
            </a:graphic>
          </wp:inline>
        </w:drawing>
      </w:r>
    </w:p>
    <w:p>
      <w:pPr>
        <w:pStyle w:val="BodyText"/>
      </w:pPr>
      <w:r>
        <w:rPr>
          <w:b/>
          <w:bCs/>
        </w:rPr>
        <w:t xml:space="preserve">Fig 12. The co-location graph.</w:t>
      </w:r>
      <w:r>
        <w:t xml:space="preserve"> </w:t>
      </w:r>
      <w:r>
        <w:t xml:space="preserve">(A) A sample of profiles as nodes over the Cerrado, joined to their six nearest neighbours in geographic space, with edge opacity proportional to the inverse-distance weight and nodes coloured by organic carbon. (B) Degree and edge-length distributions: symmetrising the nearest-neighbour relation lifts degree above k, and while most edges are short, a tail of long edges spans sparsely surveyed ground.</w:t>
      </w:r>
    </w:p>
    <w:p>
      <w:pPr>
        <w:pStyle w:val="BodyText"/>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mean of the rows being scored. The distinction is not pedantic, and we report both because we got it wrong ourselves. The conventional R-squared divides by the variance of the test values about</w:t>
      </w:r>
      <w:r>
        <w:t xml:space="preserve"> </w:t>
      </w:r>
      <w:r>
        <w:rPr>
          <w:i/>
          <w:iCs/>
        </w:rPr>
        <w:t xml:space="preserve">their own</w:t>
      </w:r>
      <w:r>
        <w:t xml:space="preserve"> </w:t>
      </w:r>
      <w:r>
        <w:t xml:space="preserve">mean, which is computed from the very observations being scored: a model compared against it is compared against an oracle. That is the harder bar, since the test mean is by construction the best constant predictor of the test set, and a method can clear the achievable null while failing the oracle one. Under the achievable null a method that explains nothing scores zero and a method worse than predicting the training mean scores negative; two of our six methods do, and three fall below the oracle.</w:t>
      </w:r>
      <w:r>
        <w:t xml:space="preserve"> </w:t>
      </w:r>
      <w:r>
        <w:rPr>
          <w:rStyle w:val="VerbatimChar"/>
        </w:rPr>
        <w:t xml:space="preserve">edaphos_nse()</w:t>
      </w:r>
      <w:r>
        <w:t xml:space="preserve"> </w:t>
      </w:r>
      <w:r>
        <w:t xml:space="preserve">takes the null as a required argument for exactly this reason.</w:t>
      </w:r>
    </w:p>
    <w:p>
      <w:pPr>
        <w:pStyle w:val="BodyText"/>
      </w:pPr>
      <w:r>
        <w:t xml:space="preserve">Folds are spatially blocked</w:t>
      </w:r>
      <w:r>
        <w:t xml:space="preserve"> </w:t>
      </w:r>
      <w:r>
        <w:rPr>
          <w:i/>
          <w:iCs/>
        </w:rPr>
        <w:t xml:space="preserve">with a buffer</w:t>
      </w:r>
      <w:r>
        <w:t xml:space="preserve">. Blocking alone leaves training rows immediately across the block boundary from test rows — on these coordinates the nearest was 12.3 km away, well inside the 55–68 km range at which the fitted depth-function parameters are still correlated — and blocking without a dead zone under-states generalisation error</w:t>
      </w:r>
      <w:r>
        <w:t xml:space="preserve"> </w:t>
      </w:r>
      <w:r>
        <w:t xml:space="preserve">[19]</w:t>
      </w:r>
      <w:r>
        <w:t xml:space="preserve">.</w:t>
      </w:r>
      <w:r>
        <w:t xml:space="preserve"> </w:t>
      </w:r>
      <w:r>
        <w:rPr>
          <w:rStyle w:val="VerbatimChar"/>
        </w:rPr>
        <w:t xml:space="preserve">spatial_block_folds()</w:t>
      </w:r>
      <w:r>
        <w:t xml:space="preserve"> </w:t>
      </w:r>
      <w:r>
        <w:t xml:space="preserve">discards training rows within 68 km of any test row, reports how many it discarded, and returns the realised minimum distance so the exclusion is auditable rather than implicit.</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[20]</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p>
      <w:pPr>
        <w:pStyle w:val="Heading1"/>
      </w:pPr>
      <w:r>
        <w:t xml:space="preserve">Results</w:t>
      </w:r>
    </w:p>
    <w:p>
      <w:pPr>
        <w:pStyle w:val="Heading2"/>
      </w:pPr>
      <w:r>
        <w:t xml:space="preserve">A directed-acyclic-graph-informed linear model is the strongest method</w:t>
      </w:r>
    </w:p>
    <w:p>
      <w:pPr>
        <w:pStyle w:val="FirstParagraph"/>
      </w:pPr>
      <w:r>
        <w:t xml:space="preserve">Table 10 reports the matched benchmark. Read across the row rather than down the first column: accuracy (root-mean-square error, lower is better), skill against each of two nulls, calibration (coverage near the nominal 0.90 and interval width), the proper score, and wall-clock cost.</w:t>
      </w:r>
    </w:p>
    <w:p>
      <w:pPr>
        <w:pStyle w:val="BodyText"/>
      </w:pPr>
      <w:r>
        <w:t xml:space="preserve">Two columns report skill because the choice of null decides the headline, and the two are easy to conflate.</w:t>
      </w:r>
      <w:r>
        <w:t xml:space="preserve"> </w:t>
      </w:r>
      <w:r>
        <w:rPr>
          <w:b/>
          <w:bCs/>
        </w:rPr>
        <w:t xml:space="preserve">NSE</w:t>
      </w:r>
      <w:r>
        <w:t xml:space="preserve"> </w:t>
      </w:r>
      <w:r>
        <w:t xml:space="preserve">is measured against the mean of each fold’s</w:t>
      </w:r>
      <w:r>
        <w:t xml:space="preserve"> </w:t>
      </w:r>
      <w:r>
        <w:rPr>
          <w:i/>
          <w:iCs/>
        </w:rPr>
        <w:t xml:space="preserve">training</w:t>
      </w:r>
      <w:r>
        <w:t xml:space="preserve"> </w:t>
      </w:r>
      <w:r>
        <w:t xml:space="preserve">rows — a null a deployed map could actually use.</w:t>
      </w:r>
      <w:r>
        <w:t xml:space="preserve"> </w:t>
      </w:r>
      <w:r>
        <w:rPr>
          <w:b/>
          <w:bCs/>
        </w:rPr>
        <w:t xml:space="preserve">R-squared</w:t>
      </w:r>
      <w:r>
        <w:t xml:space="preserve"> </w:t>
      </w:r>
      <w:r>
        <w:t xml:space="preserve">is measured against the mean of the</w:t>
      </w:r>
      <w:r>
        <w:t xml:space="preserve"> </w:t>
      </w:r>
      <w:r>
        <w:rPr>
          <w:i/>
          <w:iCs/>
        </w:rPr>
        <w:t xml:space="preserve">test</w:t>
      </w:r>
      <w:r>
        <w:t xml:space="preserve"> </w:t>
      </w:r>
      <w:r>
        <w:t xml:space="preserve">rows, which is what the conventional formula does and which no map has access to; it is the harder bar, because the test mean is by construction the best constant predictor of the test set. An earlier version of this paper reported the second under the first’s name, and the difference is not cosmetic: three methods fall below the oracle null and two below the achievable one.</w:t>
      </w:r>
    </w:p>
    <w:p>
      <w:pPr>
        <w:pStyle w:val="BodyText"/>
      </w:pPr>
      <w:r>
        <w:rPr>
          <w:b/>
          <w:bCs/>
        </w:rPr>
        <w:t xml:space="preserve">Table 10. Matched cross-pillar benchmark on real Cerrado profiles.</w:t>
      </w:r>
      <w:r>
        <w:t xml:space="preserve"> </w:t>
      </w:r>
      <w:r>
        <w:t xml:space="preserve">Six methods on the same spatially blocked folds and the same target transform. Folds carry a 68 km buffer: training rows within that distance of any test row are discarded, which cost 88 training rows across the five folds (2.0% of the fold-wise training rows) and raised the realised minimum training-to-test distance from 15.2 to 68.5 km. Those distances are for the 1,095 benchmark profiles; the denser 3,077-profile causal extract, which is a different data set, would give 12.3 km unbuffered. RMSE and CRPS: lower is better. NSE is skill against the training-fold mean, R-squared against the test-fold mean; PICP should approach 0.90. Rows are ordered by RMSE.</w:t>
      </w:r>
    </w:p>
    <w:tbl>
      <w:tblPr>
        <w:tblStyle w:val="Table"/>
        <w:tblW w:type="pct" w:w="5000"/>
        <w:tblLayout w:type="fixed"/>
        <w:tblLook w:firstRow="1" w:lastRow="0" w:firstColumn="0" w:lastColumn="0" w:noHBand="0" w:noVBand="0" w:val="0020"/>
      </w:tblPr>
      <w:tblGrid>
        <w:gridCol w:w="3148"/>
        <w:gridCol w:w="572"/>
        <w:gridCol w:w="667"/>
        <w:gridCol w:w="954"/>
        <w:gridCol w:w="572"/>
        <w:gridCol w:w="572"/>
        <w:gridCol w:w="572"/>
        <w:gridCol w:w="858"/>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NSE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0.200</w:t>
            </w:r>
          </w:p>
        </w:tc>
        <w:tc>
          <w:tcPr/>
          <w:p>
            <w:pPr>
              <w:pStyle w:val="Compact"/>
              <w:jc w:val="right"/>
            </w:pPr>
            <w:r>
              <w:t xml:space="preserve">0.069</w:t>
            </w:r>
          </w:p>
        </w:tc>
        <w:tc>
          <w:tcPr/>
          <w:p>
            <w:pPr>
              <w:pStyle w:val="Compact"/>
              <w:jc w:val="right"/>
            </w:pPr>
            <w:r>
              <w:t xml:space="preserve">0.882</w:t>
            </w:r>
          </w:p>
        </w:tc>
        <w:tc>
          <w:tcPr/>
          <w:p>
            <w:pPr>
              <w:pStyle w:val="Compact"/>
              <w:jc w:val="right"/>
            </w:pPr>
            <w:r>
              <w:t xml:space="preserve">1.843</w:t>
            </w:r>
          </w:p>
        </w:tc>
        <w:tc>
          <w:tcPr/>
          <w:p>
            <w:pPr>
              <w:pStyle w:val="Compact"/>
              <w:jc w:val="right"/>
            </w:pPr>
            <w:r>
              <w:t xml:space="preserve">0.323</w:t>
            </w:r>
          </w:p>
        </w:tc>
        <w:tc>
          <w:tcPr/>
          <w:p>
            <w:pPr>
              <w:pStyle w:val="Compact"/>
              <w:jc w:val="right"/>
            </w:pPr>
            <w:r>
              <w:t xml:space="preserve">2.5</w:t>
            </w:r>
          </w:p>
        </w:tc>
      </w:tr>
      <w:tr>
        <w:tc>
          <w:tcPr/>
          <w:p>
            <w:pPr>
              <w:pStyle w:val="Compact"/>
              <w:jc w:val="left"/>
            </w:pPr>
            <w:r>
              <w:t xml:space="preserve">P5 QRF</w:t>
            </w:r>
          </w:p>
        </w:tc>
        <w:tc>
          <w:tcPr/>
          <w:p>
            <w:pPr>
              <w:pStyle w:val="Compact"/>
              <w:jc w:val="right"/>
            </w:pPr>
            <w:r>
              <w:t xml:space="preserve">0.592</w:t>
            </w:r>
          </w:p>
        </w:tc>
        <w:tc>
          <w:tcPr/>
          <w:p>
            <w:pPr>
              <w:pStyle w:val="Compact"/>
              <w:jc w:val="right"/>
            </w:pPr>
            <w:r>
              <w:t xml:space="preserve">0.177</w:t>
            </w:r>
          </w:p>
        </w:tc>
        <w:tc>
          <w:tcPr/>
          <w:p>
            <w:pPr>
              <w:pStyle w:val="Compact"/>
              <w:jc w:val="right"/>
            </w:pPr>
            <w:r>
              <w:t xml:space="preserve">0.044</w:t>
            </w:r>
          </w:p>
        </w:tc>
        <w:tc>
          <w:tcPr/>
          <w:p>
            <w:pPr>
              <w:pStyle w:val="Compact"/>
              <w:jc w:val="right"/>
            </w:pPr>
            <w:r>
              <w:t xml:space="preserve">0.874</w:t>
            </w:r>
          </w:p>
        </w:tc>
        <w:tc>
          <w:tcPr/>
          <w:p>
            <w:pPr>
              <w:pStyle w:val="Compact"/>
              <w:jc w:val="right"/>
            </w:pPr>
            <w:r>
              <w:t xml:space="preserve">1.871</w:t>
            </w:r>
          </w:p>
        </w:tc>
        <w:tc>
          <w:tcPr/>
          <w:p>
            <w:pPr>
              <w:pStyle w:val="Compact"/>
              <w:jc w:val="right"/>
            </w:pPr>
            <w:r>
              <w:t xml:space="preserve">0.323</w:t>
            </w:r>
          </w:p>
        </w:tc>
        <w:tc>
          <w:tcPr/>
          <w:p>
            <w:pPr>
              <w:pStyle w:val="Compact"/>
              <w:jc w:val="right"/>
            </w:pPr>
            <w:r>
              <w:t xml:space="preserve">2.2</w:t>
            </w:r>
          </w:p>
        </w:tc>
      </w:tr>
      <w:tr>
        <w:tc>
          <w:tcPr/>
          <w:p>
            <w:pPr>
              <w:pStyle w:val="Compact"/>
              <w:jc w:val="left"/>
            </w:pPr>
            <w:r>
              <w:t xml:space="preserve">P7 BHS</w:t>
            </w:r>
          </w:p>
        </w:tc>
        <w:tc>
          <w:tcPr/>
          <w:p>
            <w:pPr>
              <w:pStyle w:val="Compact"/>
              <w:jc w:val="right"/>
            </w:pPr>
            <w:r>
              <w:t xml:space="preserve">0.608</w:t>
            </w:r>
          </w:p>
        </w:tc>
        <w:tc>
          <w:tcPr/>
          <w:p>
            <w:pPr>
              <w:pStyle w:val="Compact"/>
              <w:jc w:val="right"/>
            </w:pPr>
            <w:r>
              <w:t xml:space="preserve">0.138</w:t>
            </w:r>
          </w:p>
        </w:tc>
        <w:tc>
          <w:tcPr/>
          <w:p>
            <w:pPr>
              <w:pStyle w:val="Compact"/>
              <w:jc w:val="right"/>
            </w:pPr>
            <w:r>
              <w:t xml:space="preserve">0.006</w:t>
            </w:r>
          </w:p>
        </w:tc>
        <w:tc>
          <w:tcPr/>
          <w:p>
            <w:pPr>
              <w:pStyle w:val="Compact"/>
              <w:jc w:val="right"/>
            </w:pPr>
            <w:r>
              <w:t xml:space="preserve">0.926</w:t>
            </w:r>
          </w:p>
        </w:tc>
        <w:tc>
          <w:tcPr/>
          <w:p>
            <w:pPr>
              <w:pStyle w:val="Compact"/>
              <w:jc w:val="right"/>
            </w:pPr>
            <w:r>
              <w:t xml:space="preserve">2.163</w:t>
            </w:r>
          </w:p>
        </w:tc>
        <w:tc>
          <w:tcPr/>
          <w:p>
            <w:pPr>
              <w:pStyle w:val="Compact"/>
              <w:jc w:val="right"/>
            </w:pPr>
            <w:r>
              <w:t xml:space="preserve">0.341</w:t>
            </w:r>
          </w:p>
        </w:tc>
        <w:tc>
          <w:tcPr/>
          <w:p>
            <w:pPr>
              <w:pStyle w:val="Compact"/>
              <w:jc w:val="right"/>
            </w:pPr>
            <w:r>
              <w:t xml:space="preserve">97.8</w:t>
            </w:r>
          </w:p>
        </w:tc>
      </w:tr>
      <w:tr>
        <w:tc>
          <w:tcPr/>
          <w:p>
            <w:pPr>
              <w:pStyle w:val="Compact"/>
              <w:jc w:val="left"/>
            </w:pPr>
            <w:r>
              <w:t xml:space="preserve">P4 Foundation embeddings + QRF</w:t>
            </w:r>
          </w:p>
        </w:tc>
        <w:tc>
          <w:tcPr/>
          <w:p>
            <w:pPr>
              <w:pStyle w:val="Compact"/>
              <w:jc w:val="right"/>
            </w:pPr>
            <w:r>
              <w:t xml:space="preserve">0.616</w:t>
            </w:r>
          </w:p>
        </w:tc>
        <w:tc>
          <w:tcPr/>
          <w:p>
            <w:pPr>
              <w:pStyle w:val="Compact"/>
              <w:jc w:val="right"/>
            </w:pPr>
            <w:r>
              <w:t xml:space="preserve">0.118</w:t>
            </w:r>
          </w:p>
        </w:tc>
        <w:tc>
          <w:tcPr/>
          <w:p>
            <w:pPr>
              <w:pStyle w:val="Compact"/>
              <w:jc w:val="right"/>
            </w:pPr>
            <w:r>
              <w:t xml:space="preserve">-0.013</w:t>
            </w:r>
          </w:p>
        </w:tc>
        <w:tc>
          <w:tcPr/>
          <w:p>
            <w:pPr>
              <w:pStyle w:val="Compact"/>
              <w:jc w:val="right"/>
            </w:pPr>
            <w:r>
              <w:t xml:space="preserve">0.892</w:t>
            </w:r>
          </w:p>
        </w:tc>
        <w:tc>
          <w:tcPr/>
          <w:p>
            <w:pPr>
              <w:pStyle w:val="Compact"/>
              <w:jc w:val="right"/>
            </w:pPr>
            <w:r>
              <w:t xml:space="preserve">2.179</w:t>
            </w:r>
          </w:p>
        </w:tc>
        <w:tc>
          <w:tcPr/>
          <w:p>
            <w:pPr>
              <w:pStyle w:val="Compact"/>
              <w:jc w:val="right"/>
            </w:pPr>
            <w:r>
              <w:t xml:space="preserve">0.340</w:t>
            </w:r>
          </w:p>
        </w:tc>
        <w:tc>
          <w:tcPr/>
          <w:p>
            <w:pPr>
              <w:pStyle w:val="Compact"/>
              <w:jc w:val="right"/>
            </w:pPr>
            <w:r>
              <w:t xml:space="preserve">94.2</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-0.024</w:t>
            </w:r>
          </w:p>
        </w:tc>
        <w:tc>
          <w:tcPr/>
          <w:p>
            <w:pPr>
              <w:pStyle w:val="Compact"/>
              <w:jc w:val="right"/>
            </w:pPr>
            <w:r>
              <w:t xml:space="preserve">-0.185</w:t>
            </w:r>
          </w:p>
        </w:tc>
        <w:tc>
          <w:tcPr/>
          <w:p>
            <w:pPr>
              <w:pStyle w:val="Compact"/>
              <w:jc w:val="right"/>
            </w:pPr>
            <w:r>
              <w:t xml:space="preserve">0.663</w:t>
            </w:r>
          </w:p>
        </w:tc>
        <w:tc>
          <w:tcPr/>
          <w:p>
            <w:pPr>
              <w:pStyle w:val="Compact"/>
              <w:jc w:val="right"/>
            </w:pPr>
            <w:r>
              <w:t xml:space="preserve">1.263</w:t>
            </w:r>
          </w:p>
        </w:tc>
        <w:tc>
          <w:tcPr/>
          <w:p>
            <w:pPr>
              <w:pStyle w:val="Compact"/>
              <w:jc w:val="right"/>
            </w:pPr>
            <w:r>
              <w:t xml:space="preserve">0.391</w:t>
            </w:r>
          </w:p>
        </w:tc>
        <w:tc>
          <w:tcPr/>
          <w:p>
            <w:pPr>
              <w:pStyle w:val="Compact"/>
              <w:jc w:val="right"/>
            </w:pPr>
            <w:r>
              <w:t xml:space="preserve">728.3</w:t>
            </w:r>
          </w:p>
        </w:tc>
      </w:tr>
      <w:tr>
        <w:tc>
          <w:tcPr/>
          <w:p>
            <w:pPr>
              <w:pStyle w:val="Compact"/>
              <w:jc w:val="left"/>
            </w:pPr>
            <w:r>
              <w:t xml:space="preserve">P10 GAT (trained attention)</w:t>
            </w:r>
          </w:p>
        </w:tc>
        <w:tc>
          <w:tcPr/>
          <w:p>
            <w:pPr>
              <w:pStyle w:val="Compact"/>
              <w:jc w:val="right"/>
            </w:pPr>
            <w:r>
              <w:t xml:space="preserve">0.680</w:t>
            </w:r>
          </w:p>
        </w:tc>
        <w:tc>
          <w:tcPr/>
          <w:p>
            <w:pPr>
              <w:pStyle w:val="Compact"/>
              <w:jc w:val="right"/>
            </w:pPr>
            <w:r>
              <w:t xml:space="preserve">-0.131</w:t>
            </w:r>
          </w:p>
        </w:tc>
        <w:tc>
          <w:tcPr/>
          <w:p>
            <w:pPr>
              <w:pStyle w:val="Compact"/>
              <w:jc w:val="right"/>
            </w:pPr>
            <w:r>
              <w:t xml:space="preserve">-0.346</w:t>
            </w:r>
          </w:p>
        </w:tc>
        <w:tc>
          <w:tcPr/>
          <w:p>
            <w:pPr>
              <w:pStyle w:val="Compact"/>
              <w:jc w:val="right"/>
            </w:pPr>
            <w:r>
              <w:t xml:space="preserve">0.790</w:t>
            </w:r>
          </w:p>
        </w:tc>
        <w:tc>
          <w:tcPr/>
          <w:p>
            <w:pPr>
              <w:pStyle w:val="Compact"/>
              <w:jc w:val="right"/>
            </w:pPr>
            <w:r>
              <w:t xml:space="preserve">1.846</w:t>
            </w:r>
          </w:p>
        </w:tc>
        <w:tc>
          <w:tcPr/>
          <w:p>
            <w:pPr>
              <w:pStyle w:val="Compact"/>
              <w:jc w:val="right"/>
            </w:pPr>
            <w:r>
              <w:t xml:space="preserve">0.413</w:t>
            </w:r>
          </w:p>
        </w:tc>
        <w:tc>
          <w:tcPr/>
          <w:p>
            <w:pPr>
              <w:pStyle w:val="Compact"/>
              <w:jc w:val="right"/>
            </w:pPr>
            <w:r>
              <w:t xml:space="preserve">191.7</w:t>
            </w:r>
          </w:p>
        </w:tc>
      </w:tr>
    </w:tbl>
    <w:p>
      <w:pPr>
        <w:pStyle w:val="BodyText"/>
      </w:pPr>
      <w:r>
        <w:t xml:space="preserve">Ordinary least squares restricted to the covariates in the backdoor adjustment set has the lowest error (0.583) and the highest skill against both nulls (NSE 0.200), and its coverage (0.882) is close to nominal. The quantile random forest is a close second at a comparable cost. The three methods with the greatest representational capacity — foundation-model embeddings, the graph attention network, and the quantum kernel — rank last. 3 of them fall below the oracle null and 2 below the achievable one (P6 and P10): on spatially blocked folds those two explain less of the variation than predicting each training partition’s mean. The quantum kernel is simultaneously among the least accurate and, at 728 s against 2.5 s for the baseline, several hundred times the most expensive.</w:t>
      </w:r>
    </w:p>
    <w:p>
      <w:pPr>
        <w:pStyle w:val="BodyText"/>
      </w:pPr>
      <w:r>
        <w:rPr>
          <w:b/>
          <w:bCs/>
        </w:rPr>
        <w:t xml:space="preserve">What the buffer is worth, re-measured.</w:t>
      </w:r>
      <w:r>
        <w:t xml:space="preserve"> </w:t>
      </w:r>
      <w:r>
        <w:t xml:space="preserve">An earlier version of this paper reported that the buffer changed the ranking — that the graph attention network reached RMSE 0.621 and sat fifth without it against 0.686 and last with it. That comparison was made by hand, was never scripted, and does not reproduce against the current code; it also predated the correction of the Pillar-10 graph to great-circle distance, so it compared two different models. We report the re-measurement rather than the sentence.</w:t>
      </w:r>
    </w:p>
    <w:p>
      <w:pPr>
        <w:pStyle w:val="BodyText"/>
      </w:pPr>
      <w:r>
        <w:t xml:space="preserve">Running the same harness on the same blocks with the buffer switched off (</w:t>
      </w:r>
      <w:r>
        <w:rPr>
          <w:rStyle w:val="VerbatimChar"/>
        </w:rPr>
        <w:t xml:space="preserve">data-raw/buffer_effect.R</w:t>
      </w:r>
      <w:r>
        <w:t xml:space="preserve">, 68 km, 88 training rows discarded) gives:</w:t>
      </w:r>
    </w:p>
    <w:tbl>
      <w:tblPr>
        <w:tblStyle w:val="Table"/>
        <w:tblW w:type="pct" w:w="5000"/>
        <w:tblLayout w:type="fixed"/>
        <w:tblLook w:firstRow="1" w:lastRow="0" w:firstColumn="0" w:lastColumn="0" w:noHBand="0" w:noVBand="0" w:val="0020"/>
      </w:tblPr>
      <w:tblGrid>
        <w:gridCol w:w="3350"/>
        <w:gridCol w:w="1116"/>
        <w:gridCol w:w="913"/>
        <w:gridCol w:w="609"/>
        <w:gridCol w:w="913"/>
        <w:gridCol w:w="1015"/>
      </w:tblGrid>
      <w:tr>
        <w:trPr>
          <w:tblHeader w:val="on"/>
        </w:trPr>
        <w:tc>
          <w:tcPr/>
          <w:p>
            <w:pPr>
              <w:pStyle w:val="Compact"/>
              <w:jc w:val="left"/>
            </w:pPr>
            <w:r>
              <w:t xml:space="preserve">Method</w:t>
            </w:r>
          </w:p>
        </w:tc>
        <w:tc>
          <w:tcPr/>
          <w:p>
            <w:pPr>
              <w:pStyle w:val="Compact"/>
              <w:jc w:val="right"/>
            </w:pPr>
            <w:r>
              <w:t xml:space="preserve">Unbuffered</w:t>
            </w:r>
          </w:p>
        </w:tc>
        <w:tc>
          <w:tcPr/>
          <w:p>
            <w:pPr>
              <w:pStyle w:val="Compact"/>
              <w:jc w:val="right"/>
            </w:pPr>
            <w:r>
              <w:t xml:space="preserve">Buffered</w:t>
            </w:r>
          </w:p>
        </w:tc>
        <w:tc>
          <w:tcPr/>
          <w:p>
            <w:pPr>
              <w:pStyle w:val="Compact"/>
              <w:jc w:val="right"/>
            </w:pPr>
            <w:r>
              <w:t xml:space="preserve">Delta</w:t>
            </w:r>
          </w:p>
        </w:tc>
        <w:tc>
          <w:tcPr/>
          <w:p>
            <w:pPr>
              <w:pStyle w:val="Compact"/>
              <w:jc w:val="right"/>
            </w:pPr>
            <w:r>
              <w:t xml:space="preserve">Rank un.</w:t>
            </w:r>
          </w:p>
        </w:tc>
        <w:tc>
          <w:tcPr/>
          <w:p>
            <w:pPr>
              <w:pStyle w:val="Compact"/>
              <w:jc w:val="right"/>
            </w:pPr>
            <w:r>
              <w:t xml:space="preserve">Rank buf.</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0.583</w:t>
            </w:r>
          </w:p>
        </w:tc>
        <w:tc>
          <w:tcPr/>
          <w:p>
            <w:pPr>
              <w:pStyle w:val="Compact"/>
              <w:jc w:val="right"/>
            </w:pPr>
            <w:r>
              <w:t xml:space="preserve">0.000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P5 QRF</w:t>
            </w:r>
          </w:p>
        </w:tc>
        <w:tc>
          <w:tcPr/>
          <w:p>
            <w:pPr>
              <w:pStyle w:val="Compact"/>
              <w:jc w:val="right"/>
            </w:pPr>
            <w:r>
              <w:t xml:space="preserve">0.588</w:t>
            </w:r>
          </w:p>
        </w:tc>
        <w:tc>
          <w:tcPr/>
          <w:p>
            <w:pPr>
              <w:pStyle w:val="Compact"/>
              <w:jc w:val="right"/>
            </w:pPr>
            <w:r>
              <w:t xml:space="preserve">0.592</w:t>
            </w:r>
          </w:p>
        </w:tc>
        <w:tc>
          <w:tcPr/>
          <w:p>
            <w:pPr>
              <w:pStyle w:val="Compact"/>
              <w:jc w:val="right"/>
            </w:pPr>
            <w:r>
              <w:t xml:space="preserve">0.004</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P7 BHS</w:t>
            </w:r>
          </w:p>
        </w:tc>
        <w:tc>
          <w:tcPr/>
          <w:p>
            <w:pPr>
              <w:pStyle w:val="Compact"/>
              <w:jc w:val="right"/>
            </w:pPr>
            <w:r>
              <w:t xml:space="preserve">0.605</w:t>
            </w:r>
          </w:p>
        </w:tc>
        <w:tc>
          <w:tcPr/>
          <w:p>
            <w:pPr>
              <w:pStyle w:val="Compact"/>
              <w:jc w:val="right"/>
            </w:pPr>
            <w:r>
              <w:t xml:space="preserve">0.608</w:t>
            </w:r>
          </w:p>
        </w:tc>
        <w:tc>
          <w:tcPr/>
          <w:p>
            <w:pPr>
              <w:pStyle w:val="Compact"/>
              <w:jc w:val="right"/>
            </w:pPr>
            <w:r>
              <w:t xml:space="preserve">0.003</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P6 Quantum KRR</w:t>
            </w:r>
          </w:p>
        </w:tc>
        <w:tc>
          <w:tcPr/>
          <w:p>
            <w:pPr>
              <w:pStyle w:val="Compact"/>
              <w:jc w:val="right"/>
            </w:pPr>
            <w:r>
              <w:t xml:space="preserve">0.660</w:t>
            </w:r>
          </w:p>
        </w:tc>
        <w:tc>
          <w:tcPr/>
          <w:p>
            <w:pPr>
              <w:pStyle w:val="Compact"/>
              <w:jc w:val="right"/>
            </w:pPr>
            <w:r>
              <w:t xml:space="preserve">0.663</w:t>
            </w:r>
          </w:p>
        </w:tc>
        <w:tc>
          <w:tcPr/>
          <w:p>
            <w:pPr>
              <w:pStyle w:val="Compact"/>
              <w:jc w:val="right"/>
            </w:pPr>
            <w:r>
              <w:t xml:space="preserve">0.003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P10 GAT (trained attention)</w:t>
            </w:r>
          </w:p>
        </w:tc>
        <w:tc>
          <w:tcPr/>
          <w:p>
            <w:pPr>
              <w:pStyle w:val="Compact"/>
              <w:jc w:val="right"/>
            </w:pPr>
            <w:r>
              <w:t xml:space="preserve">0.672</w:t>
            </w:r>
          </w:p>
        </w:tc>
        <w:tc>
          <w:tcPr/>
          <w:p>
            <w:pPr>
              <w:pStyle w:val="Compact"/>
              <w:jc w:val="right"/>
            </w:pPr>
            <w:r>
              <w:t xml:space="preserve">0.680</w:t>
            </w:r>
          </w:p>
        </w:tc>
        <w:tc>
          <w:tcPr/>
          <w:p>
            <w:pPr>
              <w:pStyle w:val="Compact"/>
              <w:jc w:val="right"/>
            </w:pPr>
            <w:r>
              <w:t xml:space="preserve">0.007</w:t>
            </w:r>
          </w:p>
        </w:tc>
        <w:tc>
          <w:tcPr/>
          <w:p>
            <w:pPr>
              <w:pStyle w:val="Compact"/>
              <w:jc w:val="right"/>
            </w:pPr>
            <w:r>
              <w:t xml:space="preserve">5</w:t>
            </w:r>
          </w:p>
        </w:tc>
        <w:tc>
          <w:tcPr/>
          <w:p>
            <w:pPr>
              <w:pStyle w:val="Compact"/>
              <w:jc w:val="right"/>
            </w:pPr>
            <w:r>
              <w:t xml:space="preserve">5</w:t>
            </w:r>
          </w:p>
        </w:tc>
      </w:tr>
    </w:tbl>
    <w:p>
      <w:pPr>
        <w:pStyle w:val="BodyText"/>
      </w:pPr>
      <w:r>
        <w:rPr>
          <w:b/>
          <w:bCs/>
        </w:rPr>
        <w:t xml:space="preserve">Table 11. What the 68 km buffer costs each method.</w:t>
      </w:r>
      <w:r>
        <w:t xml:space="preserve"> </w:t>
      </w:r>
      <w:r>
        <w:t xml:space="preserve">RMSE on the log1p scale, five methods on identical test blocks; the only difference is which training rows are discarded. Pillar 4 is scored in a separate harness and is not re-run here, so it is absent rather than omitted silently.</w:t>
      </w:r>
    </w:p>
    <w:p>
      <w:pPr>
        <w:pStyle w:val="BodyText"/>
      </w:pPr>
      <w:r>
        <w:t xml:space="preserve">The buffer costs every method a little and the graph attention network the most (0.007 against at most 0.004 for any other), which is the direction the mechanism predicts: a network whose representation is a graph over spatial neighbours is the method that gains most from training points immediately across a block boundary. But the effect is an order of magnitude smaller than we previously reported, and</w:t>
      </w:r>
      <w:r>
        <w:t xml:space="preserve"> </w:t>
      </w:r>
      <w:r>
        <w:rPr>
          <w:b/>
          <w:bCs/>
        </w:rPr>
        <w:t xml:space="preserve">the ranking is identical with and without it</w:t>
      </w:r>
      <w:r>
        <w:t xml:space="preserve">. The buffer is the right protocol on principle — a model must not be scored on rows it could interpolate from near-duplicates — and we keep it for that reason, not because it rescues a conclusion. On these data it does not change one.</w:t>
      </w:r>
    </w:p>
    <w:p>
      <w:pPr>
        <w:pStyle w:val="BodyText"/>
      </w:pPr>
      <w:r>
        <w:t xml:space="preserve">Fig 13 shows the same result geometrically, and makes the calibration and cost arguments that the accuracy column alone cannot.</w:t>
      </w:r>
    </w:p>
    <w:p>
      <w:pPr>
        <w:pStyle w:val="BodyText"/>
      </w:pPr>
      <w:r>
        <w:drawing>
          <wp:inline>
            <wp:extent cx="5334000" cy="4290391"/>
            <wp:effectExtent b="0" l="0" r="0" t="0"/>
            <wp:docPr descr="" title="" id="47" name="Picture"/>
            <a:graphic>
              <a:graphicData uri="http://schemas.openxmlformats.org/drawingml/2006/picture">
                <pic:pic>
                  <pic:nvPicPr>
                    <pic:cNvPr descr="plos-manuscript_files/figures/Fig13.png" id="48" name="Picture"/>
                    <pic:cNvPicPr>
                      <a:picLocks noChangeArrowheads="1" noChangeAspect="1"/>
                    </pic:cNvPicPr>
                  </pic:nvPicPr>
                  <pic:blipFill>
                    <a:blip r:embed="rId46"/>
                    <a:stretch>
                      <a:fillRect/>
                    </a:stretch>
                  </pic:blipFill>
                  <pic:spPr bwMode="auto">
                    <a:xfrm>
                      <a:off x="0" y="0"/>
                      <a:ext cx="5334000" cy="4290391"/>
                    </a:xfrm>
                    <a:prstGeom prst="rect">
                      <a:avLst/>
                    </a:prstGeom>
                    <a:noFill/>
                    <a:ln w="9525">
                      <a:noFill/>
                      <a:headEnd/>
                      <a:tailEnd/>
                    </a:ln>
                  </pic:spPr>
                </pic:pic>
              </a:graphicData>
            </a:graphic>
          </wp:inline>
        </w:drawing>
      </w:r>
    </w:p>
    <w:p>
      <w:pPr>
        <w:pStyle w:val="BodyText"/>
      </w:pPr>
      <w:r>
        <w:rPr>
          <w:b/>
          <w:bCs/>
        </w:rPr>
        <w:t xml:space="preserve">Fig 13. Six methods on the same buffered folds.</w:t>
      </w:r>
      <w:r>
        <w:t xml:space="preserve"> </w:t>
      </w:r>
      <w:r>
        <w:t xml:space="preserve">(A) Predictive accuracy; bars are red where the method explains less than the achievable null of the training-fold mean. (B) Skill against that null, with the oracle null shown for contrast. (C) Calibration against sharpness: the shaded band is within four points of nominal 90% coverage, and the quantum kernel is both the sharpest and the least covered, an overconfidence invisible in panel A. (D) Wall-clock cost on a log scale. The two methods that fall below the achievable null are also the two most expensive, and the most accurate method is among the cheapest at 2.3 s. The least accurate is not itself the single most expensive: that is the quantum kernel, at roughly four times the graph network’s cost.</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p>
      <w:pPr>
        <w:pStyle w:val="Heading2"/>
      </w:pPr>
      <w:r>
        <w:t xml:space="preserve">Coverage is a rate, not a map: does the interval know where it is extrapolating?</w:t>
      </w:r>
    </w:p>
    <w:p>
      <w:pPr>
        <w:pStyle w:val="FirstParagraph"/>
      </w:pPr>
      <w:r>
        <w:t xml:space="preserve">A single PICP is a pooled rate. It reports what fraction of test profiles fell inside their interval; it does not report whether the interval was wide in the right</w:t>
      </w:r>
      <w:r>
        <w:t xml:space="preserve"> </w:t>
      </w:r>
      <w:r>
        <w:rPr>
          <w:i/>
          <w:iCs/>
        </w:rPr>
        <w:t xml:space="preserve">places</w:t>
      </w:r>
      <w:r>
        <w:t xml:space="preserve">. On spatially blocked folds that distinction carries the whole question, because a test profile here sits anywhere from 68 to 870 km from the nearest training profile (median 304 km). A method emitting the same width at both ends is quoting a constant that happens to average out.</w:t>
      </w:r>
    </w:p>
    <w:p>
      <w:pPr>
        <w:pStyle w:val="BodyText"/>
      </w:pPr>
      <w:r>
        <w:t xml:space="preserve">We measured it. For every test profile we recorded the width of its 90% interval and the distance to its nearest training profile, and we report the rank correlation both raw and after partialling out the Mahalanobis distance of that profile’s covariates from the training covariate centroid — because a method can widen for covariate novelty while remaining blind to geography, and only the partial correlation licenses a spatial claim.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right"/>
            </w:pPr>
            <w:r>
              <w:t xml:space="preserve">Width vs distance</w:t>
            </w:r>
          </w:p>
        </w:tc>
        <w:tc>
          <w:tcPr/>
          <w:p>
            <w:pPr>
              <w:pStyle w:val="Compact"/>
              <w:jc w:val="right"/>
            </w:pPr>
            <w:r>
              <w:t xml:space="preserve">partial</w:t>
            </w:r>
          </w:p>
        </w:tc>
        <w:tc>
          <w:tcPr/>
          <w:p>
            <w:pPr>
              <w:pStyle w:val="Compact"/>
              <w:jc w:val="right"/>
            </w:pPr>
            <w:r>
              <w:t xml:space="preserve">Error vs distance</w:t>
            </w:r>
          </w:p>
        </w:tc>
        <w:tc>
          <w:tcPr/>
          <w:p>
            <w:pPr>
              <w:pStyle w:val="Compact"/>
              <w:jc w:val="right"/>
            </w:pPr>
            <w:r>
              <w:t xml:space="preserve">p</w:t>
            </w:r>
          </w:p>
        </w:tc>
      </w:tr>
      <w:tr>
        <w:tc>
          <w:tcPr/>
          <w:p>
            <w:pPr>
              <w:pStyle w:val="Compact"/>
              <w:jc w:val="left"/>
            </w:pPr>
            <w:r>
              <w:t xml:space="preserve">P7</w:t>
            </w:r>
          </w:p>
        </w:tc>
        <w:tc>
          <w:tcPr/>
          <w:p>
            <w:pPr>
              <w:pStyle w:val="Compact"/>
              <w:jc w:val="right"/>
            </w:pPr>
            <w:r>
              <w:t xml:space="preserve">0.803</w:t>
            </w:r>
          </w:p>
        </w:tc>
        <w:tc>
          <w:tcPr/>
          <w:p>
            <w:pPr>
              <w:pStyle w:val="Compact"/>
              <w:jc w:val="right"/>
            </w:pPr>
            <w:r>
              <w:t xml:space="preserve">0.781</w:t>
            </w:r>
          </w:p>
        </w:tc>
        <w:tc>
          <w:tcPr/>
          <w:p>
            <w:pPr>
              <w:pStyle w:val="Compact"/>
              <w:jc w:val="right"/>
            </w:pPr>
            <w:r>
              <w:t xml:space="preserve">0.008</w:t>
            </w:r>
          </w:p>
        </w:tc>
        <w:tc>
          <w:tcPr/>
          <w:p>
            <w:pPr>
              <w:pStyle w:val="Compact"/>
              <w:jc w:val="right"/>
            </w:pPr>
            <w:r>
              <w:t xml:space="preserve">0.80000</w:t>
            </w:r>
          </w:p>
        </w:tc>
      </w:tr>
      <w:tr>
        <w:tc>
          <w:tcPr/>
          <w:p>
            <w:pPr>
              <w:pStyle w:val="Compact"/>
              <w:jc w:val="left"/>
            </w:pPr>
            <w:r>
              <w:t xml:space="preserve">P5</w:t>
            </w:r>
          </w:p>
        </w:tc>
        <w:tc>
          <w:tcPr/>
          <w:p>
            <w:pPr>
              <w:pStyle w:val="Compact"/>
              <w:jc w:val="right"/>
            </w:pPr>
            <w:r>
              <w:t xml:space="preserve">0.224</w:t>
            </w:r>
          </w:p>
        </w:tc>
        <w:tc>
          <w:tcPr/>
          <w:p>
            <w:pPr>
              <w:pStyle w:val="Compact"/>
              <w:jc w:val="right"/>
            </w:pPr>
            <w:r>
              <w:t xml:space="preserve">0.133</w:t>
            </w:r>
          </w:p>
        </w:tc>
        <w:tc>
          <w:tcPr/>
          <w:p>
            <w:pPr>
              <w:pStyle w:val="Compact"/>
              <w:jc w:val="right"/>
            </w:pPr>
            <w:r>
              <w:t xml:space="preserve">0.015</w:t>
            </w:r>
          </w:p>
        </w:tc>
        <w:tc>
          <w:tcPr/>
          <w:p>
            <w:pPr>
              <w:pStyle w:val="Compact"/>
              <w:jc w:val="right"/>
            </w:pPr>
            <w:r>
              <w:t xml:space="preserve">0.62000</w:t>
            </w:r>
          </w:p>
        </w:tc>
      </w:tr>
      <w:tr>
        <w:tc>
          <w:tcPr/>
          <w:p>
            <w:pPr>
              <w:pStyle w:val="Compact"/>
              <w:jc w:val="left"/>
            </w:pPr>
            <w:r>
              <w:t xml:space="preserve">P10</w:t>
            </w:r>
          </w:p>
        </w:tc>
        <w:tc>
          <w:tcPr/>
          <w:p>
            <w:pPr>
              <w:pStyle w:val="Compact"/>
              <w:jc w:val="right"/>
            </w:pPr>
            <w:r>
              <w:t xml:space="preserve">-0.045</w:t>
            </w:r>
          </w:p>
        </w:tc>
        <w:tc>
          <w:tcPr/>
          <w:p>
            <w:pPr>
              <w:pStyle w:val="Compact"/>
              <w:jc w:val="right"/>
            </w:pPr>
            <w:r>
              <w:t xml:space="preserve">-0.080</w:t>
            </w:r>
          </w:p>
        </w:tc>
        <w:tc>
          <w:tcPr/>
          <w:p>
            <w:pPr>
              <w:pStyle w:val="Compact"/>
              <w:jc w:val="right"/>
            </w:pPr>
            <w:r>
              <w:t xml:space="preserve">0.106</w:t>
            </w:r>
          </w:p>
        </w:tc>
        <w:tc>
          <w:tcPr/>
          <w:p>
            <w:pPr>
              <w:pStyle w:val="Compact"/>
              <w:jc w:val="right"/>
            </w:pPr>
            <w:r>
              <w:t xml:space="preserve">0.00043</w:t>
            </w:r>
          </w:p>
        </w:tc>
      </w:tr>
    </w:tbl>
    <w:p>
      <w:pPr>
        <w:pStyle w:val="BodyText"/>
      </w:pPr>
      <w:r>
        <w:rPr>
          <w:b/>
          <w:bCs/>
        </w:rPr>
        <w:t xml:space="preserve">Table 12. Does interval width track extrapolation distance?</w:t>
      </w:r>
      <w:r>
        <w:t xml:space="preserve"> </w:t>
      </w:r>
      <w:r>
        <w:t xml:space="preserve">Spearman correlations over 1095 held-out profiles across the 5 buffered folds.</w:t>
      </w:r>
      <w:r>
        <w:t xml:space="preserve"> </w:t>
      </w:r>
      <w:r>
        <w:t xml:space="preserve">“partial”</w:t>
      </w:r>
      <w:r>
        <w:t xml:space="preserve"> </w:t>
      </w:r>
      <w:r>
        <w:t xml:space="preserve">removes covariate-space distance, so what remains is geographic.</w:t>
      </w:r>
    </w:p>
    <w:p>
      <w:pPr>
        <w:pStyle w:val="BodyText"/>
      </w:pPr>
      <w:r>
        <w:t xml:space="preserve">The three methods answer differently, and the difference is not subtle. The Bayesian hierarchical model’s width tracks distance strongly (</w:t>
      </w:r>
      <m:oMath>
        <m:r>
          <m:t>ρ</m:t>
        </m:r>
        <m:r>
          <m:rPr>
            <m:sty m:val="p"/>
          </m:rPr>
          <m:t>=</m:t>
        </m:r>
        <m:r>
          <m:t>0.803</m:t>
        </m:r>
      </m:oMath>
      <w:r>
        <w:t xml:space="preserve">), and it survives the covariate control almost intact (</w:t>
      </w:r>
      <m:oMath>
        <m:r>
          <m:t>0.781</m:t>
        </m:r>
      </m:oMath>
      <w:r>
        <w:t xml:space="preserve">) — the widening is geographic, which is what a kriging variance is built to do. The quantile forest widens weakly and mostly for covariate reasons. The graph attention network does not widen at all: its correlation is -0.045 raw and -0.080 partial — if anything slightly</w:t>
      </w:r>
      <w:r>
        <w:t xml:space="preserve"> </w:t>
      </w:r>
      <w:r>
        <w:rPr>
          <w:i/>
          <w:iCs/>
        </w:rPr>
        <w:t xml:space="preserve">narrower</w:t>
      </w:r>
      <w:r>
        <w:t xml:space="preserve"> </w:t>
      </w:r>
      <w:r>
        <w:t xml:space="preserve">further from the data.</w:t>
      </w:r>
    </w:p>
    <w:p>
      <w:pPr>
        <w:pStyle w:val="BodyText"/>
      </w:pPr>
      <w:r>
        <w:t xml:space="preserve">Its error, meanwhile, does grow (</w:t>
      </w:r>
      <m:oMath>
        <m:r>
          <m:t>ρ</m:t>
        </m:r>
        <m:r>
          <m:rPr>
            <m:sty m:val="p"/>
          </m:rPr>
          <m:t>=</m:t>
        </m:r>
        <m:r>
          <m:t>0.106</m:t>
        </m:r>
      </m:oMath>
      <w:r>
        <w:t xml:space="preserve">,</w:t>
      </w:r>
      <w:r>
        <w:t xml:space="preserve"> </w:t>
      </w:r>
      <m:oMath>
        <m:r>
          <m:t>p</m:t>
        </m:r>
        <m:r>
          <m:rPr>
            <m:sty m:val="p"/>
          </m:rPr>
          <m:t>=</m:t>
        </m:r>
        <m:r>
          <m:t>4.3</m:t>
        </m:r>
        <m:r>
          <m:rPr>
            <m:sty m:val="p"/>
          </m:rPr>
          <m:t>×</m:t>
        </m:r>
        <m:sSup>
          <m:e>
            <m:r>
              <m:t>10</m:t>
            </m:r>
          </m:e>
          <m:sup>
            <m:r>
              <m:rPr>
                <m:sty m:val="p"/>
              </m:rPr>
              <m:t>−</m:t>
            </m:r>
            <m:r>
              <m:t>4</m:t>
            </m:r>
          </m:sup>
        </m:sSup>
      </m:oMath>
      <w:r>
        <w:t xml:space="preserve">), and it is the only one of the three for which that is true. So the network’s interval is mildly anti-correlated with the quantity it exists to track. This is a sharper and more useful statement than its PICP of 0.790, and it is the reason we do not present that number as a calibration property comparable to the others: three of the six methods derive an interval from a genuine predictive distribution and three construct one from ensemble spread plus an estimated noise term, and only the geostatistical model carries a variance that is a function of where the prediction is being made.</w:t>
      </w:r>
    </w:p>
    <w:p>
      <w:pPr>
        <w:pStyle w:val="BodyText"/>
      </w:pPr>
      <w:r>
        <w:t xml:space="preserve">One caveat belongs with the P7 column rather than beneath it. The profile-MLE of the correlation rate railed at its bracket in all 5 folds, so the bracket rather than the data sets the magnitude of that widening. The</w:t>
      </w:r>
      <w:r>
        <w:t xml:space="preserve"> </w:t>
      </w:r>
      <w:r>
        <w:rPr>
          <w:i/>
          <w:iCs/>
        </w:rPr>
        <w:t xml:space="preserve">sign</w:t>
      </w:r>
      <w:r>
        <w:t xml:space="preserve"> </w:t>
      </w:r>
      <w:r>
        <w:t xml:space="preserve">is structural to the kriging expression and does not depend on the rate; the size is not interpretable until the rate is identified, which these data do not do.</w:t>
      </w:r>
    </w:p>
    <w:p>
      <w:pPr>
        <w:pStyle w:val="BodyText"/>
      </w:pPr>
      <w:r>
        <w:t xml:space="preserve">Two consequences follow for practice. First, a coverage rate should be read alongside a plot of width against distance to data, since the two can disagree completely. Second, an uncertainty that does not vary with position is not usable for the tasks maps are made for — planning where to sample next, or bounding an inventory over a region that was never surveyed.</w:t>
      </w:r>
    </w:p>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10, whose bundle is bound to the current code by the test suite.</w:t>
      </w:r>
    </w:p>
    <w:p>
      <w:pPr>
        <w:pStyle w:val="Heading2"/>
      </w:pPr>
      <w:r>
        <w:t xml:space="preserve">Backdoor adjustment yields robust associations, and exposes confounding</w:t>
      </w:r>
    </w:p>
    <w:p>
      <w:pPr>
        <w:pStyle w:val="FirstParagraph"/>
      </w:pPr>
      <w:r>
        <w:t xml:space="preserve">Table 13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13.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rPr>
          <w:b/>
          <w:bCs/>
        </w:rPr>
        <w:t xml:space="preserve">The exposure is measured after the outcome.</w:t>
      </w:r>
      <w:r>
        <w:t xml:space="preserve"> </w:t>
      </w:r>
      <w:r>
        <w:t xml:space="preserve">One feature of these data forecloses a causal reading independently of any confounder, and it belongs here rather than in a limitations list. The tree-cover exposure is ESA WorldCover, a 2020 product; the SoilGrids texture and bulk-density covariates are likewise 2020. The outcome is a WoSIS topsoil measurement whose median sampling year is 1982, with every one of the 1,095 profiles but five sampled before 1990 and the quartiles falling in 1981 and 1983. The land surface described by the exposure is the one that existed 38 years</w:t>
      </w:r>
      <w:r>
        <w:t xml:space="preserve"> </w:t>
      </w:r>
      <w:r>
        <w:rPr>
          <w:i/>
          <w:iCs/>
        </w:rPr>
        <w:t xml:space="preserve">after</w:t>
      </w:r>
      <w:r>
        <w:t xml:space="preserve"> </w:t>
      </w:r>
      <w:r>
        <w:t xml:space="preserve">the carbon was measured. No adjustment set repairs that ordering: whatever the estimate is, it is not the effect of tree cover on soil carbon, because the Cerrado’s conversion to cropland and pasture happened largely in between.</w:t>
      </w:r>
    </w:p>
    <w:p>
      <w:pPr>
        <w:pStyle w:val="BodyText"/>
      </w:pPr>
      <w:r>
        <w:t xml:space="preserve">We keep the analysis, reported as what it is, for two reasons. The demonstration it is used for — that an apparent association collapses under adjustment for common causes — is a demonstration about estimators and does not require the exposure to be causally prior. And the temporal inversion is itself a second, independent reason to disbelieve the naive reading, arriving at the same conclusion the adjustment does by a route that needs no assumption about unobserved confounding at all. Where we write</w:t>
      </w:r>
      <w:r>
        <w:t xml:space="preserve"> </w:t>
      </w:r>
      <w:r>
        <w:t xml:space="preserve">“effect”</w:t>
      </w:r>
      <w:r>
        <w:t xml:space="preserve"> </w:t>
      </w:r>
      <w:r>
        <w:t xml:space="preserve">below, read</w:t>
      </w:r>
      <w:r>
        <w:t xml:space="preserve"> </w:t>
      </w:r>
      <w:r>
        <w:t xml:space="preserve">“backdoor-adjusted association between a 2020 land-cover product and a 1982 soil measurement”</w:t>
      </w:r>
      <w:r>
        <w:t xml:space="preserve">. The framework cannot fix a data set in which the cause postdates the effect; what it can do is make that visible instead of reporting a coefficient.</w:t>
      </w:r>
    </w:p>
    <w:p>
      <w:pPr>
        <w:pStyle w:val="BodyText"/>
      </w:pPr>
      <w:r>
        <w:t xml:space="preserve">Fig 14 shows the four exposures before and after adjustment, together with the confounding each estimate could withstand.</w:t>
      </w:r>
    </w:p>
    <w:p>
      <w:pPr>
        <w:pStyle w:val="BodyText"/>
      </w:pPr>
      <w:r>
        <w:drawing>
          <wp:inline>
            <wp:extent cx="5334000" cy="5053263"/>
            <wp:effectExtent b="0" l="0" r="0" t="0"/>
            <wp:docPr descr="" title="" id="50" name="Picture"/>
            <a:graphic>
              <a:graphicData uri="http://schemas.openxmlformats.org/drawingml/2006/picture">
                <pic:pic>
                  <pic:nvPicPr>
                    <pic:cNvPr descr="plos-manuscript_files/figures/Fig14.png" id="51" name="Picture"/>
                    <pic:cNvPicPr>
                      <a:picLocks noChangeArrowheads="1" noChangeAspect="1"/>
                    </pic:cNvPicPr>
                  </pic:nvPicPr>
                  <pic:blipFill>
                    <a:blip r:embed="rId49"/>
                    <a:stretch>
                      <a:fillRect/>
                    </a:stretch>
                  </pic:blipFill>
                  <pic:spPr bwMode="auto">
                    <a:xfrm>
                      <a:off x="0" y="0"/>
                      <a:ext cx="5334000" cy="5053263"/>
                    </a:xfrm>
                    <a:prstGeom prst="rect">
                      <a:avLst/>
                    </a:prstGeom>
                    <a:noFill/>
                    <a:ln w="9525">
                      <a:noFill/>
                      <a:headEnd/>
                      <a:tailEnd/>
                    </a:ln>
                  </pic:spPr>
                </pic:pic>
              </a:graphicData>
            </a:graphic>
          </wp:inline>
        </w:drawing>
      </w:r>
    </w:p>
    <w:p>
      <w:pPr>
        <w:pStyle w:val="BodyText"/>
      </w:pPr>
      <w:r>
        <w:rPr>
          <w:b/>
          <w:bCs/>
        </w:rPr>
        <w:t xml:space="preserve">Fig 14. Backdoor adjustment and its sensitivity.</w:t>
      </w:r>
      <w:r>
        <w:t xml:space="preserve"> </w:t>
      </w:r>
      <w:r>
        <w:t xml:space="preserve">(A) Open circles are unadjusted associations, filled circles adjusted, bars the 95% spatial block-bootstrap interval; the arrow shows the movement under adjustment, and effects are scaled by each covariate’s standard deviation so that exposures on different units are comparable. Tree cover moves furthest and its interval then covers zero. (B) The Cinelli–Hazlett robustness value for each estimate: the residual variance an unobserved confounder would have to explain in both exposure and outcome to reduce it to zero.</w:t>
      </w:r>
    </w:p>
    <w:p>
      <w:pPr>
        <w:pStyle w:val="Heading2"/>
      </w:pPr>
      <w:r>
        <w:t xml:space="preserve">The graph itself is testable, and it fails its own test</w:t>
      </w:r>
    </w:p>
    <w:p>
      <w:pPr>
        <w:pStyle w:val="FirstParagraph"/>
      </w:pPr>
      <w:r>
        <w:t xml:space="preserve">Every estimate in Table 13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w:t>
      </w:r>
    </w:p>
    <w:p>
      <w:pPr>
        <w:pStyle w:val="BodyText"/>
      </w:pPr>
      <w:r>
        <w:t xml:space="preserve">That pooled test has an obvious objection, and it is worth answering rather than leaving open. Soil profiles are spatially autocorrelated, so treating 3,077 of them as independent observations overstates the effective sample size and will reject independencies a spatially aware test would not. Residualising every variable on a thin-plate spline of position before testing — and charging the smoother its degrees of freedom — reduces the count to</w:t>
      </w:r>
      <w:r>
        <w:t xml:space="preserve"> </w:t>
      </w:r>
      <w:r>
        <w:rPr>
          <w:b/>
          <w:bCs/>
        </w:rPr>
        <w:t xml:space="preserve">28 of 37</w:t>
      </w:r>
      <w:r>
        <w:t xml:space="preserve">. Nine individual independencies change verdict in one direction or the other. The conclusion is unchanged in kind: the graph, as drawn from published pedogenetic knowledge, is not compatible with the covariance structure of the data it is applied to, on either test. But the</w:t>
      </w:r>
      <w:r>
        <w:t xml:space="preserve"> </w:t>
      </w:r>
      <w:r>
        <w:rPr>
          <w:i/>
          <w:iCs/>
        </w:rPr>
        <w:t xml:space="preserve">count</w:t>
      </w:r>
      <w:r>
        <w:t xml:space="preserve"> </w:t>
      </w:r>
      <w:r>
        <w:t xml:space="preserve">moves with the treatment of spatial structure, and we report both rather than the more striking one.</w:t>
      </w:r>
      <w:r>
        <w:t xml:space="preserve"> </w:t>
      </w:r>
      <w:r>
        <w:rPr>
          <w:rStyle w:val="VerbatimChar"/>
        </w:rPr>
        <w:t xml:space="preserve">causal_dag_test()</w:t>
      </w:r>
      <w:r>
        <w:t xml:space="preserve"> </w:t>
      </w:r>
      <w:r>
        <w:t xml:space="preserve">runs both on any graph and data frame.</w:t>
      </w:r>
    </w:p>
    <w:p>
      <w:pPr>
        <w:pStyle w:val="BodyText"/>
      </w:pPr>
      <w:r>
        <w:t xml:space="preserve">This is a substantive negative result, and it propagates: an adjustment set is only minimal-and-sufficient relative to a graph, so a falsified graph undermines the identification argument for every estimate in Table 13,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p>
      <w:pPr>
        <w:pStyle w:val="Heading1"/>
      </w:pPr>
      <w:r>
        <w:t xml:space="preserve">Discussion</w:t>
      </w:r>
    </w:p>
    <w:p>
      <w:pPr>
        <w:pStyle w:val="Heading2"/>
      </w:pPr>
      <w:r>
        <w:t xml:space="preserve">What the benchmark does and does not show</w:t>
      </w:r>
    </w:p>
    <w:p>
      <w:pPr>
        <w:pStyle w:val="FirstParagraph"/>
      </w:pPr>
      <w:r>
        <w:t xml:space="preserve">The central result — that a linear model on graph-selected covariates outperformed five more elaborate methods, two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p>
      <w:pPr>
        <w:pStyle w:val="Heading1"/>
      </w:pPr>
      <w:r>
        <w:t xml:space="preserve">Conclusion</w:t>
      </w:r>
    </w:p>
    <w:p>
      <w:pPr>
        <w:pStyle w:val="FirstParagraph"/>
      </w:pPr>
      <w:r>
        <w:t xml:space="preserve">We have described a framework that reduces seven of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surfaced a 38-year inversion between the epoch of the exposure product and the sampling year of the outcome that no adjustment set can repair,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p>
      <w:pPr>
        <w:pStyle w:val="Heading1"/>
      </w:pPr>
      <w:r>
        <w:t xml:space="preserve">References</w:t>
      </w:r>
    </w:p>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Start w:id="92"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Bishop1999"/>
    <w:p>
      <w:pPr>
        <w:pStyle w:val="Bibliography"/>
      </w:pPr>
      <w:r>
        <w:t xml:space="preserve">7.</w:t>
      </w:r>
      <w:r>
        <w:t xml:space="preserve"> </w:t>
      </w:r>
      <w:r>
        <w:t xml:space="preserve">	</w:t>
      </w:r>
      <w:r>
        <w:t xml:space="preserve">Bishop TFA, McBratney AB, Laslett GM. Modelling soil attribute depth functions with equal-area quadratic smoothing splines. Geoderma. 1999;91: 27–45. doi:</w:t>
      </w:r>
      <w:hyperlink r:id="rId64">
        <w:r>
          <w:rPr>
            <w:rStyle w:val="Hyperlink"/>
          </w:rPr>
          <w:t xml:space="preserve">10.1016/S0016-7061(99)00003-8</w:t>
        </w:r>
      </w:hyperlink>
    </w:p>
    <w:bookmarkEnd w:id="65"/>
    <w:bookmarkStart w:id="67" w:name="ref-Malone2009"/>
    <w:p>
      <w:pPr>
        <w:pStyle w:val="Bibliography"/>
      </w:pPr>
      <w:r>
        <w:t xml:space="preserve">8.</w:t>
      </w:r>
      <w:r>
        <w:t xml:space="preserve"> </w:t>
      </w:r>
      <w:r>
        <w:t xml:space="preserve">	</w:t>
      </w:r>
      <w:r>
        <w:t xml:space="preserve">Malone BP, McBratney AB, Minasny B, Laslett GM. Mapping continuous depth functions of soil carbon using equal-area splines. Geoderma. 2009;154: 138–152. doi:</w:t>
      </w:r>
      <w:hyperlink r:id="rId66">
        <w:r>
          <w:rPr>
            <w:rStyle w:val="Hyperlink"/>
          </w:rPr>
          <w:t xml:space="preserve">10.1016/j.geoderma.2009.10.007</w:t>
        </w:r>
      </w:hyperlink>
    </w:p>
    <w:bookmarkEnd w:id="67"/>
    <w:bookmarkStart w:id="69" w:name="ref-MontielOlea2019"/>
    <w:p>
      <w:pPr>
        <w:pStyle w:val="Bibliography"/>
      </w:pPr>
      <w:r>
        <w:t xml:space="preserve">9.</w:t>
      </w:r>
      <w:r>
        <w:t xml:space="preserve"> </w:t>
      </w:r>
      <w:r>
        <w:t xml:space="preserve">	</w:t>
      </w:r>
      <w:r>
        <w:t xml:space="preserve">Montiel Olea JL, Plagborg-Møller M. Simultaneous confidence bands: Theory, implementation, and an application to</w:t>
      </w:r>
      <w:r>
        <w:t xml:space="preserve"> </w:t>
      </w:r>
      <w:r>
        <w:t xml:space="preserve">SVAR</w:t>
      </w:r>
      <w:r>
        <w:t xml:space="preserve">s. Journal of Applied Econometrics. 2019;34: 1–17. doi:</w:t>
      </w:r>
      <w:hyperlink r:id="rId68">
        <w:r>
          <w:rPr>
            <w:rStyle w:val="Hyperlink"/>
          </w:rPr>
          <w:t xml:space="preserve">10.1002/jae.2656</w:t>
        </w:r>
      </w:hyperlink>
    </w:p>
    <w:bookmarkEnd w:id="69"/>
    <w:bookmarkStart w:id="71" w:name="ref-Gneiting2007"/>
    <w:p>
      <w:pPr>
        <w:pStyle w:val="Bibliography"/>
      </w:pPr>
      <w:r>
        <w:t xml:space="preserve">10.</w:t>
      </w:r>
      <w:r>
        <w:t xml:space="preserve"> </w:t>
      </w:r>
      <w:r>
        <w:t xml:space="preserve">	</w:t>
      </w:r>
      <w:r>
        <w:t xml:space="preserve">Gneiting T, Raftery AE. Strictly proper scoring rules, prediction, and estimation. Journal of the American Statistical Association. 2007;102: 359–378. doi:</w:t>
      </w:r>
      <w:hyperlink r:id="rId70">
        <w:r>
          <w:rPr>
            <w:rStyle w:val="Hyperlink"/>
          </w:rPr>
          <w:t xml:space="preserve">10.1198/016214506000001437</w:t>
        </w:r>
      </w:hyperlink>
    </w:p>
    <w:bookmarkEnd w:id="71"/>
    <w:bookmarkStart w:id="73" w:name="ref-Minasny2016"/>
    <w:p>
      <w:pPr>
        <w:pStyle w:val="Bibliography"/>
      </w:pPr>
      <w:r>
        <w:t xml:space="preserve">11.</w:t>
      </w:r>
      <w:r>
        <w:t xml:space="preserve"> </w:t>
      </w:r>
      <w:r>
        <w:t xml:space="preserve">	</w:t>
      </w:r>
      <w:r>
        <w:t xml:space="preserve">Minasny B, McBratney AB. Digital soil mapping: A brief history and some lessons learned. Geoderma. 2016;264: 301–311. doi:</w:t>
      </w:r>
      <w:hyperlink r:id="rId72">
        <w:r>
          <w:rPr>
            <w:rStyle w:val="Hyperlink"/>
          </w:rPr>
          <w:t xml:space="preserve">10.1016/j.geoderma.2015.07.017</w:t>
        </w:r>
      </w:hyperlink>
    </w:p>
    <w:bookmarkEnd w:id="73"/>
    <w:bookmarkStart w:id="75" w:name="ref-Elzein1995"/>
    <w:p>
      <w:pPr>
        <w:pStyle w:val="Bibliography"/>
      </w:pPr>
      <w:r>
        <w:t xml:space="preserve">12.</w:t>
      </w:r>
      <w:r>
        <w:t xml:space="preserve"> </w:t>
      </w:r>
      <w:r>
        <w:t xml:space="preserve">	</w:t>
      </w:r>
      <w:r>
        <w:t xml:space="preserve">Elzein A, Balesdent J. Mechanistic simulation of vertical distribution of carbon concentrations and residence times in soils. Soil Science Society of America Journal. 1995;59: 1328–1335. doi:</w:t>
      </w:r>
      <w:hyperlink r:id="rId74">
        <w:r>
          <w:rPr>
            <w:rStyle w:val="Hyperlink"/>
          </w:rPr>
          <w:t xml:space="preserve">10.2136/sssaj1995.03615995005900050019x</w:t>
        </w:r>
      </w:hyperlink>
    </w:p>
    <w:bookmarkEnd w:id="75"/>
    <w:bookmarkStart w:id="77" w:name="ref-Braakhekke2011"/>
    <w:p>
      <w:pPr>
        <w:pStyle w:val="Bibliography"/>
      </w:pPr>
      <w:r>
        <w:t xml:space="preserve">13.</w:t>
      </w:r>
      <w:r>
        <w:t xml:space="preserve"> </w:t>
      </w:r>
      <w:r>
        <w:t xml:space="preserve">	</w:t>
      </w:r>
      <w:r>
        <w:t xml:space="preserve">Braakhekke MC, Beer C, Hoosbeek MR, Reichstein M, Kruijt B, Schrumpf M, et al.</w:t>
      </w:r>
      <w:r>
        <w:t xml:space="preserve"> </w:t>
      </w:r>
      <w:r>
        <w:t xml:space="preserve">SOMPROF</w:t>
      </w:r>
      <w:r>
        <w:t xml:space="preserve">: A vertically explicit soil organic matter model. Ecological Modelling. 2011;222: 1712–1730. doi:</w:t>
      </w:r>
      <w:hyperlink r:id="rId76">
        <w:r>
          <w:rPr>
            <w:rStyle w:val="Hyperlink"/>
          </w:rPr>
          <w:t xml:space="preserve">10.1016/j.ecolmodel.2011.02.015</w:t>
        </w:r>
      </w:hyperlink>
    </w:p>
    <w:bookmarkEnd w:id="77"/>
    <w:bookmarkStart w:id="79" w:name="ref-Gale1987"/>
    <w:p>
      <w:pPr>
        <w:pStyle w:val="Bibliography"/>
      </w:pPr>
      <w:r>
        <w:t xml:space="preserve">14.</w:t>
      </w:r>
      <w:r>
        <w:t xml:space="preserve"> </w:t>
      </w:r>
      <w:r>
        <w:t xml:space="preserve">	</w:t>
      </w:r>
      <w:r>
        <w:t xml:space="preserve">Gale MR, Grigal DF. Vertical root distributions of northern tree species in relation to successional status. Canadian Journal of Forest Research. 1987;17: 829–834. doi:</w:t>
      </w:r>
      <w:hyperlink r:id="rId78">
        <w:r>
          <w:rPr>
            <w:rStyle w:val="Hyperlink"/>
          </w:rPr>
          <w:t xml:space="preserve">10.1139/x87-131</w:t>
        </w:r>
      </w:hyperlink>
    </w:p>
    <w:bookmarkEnd w:id="79"/>
    <w:bookmarkStart w:id="81" w:name="ref-Jackson1996"/>
    <w:p>
      <w:pPr>
        <w:pStyle w:val="Bibliography"/>
      </w:pPr>
      <w:r>
        <w:t xml:space="preserve">15.</w:t>
      </w:r>
      <w:r>
        <w:t xml:space="preserve"> </w:t>
      </w:r>
      <w:r>
        <w:t xml:space="preserve">	</w:t>
      </w:r>
      <w:r>
        <w:t xml:space="preserve">Jackson RB, Canadell J, Ehleringer JR, Mooney HA, Sala OE, Schulze ED. A global analysis of root distributions for terrestrial biomes. Oecologia. 1996;108: 389–411. doi:</w:t>
      </w:r>
      <w:hyperlink r:id="rId80">
        <w:r>
          <w:rPr>
            <w:rStyle w:val="Hyperlink"/>
          </w:rPr>
          <w:t xml:space="preserve">10.1007/BF00333714</w:t>
        </w:r>
      </w:hyperlink>
    </w:p>
    <w:bookmarkEnd w:id="81"/>
    <w:bookmarkStart w:id="83" w:name="ref-Cambardella1994"/>
    <w:p>
      <w:pPr>
        <w:pStyle w:val="Bibliography"/>
      </w:pPr>
      <w:r>
        <w:t xml:space="preserve">16.</w:t>
      </w:r>
      <w:r>
        <w:t xml:space="preserve"> </w:t>
      </w:r>
      <w:r>
        <w:t xml:space="preserve">	</w:t>
      </w:r>
      <w:r>
        <w:t xml:space="preserve">Cambardella CA, Moorman TB, Novak JM, Parkin TB, Karlen DL, Turco RF, et al. Field-scale variability of soil properties in central iowa soils. Soil Science Society of America Journal. 1994;58: 1501–1511. doi:</w:t>
      </w:r>
      <w:hyperlink r:id="rId82">
        <w:r>
          <w:rPr>
            <w:rStyle w:val="Hyperlink"/>
          </w:rPr>
          <w:t xml:space="preserve">10.2136/sssaj1994.03615995005800050033x</w:t>
        </w:r>
      </w:hyperlink>
    </w:p>
    <w:bookmarkEnd w:id="83"/>
    <w:bookmarkStart w:id="85" w:name="ref-Hassink1997"/>
    <w:p>
      <w:pPr>
        <w:pStyle w:val="Bibliography"/>
      </w:pPr>
      <w:r>
        <w:t xml:space="preserve">17.</w:t>
      </w:r>
      <w:r>
        <w:t xml:space="preserve"> </w:t>
      </w:r>
      <w:r>
        <w:t xml:space="preserve">	</w:t>
      </w:r>
      <w:r>
        <w:t xml:space="preserve">Hassink J. The capacity of soils to preserve organic c and n by their association with clay and silt particles. Plant and Soil. 1997;191: 77–87. doi:</w:t>
      </w:r>
      <w:hyperlink r:id="rId84">
        <w:r>
          <w:rPr>
            <w:rStyle w:val="Hyperlink"/>
          </w:rPr>
          <w:t xml:space="preserve">10.1023/A:1004213929699</w:t>
        </w:r>
      </w:hyperlink>
    </w:p>
    <w:bookmarkEnd w:id="85"/>
    <w:bookmarkStart w:id="87" w:name="ref-Jobbagy2000"/>
    <w:p>
      <w:pPr>
        <w:pStyle w:val="Bibliography"/>
      </w:pPr>
      <w:r>
        <w:t xml:space="preserve">18.</w:t>
      </w:r>
      <w:r>
        <w:t xml:space="preserve"> </w:t>
      </w:r>
      <w:r>
        <w:t xml:space="preserve">	</w:t>
      </w:r>
      <w:r>
        <w:t xml:space="preserve">Jobbágy EG, Jackson RB. The vertical distribution of soil organic carbon and its relation to climate and vegetation. Ecological Applications. 2000;10: 423–436. doi:</w:t>
      </w:r>
      <w:hyperlink r:id="rId86">
        <w:r>
          <w:rPr>
            <w:rStyle w:val="Hyperlink"/>
          </w:rPr>
          <w:t xml:space="preserve">10.1890/1051-0761(2000)010[0423:TVDOSO]2.0.CO;2</w:t>
        </w:r>
      </w:hyperlink>
    </w:p>
    <w:bookmarkEnd w:id="87"/>
    <w:bookmarkStart w:id="89" w:name="ref-Roberts2017"/>
    <w:p>
      <w:pPr>
        <w:pStyle w:val="Bibliography"/>
      </w:pPr>
      <w:r>
        <w:t xml:space="preserve">19.</w:t>
      </w:r>
      <w:r>
        <w:t xml:space="preserve"> </w:t>
      </w:r>
      <w:r>
        <w:t xml:space="preserve">	</w:t>
      </w:r>
      <w:r>
        <w:t xml:space="preserve">Roberts DR, Bahn V, Ciuti S, Boyce MS, Elith J, Guillera-Arroita G, et al. Cross-validation strategies for data with temporal, spatial, hierarchical, or phylogenetic structure. Ecography. 2017;40: 913–929. doi:</w:t>
      </w:r>
      <w:hyperlink r:id="rId88">
        <w:r>
          <w:rPr>
            <w:rStyle w:val="Hyperlink"/>
          </w:rPr>
          <w:t xml:space="preserve">10.1111/ecog.02881</w:t>
        </w:r>
      </w:hyperlink>
    </w:p>
    <w:bookmarkEnd w:id="89"/>
    <w:bookmarkStart w:id="91" w:name="ref-CinelliHazlett2020"/>
    <w:p>
      <w:pPr>
        <w:pStyle w:val="Bibliography"/>
      </w:pPr>
      <w:r>
        <w:t xml:space="preserve">20.</w:t>
      </w:r>
      <w:r>
        <w:t xml:space="preserve"> </w:t>
      </w:r>
      <w:r>
        <w:t xml:space="preserve">	</w:t>
      </w:r>
      <w:r>
        <w:t xml:space="preserve">Cinelli C, Hazlett C. Making sense of sensitivity: Extending omitted variable bias. Journal of the Royal Statistical Society: Series B. 2020;82: 39–67. doi:</w:t>
      </w:r>
      <w:hyperlink r:id="rId90">
        <w:r>
          <w:rPr>
            <w:rStyle w:val="Hyperlink"/>
          </w:rPr>
          <w:t xml:space="preserve">10.1111/rssb.12348</w:t>
        </w:r>
      </w:hyperlink>
    </w:p>
    <w:bookmarkEnd w:id="91"/>
    <w:bookmarkEnd w:id="92"/>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jae.2656" TargetMode="External" /><Relationship Type="http://schemas.openxmlformats.org/officeDocument/2006/relationships/hyperlink" Id="rId60" Target="https://doi.org/10.1002/joc.5086" TargetMode="External" /><Relationship Type="http://schemas.openxmlformats.org/officeDocument/2006/relationships/hyperlink" Id="rId80" Target="https://doi.org/10.1007/BF00333714" TargetMode="External" /><Relationship Type="http://schemas.openxmlformats.org/officeDocument/2006/relationships/hyperlink" Id="rId52" Target="https://doi.org/10.1016/S0016-7061(03)00223-4" TargetMode="External" /><Relationship Type="http://schemas.openxmlformats.org/officeDocument/2006/relationships/hyperlink" Id="rId64" Target="https://doi.org/10.1016/S0016-7061(99)00003-8" TargetMode="External" /><Relationship Type="http://schemas.openxmlformats.org/officeDocument/2006/relationships/hyperlink" Id="rId54" Target="https://doi.org/10.1016/j.earscirev.2020.103359" TargetMode="External" /><Relationship Type="http://schemas.openxmlformats.org/officeDocument/2006/relationships/hyperlink" Id="rId76" Target="https://doi.org/10.1016/j.ecolmodel.2011.02.015" TargetMode="External" /><Relationship Type="http://schemas.openxmlformats.org/officeDocument/2006/relationships/hyperlink" Id="rId66" Target="https://doi.org/10.1016/j.geoderma.2009.10.007" TargetMode="External" /><Relationship Type="http://schemas.openxmlformats.org/officeDocument/2006/relationships/hyperlink" Id="rId72" Target="https://doi.org/10.1016/j.geoderma.2015.07.017" TargetMode="External" /><Relationship Type="http://schemas.openxmlformats.org/officeDocument/2006/relationships/hyperlink" Id="rId84" Target="https://doi.org/10.1023/A:1004213929699" TargetMode="External" /><Relationship Type="http://schemas.openxmlformats.org/officeDocument/2006/relationships/hyperlink" Id="rId88" Target="https://doi.org/10.1111/ecog.02881" TargetMode="External" /><Relationship Type="http://schemas.openxmlformats.org/officeDocument/2006/relationships/hyperlink" Id="rId56" Target="https://doi.org/10.1111/ejss.70284" TargetMode="External" /><Relationship Type="http://schemas.openxmlformats.org/officeDocument/2006/relationships/hyperlink" Id="rId90" Target="https://doi.org/10.1111/rssb.12348" TargetMode="External" /><Relationship Type="http://schemas.openxmlformats.org/officeDocument/2006/relationships/hyperlink" Id="rId78" Target="https://doi.org/10.1139/x87-131" TargetMode="External" /><Relationship Type="http://schemas.openxmlformats.org/officeDocument/2006/relationships/hyperlink" Id="rId70" Target="https://doi.org/10.1198/016214506000001437" TargetMode="External" /><Relationship Type="http://schemas.openxmlformats.org/officeDocument/2006/relationships/hyperlink" Id="rId62" Target="https://doi.org/10.1371/journal.pone.0169748" TargetMode="External" /><Relationship Type="http://schemas.openxmlformats.org/officeDocument/2006/relationships/hyperlink" Id="rId86" Target="https://doi.org/10.1890/1051-0761(2000)010[0423:TVDOSO]2.0.CO;2" TargetMode="External" /><Relationship Type="http://schemas.openxmlformats.org/officeDocument/2006/relationships/hyperlink" Id="rId82" Target="https://doi.org/10.2136/sssaj1994.03615995005800050033x" TargetMode="External" /><Relationship Type="http://schemas.openxmlformats.org/officeDocument/2006/relationships/hyperlink" Id="rId74" Target="https://doi.org/10.2136/sssaj1995.03615995005900050019x"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2026-08-11T13:29:09Z</dcterms:created>
  <dcterms:modified xsi:type="dcterms:W3CDTF">2026-08-11T13:29:09Z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