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writing the mechanism down pays: the depth-profile equation dy/dz = −λ₀e^(−μz)(y − y∞) has a closed-form solution whose deep limit is not y∞, and estimating it in the identified, positive coordinates the solution implies removes a physically inadmissible fit in 56% of 207 multi-horizon profiles — 113 of which had a decay rate that grew exponentially with depth — while narrowing the interval on the attainable deep carbon concentration by a factor of 5.5 and moving it out of negative territory.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fitted either by regularised least squares or with a posterior over its parameters.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the mechanism down repays the effort most directly, because the equation can be solved rather than approximated, and the solution says something the equation’s symbols do not.</w:t>
      </w:r>
    </w:p>
    <w:p>
      <w:pPr>
        <w:pStyle w:val="BodyText"/>
      </w:pPr>
      <w:r>
        <w:rPr>
          <w:b/>
          <w:bCs/>
        </w:rPr>
        <w:t xml:space="preserve">The equation has a closed form, and it does not converge to y∞.</w:t>
      </w:r>
      <w:r>
        <w:t xml:space="preserve"> </w:t>
      </w:r>
      <w:r>
        <w:t xml:space="preserve">Separating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f>
                <m:fPr>
                  <m:type m:val="bar"/>
                </m:fPr>
                <m:num>
                  <m:sSub>
                    <m:e>
                      <m:r>
                        <m:t>λ</m:t>
                      </m:r>
                    </m:e>
                    <m:sub>
                      <m:r>
                        <m:t>0</m:t>
                      </m:r>
                    </m:sub>
                  </m:sSub>
                </m:num>
                <m:den>
                  <m:r>
                    <m:t>μ</m:t>
                  </m:r>
                </m:den>
              </m:f>
              <m:d>
                <m:dPr>
                  <m:begChr m:val="("/>
                  <m:sepChr m:val=""/>
                  <m:endChr m:val=")"/>
                  <m:grow/>
                </m:dPr>
                <m:e>
                  <m:r>
                    <m:t>1</m:t>
                  </m:r>
                  <m:r>
                    <m:rPr>
                      <m:sty m:val="p"/>
                    </m:rPr>
                    <m:t>−</m:t>
                  </m:r>
                  <m:sSup>
                    <m:e>
                      <m:r>
                        <m:t>e</m:t>
                      </m:r>
                    </m:e>
                    <m:sup>
                      <m:r>
                        <m:rPr>
                          <m:sty m:val="p"/>
                        </m:rPr>
                        <m:t>−</m:t>
                      </m:r>
                      <m:r>
                        <m:t>μ</m:t>
                      </m:r>
                      <m:r>
                        <m:t>z</m:t>
                      </m:r>
                    </m:sup>
                  </m:sSup>
                </m:e>
              </m:d>
            </m:e>
          </m:d>
          <m:r>
            <m:rPr>
              <m:sty m:val="p"/>
            </m:rPr>
            <m:t>,</m:t>
          </m:r>
        </m:oMath>
      </m:oMathPara>
    </w:p>
    <w:p>
      <w:pPr>
        <w:pStyle w:val="FirstParagraph"/>
      </w:pPr>
      <w:r>
        <w:t xml:space="preserve">so that, writing κ = λ₀/μ,</w:t>
      </w:r>
    </w:p>
    <w:p>
      <w:pPr>
        <w:pStyle w:val="BodyText"/>
      </w:pPr>
      <m:oMathPara>
        <m:oMathParaPr>
          <m:jc m:val="center"/>
        </m:oMathParaP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t> </m:t>
          </m:r>
          <m:sSup>
            <m:e>
              <m:r>
                <m:t>e</m:t>
              </m:r>
            </m:e>
            <m:sup>
              <m:r>
                <m:rPr>
                  <m:sty m:val="p"/>
                </m:rPr>
                <m:t>−</m:t>
              </m:r>
              <m:r>
                <m:t>κ</m:t>
              </m:r>
            </m:sup>
          </m:sSup>
          <m:r>
            <m:rPr>
              <m:sty m:val="p"/>
            </m:rPr>
            <m:t>.</m:t>
          </m:r>
        </m:oMath>
      </m:oMathPara>
    </w:p>
    <w:p>
      <w:pPr>
        <w:pStyle w:val="FirstParagraph"/>
      </w:pPr>
      <w:r>
        <w:t xml:space="preserve">The profile does not reach y∞. Because the rate λ(z) = λ₀e^(−μz) decays with depth, the exponent saturates at −κ and the profile traverses only a fraction 1 − e^(−κ) of the y₀ → y∞ gap before the dynamics run out. The symbol y∞ is an equilibrium coordinate of the differential equation, not a soil property; the attainable deep value is y(∞). Across 207 multi-horizon WoSIS profiles the median κ is 2.19, meaning the median profile closes 89% of its gap and stops.</w:t>
      </w:r>
    </w:p>
    <w:p>
      <w:pPr>
        <w:pStyle w:val="BodyText"/>
      </w:pPr>
      <w:r>
        <w:t xml:space="preserve">The distinction is not cosmetic. On the pedon distributed with the package, y∞ is −5.9 g/kg — an impossible negative carbon concentration — while the value the profile actually approaches is +0.70 g/kg. Reporting the former as</w:t>
      </w:r>
      <w:r>
        <w:t xml:space="preserve"> </w:t>
      </w:r>
      <w:r>
        <w:t xml:space="preserve">“the deep asymptote”</w:t>
      </w:r>
      <w:r>
        <w:t xml:space="preserve">, as earlier versions of this package did, reports a coordinate no soil ever occupies.</w:t>
      </w:r>
    </w:p>
    <w:p>
      <w:pPr>
        <w:pStyle w:val="BodyText"/>
      </w:pPr>
      <w:r>
        <w:rPr>
          <w:b/>
          <w:bCs/>
        </w:rPr>
        <w:t xml:space="preserve">Estimating what the data identify.</w:t>
      </w:r>
      <w:r>
        <w:t xml:space="preserve"> </w:t>
      </w:r>
      <w:r>
        <w:t xml:space="preserve">Three consequences follow, and the pillar is built around them. First, λ₀ and μ are near-collinear: the likelihood constrains their ratio κ far better than either alone. Second, y∞ enters the solution only through the combination above, so a prior on y∞ is a prior on an unattained quantity that leaks into the fit through a ratio the data barely determine. Third, nothing in the free-sign parameterisation kept μ ≥ 0 or the concentrations positive. We therefore estimate the model in the coordinates (y₀, A, κ, μ), where A = y(∞), all four exponentiated, and recover λ₀ and y∞ for reporting.</w:t>
      </w:r>
    </w:p>
    <w:p>
      <w:pPr>
        <w:pStyle w:val="BodyText"/>
      </w:pPr>
      <w:r>
        <w:t xml:space="preserve">Fitting all 207 WoSIS profiles under each parameterisation measures what this buys. Under the original coordinates, 116 profiles (56%) returned a physically inadmissible fit: 113 had μ &lt; 0, a decay rate that</w:t>
      </w:r>
      <w:r>
        <w:t xml:space="preserve"> </w:t>
      </w:r>
      <w:r>
        <w:rPr>
          <w:i/>
          <w:iCs/>
        </w:rPr>
        <w:t xml:space="preserve">grows</w:t>
      </w:r>
      <w:r>
        <w:t xml:space="preserve"> </w:t>
      </w:r>
      <w:r>
        <w:t xml:space="preserve">exponentially with depth, and two had negative surface carbon. Under the positive coordinates, none do, while the four genuinely ascending profiles — argillic clay increasing with depth — are still fitted as such. Solving the equation rather than integrating it numerically is also 281 times faster and agrees with the integrator to 4 × 10⁻⁵ g/kg, which is what makes the horizon-average operator below affordable.</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0.02741   mu = 0.01458</w:t>
      </w:r>
      <w:r>
        <w:br/>
      </w:r>
      <w:r>
        <w:rPr>
          <w:rStyle w:val="CommentTok"/>
        </w:rPr>
        <w:t xml:space="preserve">#&gt;   y0      = 37.27     y(Inf) = 0.7042     (kappa = 1.88)</w:t>
      </w:r>
      <w:r>
        <w:br/>
      </w:r>
      <w:r>
        <w:rPr>
          <w:rStyle w:val="CommentTok"/>
        </w:rPr>
        <w:t xml:space="preserve">#&gt;   y_inf   = -5.883    (ODE coordinate, not the attained value)</w:t>
      </w:r>
      <w:r>
        <w:br/>
      </w:r>
      <w:r>
        <w:rPr>
          <w:rStyle w:val="CommentTok"/>
        </w:rPr>
        <w:t xml:space="preserve">#&gt;   n obs   = 7 (point)        rmse = 0.2689</w:t>
      </w:r>
      <w:r>
        <w:br/>
      </w:r>
      <w:r>
        <w:rPr>
          <w:rStyle w:val="CommentTok"/>
        </w:rPr>
        <w:t xml:space="preserve">#&gt;   converged = TRUE</w:t>
      </w:r>
    </w:p>
    <w:p>
      <w:pPr>
        <w:pStyle w:val="FirstParagraph"/>
      </w:pPr>
      <w:r>
        <w:t xml:space="preserve">Table 2 gives the posterior.</w:t>
      </w:r>
    </w:p>
    <w:p>
      <w:pPr>
        <w:pStyle w:val="BodyText"/>
      </w:pPr>
      <w:r>
        <w:rPr>
          <w:b/>
          <w:bCs/>
        </w:rPr>
        <w:t xml:space="preserve">Table 2. Posterior summary of the pedogenetic equation’s parameters.</w:t>
      </w:r>
      <w:r>
        <w:t xml:space="preserve"> </w:t>
      </w:r>
      <w:r>
        <w:t xml:space="preserve">Laplace approximation over the seven-horizon pedon distributed with the package. Intervals are 2.5% and 97.5% posterior quantiles. The first four rows are the equation’s symbols; the last two are the coordinates the model is estimated in.</w:t>
      </w:r>
    </w:p>
    <w:tbl>
      <w:tblPr>
        <w:tblStyle w:val="Table"/>
        <w:tblW w:type="pct" w:w="5000"/>
        <w:tblLayout w:type="fixed"/>
        <w:tblLook w:firstRow="1" w:lastRow="0" w:firstColumn="0" w:lastColumn="0" w:noHBand="0" w:noVBand="0" w:val="0020"/>
      </w:tblPr>
      <w:tblGrid>
        <w:gridCol w:w="720"/>
        <w:gridCol w:w="4896"/>
        <w:gridCol w:w="648"/>
        <w:gridCol w:w="576"/>
        <w:gridCol w:w="576"/>
        <w:gridCol w:w="50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0.0255</w:t>
            </w:r>
          </w:p>
        </w:tc>
        <w:tc>
          <w:tcPr/>
          <w:p>
            <w:pPr>
              <w:pStyle w:val="Compact"/>
              <w:jc w:val="right"/>
            </w:pPr>
            <w:r>
              <w:t xml:space="preserve">0.0068</w:t>
            </w:r>
          </w:p>
        </w:tc>
        <w:tc>
          <w:tcPr/>
          <w:p>
            <w:pPr>
              <w:pStyle w:val="Compact"/>
              <w:jc w:val="right"/>
            </w:pPr>
            <w:r>
              <w:t xml:space="preserve">0.015</w:t>
            </w:r>
          </w:p>
        </w:tc>
        <w:tc>
          <w:tcPr/>
          <w:p>
            <w:pPr>
              <w:pStyle w:val="Compact"/>
              <w:jc w:val="right"/>
            </w:pPr>
            <w:r>
              <w:t xml:space="preserve">0.041</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0.0191</w:t>
            </w:r>
          </w:p>
        </w:tc>
        <w:tc>
          <w:tcPr/>
          <w:p>
            <w:pPr>
              <w:pStyle w:val="Compact"/>
              <w:jc w:val="right"/>
            </w:pPr>
            <w:r>
              <w:t xml:space="preserve">0.0051</w:t>
            </w:r>
          </w:p>
        </w:tc>
        <w:tc>
          <w:tcPr/>
          <w:p>
            <w:pPr>
              <w:pStyle w:val="Compact"/>
              <w:jc w:val="right"/>
            </w:pPr>
            <w:r>
              <w:t xml:space="preserve">0.011</w:t>
            </w:r>
          </w:p>
        </w:tc>
        <w:tc>
          <w:tcPr/>
          <w:p>
            <w:pPr>
              <w:pStyle w:val="Compact"/>
              <w:jc w:val="right"/>
            </w:pPr>
            <w:r>
              <w:t xml:space="preserve">0.030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-14.8356</w:t>
            </w:r>
          </w:p>
        </w:tc>
        <w:tc>
          <w:tcPr/>
          <w:p>
            <w:pPr>
              <w:pStyle w:val="Compact"/>
              <w:jc w:val="right"/>
            </w:pPr>
            <w:r>
              <w:t xml:space="preserve">12.9510</w:t>
            </w:r>
          </w:p>
        </w:tc>
        <w:tc>
          <w:tcPr/>
          <w:p>
            <w:pPr>
              <w:pStyle w:val="Compact"/>
              <w:jc w:val="right"/>
            </w:pPr>
            <w:r>
              <w:t xml:space="preserve">-48.966</w:t>
            </w:r>
          </w:p>
        </w:tc>
        <w:tc>
          <w:tcPr/>
          <w:p>
            <w:pPr>
              <w:pStyle w:val="Compact"/>
              <w:jc w:val="right"/>
            </w:pPr>
            <w:r>
              <w:t xml:space="preserve">-0.186</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37.3936</w:t>
            </w:r>
          </w:p>
        </w:tc>
        <w:tc>
          <w:tcPr/>
          <w:p>
            <w:pPr>
              <w:pStyle w:val="Compact"/>
              <w:jc w:val="right"/>
            </w:pPr>
            <w:r>
              <w:t xml:space="preserve">0.5527</w:t>
            </w:r>
          </w:p>
        </w:tc>
        <w:tc>
          <w:tcPr/>
          <w:p>
            <w:pPr>
              <w:pStyle w:val="Compact"/>
              <w:jc w:val="right"/>
            </w:pPr>
            <w:r>
              <w:t xml:space="preserve">36.318</w:t>
            </w:r>
          </w:p>
        </w:tc>
        <w:tc>
          <w:tcPr/>
          <w:p>
            <w:pPr>
              <w:pStyle w:val="Compact"/>
              <w:jc w:val="right"/>
            </w:pPr>
            <w:r>
              <w:t xml:space="preserve">38.486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1.5296</w:t>
            </w:r>
          </w:p>
        </w:tc>
        <w:tc>
          <w:tcPr/>
          <w:p>
            <w:pPr>
              <w:pStyle w:val="Compact"/>
              <w:jc w:val="right"/>
            </w:pPr>
            <w:r>
              <w:t xml:space="preserve">0.8601</w:t>
            </w:r>
          </w:p>
        </w:tc>
        <w:tc>
          <w:tcPr/>
          <w:p>
            <w:pPr>
              <w:pStyle w:val="Compact"/>
              <w:jc w:val="right"/>
            </w:pPr>
            <w:r>
              <w:t xml:space="preserve">0.505</w:t>
            </w:r>
          </w:p>
        </w:tc>
        <w:tc>
          <w:tcPr/>
          <w:p>
            <w:pPr>
              <w:pStyle w:val="Compact"/>
              <w:jc w:val="right"/>
            </w:pPr>
            <w:r>
              <w:t xml:space="preserve">3.810</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1.6013</w:t>
            </w:r>
          </w:p>
        </w:tc>
        <w:tc>
          <w:tcPr/>
          <w:p>
            <w:pPr>
              <w:pStyle w:val="Compact"/>
              <w:jc w:val="right"/>
            </w:pPr>
            <w:r>
              <w:t xml:space="preserve">0.8816</w:t>
            </w:r>
          </w:p>
        </w:tc>
        <w:tc>
          <w:tcPr/>
          <w:p>
            <w:pPr>
              <w:pStyle w:val="Compact"/>
              <w:jc w:val="right"/>
            </w:pPr>
            <w:r>
              <w:t xml:space="preserve">0.499</w:t>
            </w:r>
          </w:p>
        </w:tc>
        <w:tc>
          <w:tcPr/>
          <w:p>
            <w:pPr>
              <w:pStyle w:val="Compact"/>
              <w:jc w:val="right"/>
            </w:pPr>
            <w:r>
              <w:t xml:space="preserve">3.779</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seven measured horizons (points), with the attained deep value y(∞) and the unattained coordinate y∞ marked. (B) Posterior mean and 95% interval for each parameter; the attainable deep value is identified and strictly positive, while y∞ is not identified and lies entirely below zero.</w:t>
      </w:r>
    </w:p>
    <w:p>
      <w:pPr>
        <w:pStyle w:val="BodyText"/>
      </w:pPr>
      <w:r>
        <w:t xml:space="preserve">The surface concentration y₀ is tightly determined, at 37.39 g/kg with an interval of 1.2 g/kg. The attainable deep value is identified and admissible: 1.60 g/kg, interval [0.50, 3.78]. The coordinate y∞ is not identified at all — its interval, [−48.97, −0.19], is 14.8 times wider and lies entirely in impossible territory. Against what earlier versions of the package reported as the asymptote, [−11.93, 6.03], the interval on the attainable value is 5.5 times narrower and no longer covers impossible values. Seven horizons in the upper metre do constrain where the profile is heading; what they cannot do is locate a coordinate the profile never visits. Estimating the attainable value directly is what converts an interval spanning negative carbon into one that a soil scientist can act on.</w:t>
      </w:r>
    </w:p>
    <w:p>
      <w:pPr>
        <w:pStyle w:val="BodyText"/>
      </w:pPr>
      <w:r>
        <w:t xml:space="preserve">This also disciplines what depends on it. The package’s active-learning physics gate builds an admissibility envelope from a profile fit; built from y∞ it certified an SOC of −10 g/kg as plausible while rejecting 178 of 399 legitimate candidates. Built from y(∞) it rejects the negative value and 89 of 399 — still too many, because one pedon’s dynamics should not constrain a regional map, but no longer incoherent.</w:t>
      </w:r>
    </w:p>
    <w:p>
      <w:pPr>
        <w:pStyle w:val="BodyText"/>
      </w:pPr>
      <w:r>
        <w:rPr>
          <w:b/>
          <w:bCs/>
        </w:rPr>
        <w:t xml:space="preserve">The observation operator.</w:t>
      </w:r>
      <w:r>
        <w:t xml:space="preserve"> </w:t>
      </w:r>
      <w:r>
        <w:t xml:space="preserve">A laboratory value is the average of a property over a horizon, not a point reading at its mid-depth; matching the model’s point evaluation to it is a mis-specified operator, the same problem equal-area splines address explicitly</w:t>
      </w:r>
      <w:r>
        <w:t xml:space="preserve"> </w:t>
      </w:r>
      <w:r>
        <w:t xml:space="preserve">[7,8]</w:t>
      </w:r>
      <w:r>
        <w:t xml:space="preserve">. Because the solution is closed-form, the depth-average over each horizon is available by eight-node Gauss–Legendre quadrature at negligible cost, and</w:t>
      </w:r>
      <w:r>
        <w:t xml:space="preserve"> </w:t>
      </w:r>
      <w:r>
        <w:rPr>
          <w:rStyle w:val="VerbatimChar"/>
        </w:rPr>
        <w:t xml:space="preserve">piml_profile_fit()</w:t>
      </w:r>
      <w:r>
        <w:t xml:space="preserve"> </w:t>
      </w:r>
      <w:r>
        <w:t xml:space="preserve">uses it whenever horizon boundaries are supplied. The bias it removes follows the mid-point rule, f’’(z)h²/24: quadratic in horizon thickness but proportional to curvature, and curvature collapses with depth. The correction therefore lands almost entirely on the surface horizons — across the 207 profiles it moves the fitted y₀ by a median 0.25 g/kg and the deep value by 0.03.</w:t>
      </w:r>
    </w:p>
    <w:p>
      <w:pPr>
        <w:pStyle w:val="BodyText"/>
      </w:pPr>
      <w:r>
        <w:rPr>
          <w:b/>
          <w:bCs/>
        </w:rPr>
        <w:t xml:space="preserve">What the depth attenuation buys, and what it does not.</w:t>
      </w:r>
      <w:r>
        <w:t xml:space="preserve"> </w:t>
      </w:r>
      <w:r>
        <w:t xml:space="preserve">We tested μ against its own null by leaving the deepest horizon out of each of the 207 profiles and predicting it from the rest, comparing the full equation with its nested μ = 0 special case, the plain exponential. The result is split and we report both halves. The full model predicts the held-out horizon better on 154 profiles against 53 (Wilcoxon paired p &lt; 0.001), so on a typical profile the depth-decaying rate earns its parameter. But its root-mean-square error over the same 207 predictions is worse — 2.92 against 2.50 g/kg — because when the extra flexibility fails it fails by more. The honest summary is that μ improves the median profile and degrades the tail, which is a reason to report the extrapolation diagnostic (below) rather than a reason to prefer either model unconditionally.</w:t>
      </w:r>
    </w:p>
    <w:p>
      <w:pPr>
        <w:pStyle w:val="BodyText"/>
      </w:pPr>
      <w:r>
        <w:t xml:space="preserve">That diagnostic is the second thing the closed form makes cheap.</w:t>
      </w:r>
      <w:r>
        <w:t xml:space="preserve"> </w:t>
      </w:r>
      <w:r>
        <w:rPr>
          <w:rStyle w:val="VerbatimChar"/>
        </w:rPr>
        <w:t xml:space="preserve">piml_profile_fit()</w:t>
      </w:r>
      <w:r>
        <w:t xml:space="preserve"> </w:t>
      </w:r>
      <w:r>
        <w:t xml:space="preserve">reports how far down the y₀ → y(∞) journey the deepest horizon actually travelled. Where that fraction is small the deep value is not an estimate but wherever the fitted curve happens to point, and the package says so instead of printing the number unqualified. On the</w:t>
      </w:r>
      <w:r>
        <w:t xml:space="preserve"> </w:t>
      </w:r>
      <w:r>
        <w:rPr>
          <w:rStyle w:val="VerbatimChar"/>
        </w:rPr>
        <w:t xml:space="preserve">aqp::sp4</w:t>
      </w:r>
      <w:r>
        <w:t xml:space="preserve"> </w:t>
      </w:r>
      <w:r>
        <w:t xml:space="preserve">reference pedons it flags two of ten — both with three or four horizons in the top 42 cm and clay still rising at the deepest one — and on neither does the four-parameter equation improve on a two-parameter straight line (root-mean-square error 3.018 against 3.016, and 0.839 against 0.836). Earlier versions returned a plausible-looking asymptote for one of them, 61.9% clay; that value was not estimated from the data but imposed by an L2 penalty applied to the raw y∞, which scaled with the square of the property’s units. With the penalty removed the same four horizons give 533%. The regulariser is now a scale-free shrinkage toward the observed range, and an unidentified asymptote is reported as unidentified.</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4 shows both halves of the pillar on a real Cerrado cube.</w:t>
      </w:r>
    </w:p>
    <w:p>
      <w:pPr>
        <w:pStyle w:val="BodyText"/>
      </w:pPr>
      <w:r>
        <w:drawing>
          <wp:inline>
            <wp:extent cx="5334000" cy="4312595"/>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4.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5 shows what the objective does and what the resulting embedding organises by.</w:t>
      </w:r>
    </w:p>
    <w:p>
      <w:pPr>
        <w:pStyle w:val="BodyText"/>
      </w:pPr>
      <w:r>
        <w:drawing>
          <wp:inline>
            <wp:extent cx="5334000" cy="4553414"/>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5.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6 shows the decision the pillar exists to make.</w:t>
      </w:r>
    </w:p>
    <w:p>
      <w:pPr>
        <w:pStyle w:val="BodyText"/>
      </w:pPr>
      <w:r>
        <w:drawing>
          <wp:inline>
            <wp:extent cx="5334000" cy="4741333"/>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6.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7 contrasts the resulting similarity structure with a Gaussian kernel on the same profiles.</w:t>
      </w:r>
    </w:p>
    <w:p>
      <w:pPr>
        <w:pStyle w:val="BodyText"/>
      </w:pPr>
      <w:r>
        <w:drawing>
          <wp:inline>
            <wp:extent cx="5334000" cy="4572000"/>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7.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8 shows the surface and, more importantly, its uncertainty.</w:t>
      </w:r>
    </w:p>
    <w:p>
      <w:pPr>
        <w:pStyle w:val="BodyText"/>
      </w:pPr>
      <w:r>
        <w:drawing>
          <wp:inline>
            <wp:extent cx="5334000" cy="4174434"/>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8.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9 shows the property that distinguishes an operator from a per-depth regression.</w:t>
      </w:r>
    </w:p>
    <w:p>
      <w:pPr>
        <w:pStyle w:val="BodyText"/>
      </w:pPr>
      <w:r>
        <w:drawing>
          <wp:inline>
            <wp:extent cx="5334000" cy="4713767"/>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9.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10 shows why this pillar needs a quantitative check rather than a visual one.</w:t>
      </w:r>
    </w:p>
    <w:p>
      <w:pPr>
        <w:pStyle w:val="BodyText"/>
      </w:pPr>
      <w:r>
        <w:drawing>
          <wp:inline>
            <wp:extent cx="5334000" cy="4589720"/>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10.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11 shows the graph that this pillar builds before any learning happens.</w:t>
      </w:r>
    </w:p>
    <w:p>
      <w:pPr>
        <w:pStyle w:val="BodyText"/>
      </w:pPr>
      <w:r>
        <w:drawing>
          <wp:inline>
            <wp:extent cx="5334000" cy="5470769"/>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11.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[9]</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3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3.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12 shows the same result geometrically, and makes the calibration and cost arguments that the accuracy column alone cannot.</w:t>
      </w:r>
    </w:p>
    <w:p>
      <w:pPr>
        <w:pStyle w:val="BodyText"/>
      </w:pPr>
      <w:r>
        <w:drawing>
          <wp:inline>
            <wp:extent cx="5334000" cy="4290391"/>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12.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3, whose bundle is bound to the current code by the test suite.</w:t>
      </w:r>
    </w:p>
    <w:p>
      <w:pPr>
        <w:pStyle w:val="Heading2"/>
      </w:pPr>
      <w:r>
        <w:t xml:space="preserve">Backdoor adjustment yields robust associations, and exposes confounding</w:t>
      </w:r>
    </w:p>
    <w:p>
      <w:pPr>
        <w:pStyle w:val="FirstParagraph"/>
      </w:pPr>
      <w:r>
        <w:t xml:space="preserve">Table 4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4.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13 shows the four exposures before and after adjustment, together with the confounding each estimate could withstand.</w:t>
      </w:r>
    </w:p>
    <w:p>
      <w:pPr>
        <w:pStyle w:val="BodyText"/>
      </w:pPr>
      <w:r>
        <w:drawing>
          <wp:inline>
            <wp:extent cx="5334000" cy="5053263"/>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13.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4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4,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49">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1">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3">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5">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57">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59">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1">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3">
        <w:r>
          <w:rPr>
            <w:rStyle w:val="Hyperlink"/>
          </w:rPr>
          <w:t xml:space="preserve">10.1016/j.geoderma.2009.10.007</w:t>
        </w:r>
      </w:hyperlink>
    </w:p>
    <w:p>
      <w:pPr>
        <w:pStyle w:val="Bibliography"/>
      </w:pPr>
      <w:r>
        <w:t xml:space="preserve">9.</w:t>
      </w:r>
      <w:r>
        <w:t xml:space="preserve"> </w:t>
      </w:r>
      <w:r>
        <w:t xml:space="preserve">	</w:t>
      </w:r>
      <w:r>
        <w:t xml:space="preserve">Cinelli C, Hazlett C. Making sense of sensitivity: Extending omitted variable bias. Journal of the Royal Statistical Society: Series B. 2020;82: 39–67. doi:</w:t>
      </w:r>
      <w:hyperlink r:id="rId65">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57" Target="https://doi.org/10.1002/joc.5086" TargetMode="External" /><Relationship Type="http://schemas.openxmlformats.org/officeDocument/2006/relationships/hyperlink" Id="rId49" Target="https://doi.org/10.1016/S0016-7061(03)00223-4" TargetMode="External" /><Relationship Type="http://schemas.openxmlformats.org/officeDocument/2006/relationships/hyperlink" Id="rId61" Target="https://doi.org/10.1016/S0016-7061(99)00003-8" TargetMode="External" /><Relationship Type="http://schemas.openxmlformats.org/officeDocument/2006/relationships/hyperlink" Id="rId51" Target="https://doi.org/10.1016/j.earscirev.2020.103359" TargetMode="External" /><Relationship Type="http://schemas.openxmlformats.org/officeDocument/2006/relationships/hyperlink" Id="rId63" Target="https://doi.org/10.1016/j.geoderma.2009.10.007" TargetMode="External" /><Relationship Type="http://schemas.openxmlformats.org/officeDocument/2006/relationships/hyperlink" Id="rId53" Target="https://doi.org/10.1111/ejss.70284" TargetMode="External" /><Relationship Type="http://schemas.openxmlformats.org/officeDocument/2006/relationships/hyperlink" Id="rId65" Target="https://doi.org/10.1111/rssb.12348" TargetMode="External" /><Relationship Type="http://schemas.openxmlformats.org/officeDocument/2006/relationships/hyperlink" Id="rId59" Target="https://doi.org/10.1371/journal.pone.0169748"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joc.5086" TargetMode="External" /><Relationship Type="http://schemas.openxmlformats.org/officeDocument/2006/relationships/hyperlink" Id="rId49" Target="https://doi.org/10.1016/S0016-7061(03)00223-4" TargetMode="External" /><Relationship Type="http://schemas.openxmlformats.org/officeDocument/2006/relationships/hyperlink" Id="rId61" Target="https://doi.org/10.1016/S0016-7061(99)00003-8" TargetMode="External" /><Relationship Type="http://schemas.openxmlformats.org/officeDocument/2006/relationships/hyperlink" Id="rId51" Target="https://doi.org/10.1016/j.earscirev.2020.103359" TargetMode="External" /><Relationship Type="http://schemas.openxmlformats.org/officeDocument/2006/relationships/hyperlink" Id="rId63" Target="https://doi.org/10.1016/j.geoderma.2009.10.007" TargetMode="External" /><Relationship Type="http://schemas.openxmlformats.org/officeDocument/2006/relationships/hyperlink" Id="rId53" Target="https://doi.org/10.1111/ejss.70284" TargetMode="External" /><Relationship Type="http://schemas.openxmlformats.org/officeDocument/2006/relationships/hyperlink" Id="rId65" Target="https://doi.org/10.1111/rssb.12348" TargetMode="External" /><Relationship Type="http://schemas.openxmlformats.org/officeDocument/2006/relationships/hyperlink" Id="rId59" Target="https://doi.org/10.1371/journal.pone.0169748"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2026-08-04T23:32:38Z</dcterms:created>
  <dcterms:modified xsi:type="dcterms:W3CDTF">2026-08-04T23:32:38Z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