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Three results follow. First,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Second, backdoor adjustment yields robust associations with explicit sensitivity bounds rather than identified causal effects, and adjustment collapses an apparent tree-cover association to near zero, demonstrating confounding directly. Third,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dy/dz = −λ₀ exp(−μz)(y − y∞), fitted either by regularised least squares or with a posterior over its four parameters.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0.02915   mu = 0.01171</w:t>
      </w:r>
      <w:r>
        <w:br/>
      </w:r>
      <w:r>
        <w:rPr>
          <w:rStyle w:val="CommentTok"/>
        </w:rPr>
        <w:t xml:space="preserve">#&gt;   y_inf   = -2.863    y0 = 37.16</w:t>
      </w:r>
      <w:r>
        <w:br/>
      </w:r>
      <w:r>
        <w:rPr>
          <w:rStyle w:val="CommentTok"/>
        </w:rPr>
        <w:t xml:space="preserve">#&gt;   n obs   = 7         rmse = 0.2739</w:t>
      </w:r>
      <w:r>
        <w:br/>
      </w:r>
      <w:r>
        <w:rPr>
          <w:rStyle w:val="CommentTok"/>
        </w:rPr>
        <w:t xml:space="preserve">#&gt;   converged = TRUE</w:t>
      </w:r>
    </w:p>
    <w:p>
      <w:pPr>
        <w:pStyle w:val="FirstParagraph"/>
      </w:pPr>
      <w:r>
        <w:t xml:space="preserve">The point fit reproduces the pedon closely — a root-mean-square error of 0.27 g/kg over seven horizons — and yet it reports a deep asymptote of −2.9 g/kg, a negative carbon concentration. The Bayesian layer explains why, and Table 2 gives its posterior.</w:t>
      </w:r>
    </w:p>
    <w:p>
      <w:pPr>
        <w:pStyle w:val="BodyText"/>
      </w:pPr>
      <w:r>
        <w:rPr>
          <w:b/>
          <w:bCs/>
        </w:rPr>
        <w:t xml:space="preserve">Table 2. Posterior summary of the pedogenetic equation’s parameters.</w:t>
      </w:r>
      <w:r>
        <w:t xml:space="preserve"> </w:t>
      </w:r>
      <w:r>
        <w:t xml:space="preserve">Laplace approximation over the seven-horizon pedon distributed with the package. Intervals are 2.5% and 97.5% posterior quantiles.</w:t>
      </w:r>
    </w:p>
    <w:tbl>
      <w:tblPr>
        <w:tblStyle w:val="Table"/>
        <w:tblW w:type="pct" w:w="5000"/>
        <w:tblLayout w:type="fixed"/>
        <w:tblLook w:firstRow="1" w:lastRow="0" w:firstColumn="0" w:lastColumn="0" w:noHBand="0" w:noVBand="0" w:val="0020"/>
      </w:tblPr>
      <w:tblGrid>
        <w:gridCol w:w="879"/>
        <w:gridCol w:w="4399"/>
        <w:gridCol w:w="703"/>
        <w:gridCol w:w="615"/>
        <w:gridCol w:w="703"/>
        <w:gridCol w:w="615"/>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0.0292</w:t>
            </w:r>
          </w:p>
        </w:tc>
        <w:tc>
          <w:tcPr/>
          <w:p>
            <w:pPr>
              <w:pStyle w:val="Compact"/>
              <w:jc w:val="right"/>
            </w:pPr>
            <w:r>
              <w:t xml:space="preserve">0.0031</w:t>
            </w:r>
          </w:p>
        </w:tc>
        <w:tc>
          <w:tcPr/>
          <w:p>
            <w:pPr>
              <w:pStyle w:val="Compact"/>
              <w:jc w:val="right"/>
            </w:pPr>
            <w:r>
              <w:t xml:space="preserve">0.024</w:t>
            </w:r>
          </w:p>
        </w:tc>
        <w:tc>
          <w:tcPr/>
          <w:p>
            <w:pPr>
              <w:pStyle w:val="Compact"/>
              <w:jc w:val="right"/>
            </w:pPr>
            <w:r>
              <w:t xml:space="preserve">0.036</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0.0121</w:t>
            </w:r>
          </w:p>
        </w:tc>
        <w:tc>
          <w:tcPr/>
          <w:p>
            <w:pPr>
              <w:pStyle w:val="Compact"/>
              <w:jc w:val="right"/>
            </w:pPr>
            <w:r>
              <w:t xml:space="preserve">0.0049</w:t>
            </w:r>
          </w:p>
        </w:tc>
        <w:tc>
          <w:tcPr/>
          <w:p>
            <w:pPr>
              <w:pStyle w:val="Compact"/>
              <w:jc w:val="right"/>
            </w:pPr>
            <w:r>
              <w:t xml:space="preserve">0.003</w:t>
            </w:r>
          </w:p>
        </w:tc>
        <w:tc>
          <w:tcPr/>
          <w:p>
            <w:pPr>
              <w:pStyle w:val="Compact"/>
              <w:jc w:val="right"/>
            </w:pPr>
            <w:r>
              <w:t xml:space="preserve">0.022</w:t>
            </w:r>
          </w:p>
        </w:tc>
      </w:tr>
      <w:tr>
        <w:tc>
          <w:tcPr/>
          <w:p>
            <w:pPr>
              <w:pStyle w:val="Compact"/>
              <w:jc w:val="left"/>
            </w:pPr>
            <w:r>
              <w:t xml:space="preserve">y_inf</w:t>
            </w:r>
          </w:p>
        </w:tc>
        <w:tc>
          <w:tcPr/>
          <w:p>
            <w:pPr>
              <w:pStyle w:val="Compact"/>
              <w:jc w:val="left"/>
            </w:pPr>
            <w:r>
              <w:t xml:space="preserve">Deep asymptote of soil organic carbon (g/kg)</w:t>
            </w:r>
          </w:p>
        </w:tc>
        <w:tc>
          <w:tcPr/>
          <w:p>
            <w:pPr>
              <w:pStyle w:val="Compact"/>
              <w:jc w:val="right"/>
            </w:pPr>
            <w:r>
              <w:t xml:space="preserve">-3.1566</w:t>
            </w:r>
          </w:p>
        </w:tc>
        <w:tc>
          <w:tcPr/>
          <w:p>
            <w:pPr>
              <w:pStyle w:val="Compact"/>
              <w:jc w:val="right"/>
            </w:pPr>
            <w:r>
              <w:t xml:space="preserve">4.5435</w:t>
            </w:r>
          </w:p>
        </w:tc>
        <w:tc>
          <w:tcPr/>
          <w:p>
            <w:pPr>
              <w:pStyle w:val="Compact"/>
              <w:jc w:val="right"/>
            </w:pPr>
            <w:r>
              <w:t xml:space="preserve">-11.934</w:t>
            </w:r>
          </w:p>
        </w:tc>
        <w:tc>
          <w:tcPr/>
          <w:p>
            <w:pPr>
              <w:pStyle w:val="Compact"/>
              <w:jc w:val="right"/>
            </w:pPr>
            <w:r>
              <w:t xml:space="preserve">6.033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37.2329</w:t>
            </w:r>
          </w:p>
        </w:tc>
        <w:tc>
          <w:tcPr/>
          <w:p>
            <w:pPr>
              <w:pStyle w:val="Compact"/>
              <w:jc w:val="right"/>
            </w:pPr>
            <w:r>
              <w:t xml:space="preserve">0.4942</w:t>
            </w:r>
          </w:p>
        </w:tc>
        <w:tc>
          <w:tcPr/>
          <w:p>
            <w:pPr>
              <w:pStyle w:val="Compact"/>
              <w:jc w:val="right"/>
            </w:pPr>
            <w:r>
              <w:t xml:space="preserve">36.236</w:t>
            </w:r>
          </w:p>
        </w:tc>
        <w:tc>
          <w:tcPr/>
          <w:p>
            <w:pPr>
              <w:pStyle w:val="Compact"/>
              <w:jc w:val="right"/>
            </w:pPr>
            <w:r>
              <w:t xml:space="preserve">38.220</w:t>
            </w:r>
          </w:p>
        </w:tc>
      </w:tr>
    </w:tbl>
    <w:p>
      <w:pPr>
        <w:pStyle w:val="BodyText"/>
      </w:pPr>
      <w:r>
        <w:t xml:space="preserve">Fig 4 shows the fitted profile and the posterior of its four parameters.</w:t>
      </w:r>
    </w:p>
    <w:p>
      <w:pPr>
        <w:pStyle w:val="BodyText"/>
      </w:pPr>
      <w:r>
        <w:drawing>
          <wp:inline>
            <wp:extent cx="5334000" cy="2726266"/>
            <wp:effectExtent b="0" l="0" r="0" t="0"/>
            <wp:docPr descr="" title="" id="11" name="Picture"/>
            <a:graphic>
              <a:graphicData uri="http://schemas.openxmlformats.org/drawingml/2006/picture">
                <pic:pic>
                  <pic:nvPicPr>
                    <pic:cNvPr descr="plos-manuscript_files/figures/Fig4.png" id="12" name="Picture"/>
                    <pic:cNvPicPr>
                      <a:picLocks noChangeArrowheads="1" noChangeAspect="1"/>
                    </pic:cNvPicPr>
                  </pic:nvPicPr>
                  <pic:blipFill>
                    <a:blip r:embed="rId10"/>
                    <a:stretch>
                      <a:fillRect/>
                    </a:stretch>
                  </pic:blipFill>
                  <pic:spPr bwMode="auto">
                    <a:xfrm>
                      <a:off x="0" y="0"/>
                      <a:ext cx="5334000" cy="2726266"/>
                    </a:xfrm>
                    <a:prstGeom prst="rect">
                      <a:avLst/>
                    </a:prstGeom>
                    <a:noFill/>
                    <a:ln w="9525">
                      <a:noFill/>
                      <a:headEnd/>
                      <a:tailEnd/>
                    </a:ln>
                  </pic:spPr>
                </pic:pic>
              </a:graphicData>
            </a:graphic>
          </wp:inline>
        </w:drawing>
      </w:r>
    </w:p>
    <w:p>
      <w:pPr>
        <w:pStyle w:val="BodyText"/>
      </w:pPr>
      <w:r>
        <w:rPr>
          <w:b/>
          <w:bCs/>
        </w:rPr>
        <w:t xml:space="preserve">Fig 4. A depth profile as the solution of a pedogenetic equation.</w:t>
      </w:r>
      <w:r>
        <w:t xml:space="preserve"> </w:t>
      </w:r>
      <w:r>
        <w:t xml:space="preserve">(A) The fitted mean (line) and 95% posterior band against the seven measured horizons (points). (B) Posterior mean and 95% interval for each parameter; the deep asymptote spans physically impossible negative carbon, and is the one parameter these data do not identify.</w:t>
      </w:r>
    </w:p>
    <w:p>
      <w:pPr>
        <w:pStyle w:val="BodyText"/>
      </w:pPr>
      <w:r>
        <w:t xml:space="preserve">The surface rate λ₀ and the surface concentration y₀ are tightly determined; the depth attenuation μ is poorly determined; and the deep asymptote y∞ is not determined at all, its interval running from about −12 to +6 g/kg. Seven horizons that all lie in the upper metre simply do not constrain the value the profile approaches at depth, and nothing in the parameterisation restricts it to be non-negative. We report this rather than suppress it, because it is precisely the service the Bayesian layer performs: the point estimate quietly returns a physical impossibility, while the interval states plainly that the parameter is unidentified by these data. It also indicates the obvious remedy — a prior constraining y∞ to be non-negative, or horizons deep enough to see the asymptote.</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4" name="Picture"/>
            <a:graphic>
              <a:graphicData uri="http://schemas.openxmlformats.org/drawingml/2006/picture">
                <pic:pic>
                  <pic:nvPicPr>
                    <pic:cNvPr descr="plos-manuscript_files/figures/Fig1.png" id="15" name="Picture"/>
                    <pic:cNvPicPr>
                      <a:picLocks noChangeArrowheads="1" noChangeAspect="1"/>
                    </pic:cNvPicPr>
                  </pic:nvPicPr>
                  <pic:blipFill>
                    <a:blip r:embed="rId13"/>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[7]</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3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3.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2 shows the same result geometrically, and makes the calibration and cost arguments that the accuracy column alone cannot.</w:t>
      </w:r>
    </w:p>
    <w:p>
      <w:pPr>
        <w:pStyle w:val="BodyText"/>
      </w:pPr>
      <w:r>
        <w:drawing>
          <wp:inline>
            <wp:extent cx="5334000" cy="4290391"/>
            <wp:effectExtent b="0" l="0" r="0" t="0"/>
            <wp:docPr descr="" title="" id="17" name="Picture"/>
            <a:graphic>
              <a:graphicData uri="http://schemas.openxmlformats.org/drawingml/2006/picture">
                <pic:pic>
                  <pic:nvPicPr>
                    <pic:cNvPr descr="plos-manuscript_files/figures/Fig2.png" id="18" name="Picture"/>
                    <pic:cNvPicPr>
                      <a:picLocks noChangeArrowheads="1" noChangeAspect="1"/>
                    </pic:cNvPicPr>
                  </pic:nvPicPr>
                  <pic:blipFill>
                    <a:blip r:embed="rId1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2.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3, whose bundle is bound to the current code by the test suite.</w:t>
      </w:r>
    </w:p>
    <w:p>
      <w:pPr>
        <w:pStyle w:val="Heading2"/>
      </w:pPr>
      <w:r>
        <w:t xml:space="preserve">Backdoor adjustment yields robust associations, and exposes confounding</w:t>
      </w:r>
    </w:p>
    <w:p>
      <w:pPr>
        <w:pStyle w:val="FirstParagraph"/>
      </w:pPr>
      <w:r>
        <w:t xml:space="preserve">Table 4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4.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3 shows the four exposures before and after adjustment, together with the confounding each estimate could withstand.</w:t>
      </w:r>
    </w:p>
    <w:p>
      <w:pPr>
        <w:pStyle w:val="BodyText"/>
      </w:pPr>
      <w:r>
        <w:drawing>
          <wp:inline>
            <wp:extent cx="5334000" cy="5053263"/>
            <wp:effectExtent b="0" l="0" r="0" t="0"/>
            <wp:docPr descr="" title="" id="20" name="Picture"/>
            <a:graphic>
              <a:graphicData uri="http://schemas.openxmlformats.org/drawingml/2006/picture">
                <pic:pic>
                  <pic:nvPicPr>
                    <pic:cNvPr descr="plos-manuscript_files/figures/Fig3.png" id="21" name="Picture"/>
                    <pic:cNvPicPr>
                      <a:picLocks noChangeArrowheads="1" noChangeAspect="1"/>
                    </pic:cNvPicPr>
                  </pic:nvPicPr>
                  <pic:blipFill>
                    <a:blip r:embed="rId1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3.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4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4,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22">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24">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26">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28">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30">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32">
        <w:r>
          <w:rPr>
            <w:rStyle w:val="Hyperlink"/>
          </w:rPr>
          <w:t xml:space="preserve">10.1371/journal.pone.0169748</w:t>
        </w:r>
      </w:hyperlink>
    </w:p>
    <w:p>
      <w:pPr>
        <w:pStyle w:val="Bibliography"/>
      </w:pPr>
      <w:r>
        <w:t xml:space="preserve">7.</w:t>
      </w:r>
      <w:r>
        <w:t xml:space="preserve"> </w:t>
      </w:r>
      <w:r>
        <w:t xml:space="preserve">	</w:t>
      </w:r>
      <w:r>
        <w:t xml:space="preserve">Cinelli C, Hazlett C. Making sense of sensitivity: Extending omitted variable bias. Journal of the Royal Statistical Society: Series B. 2020;82: 39–67. doi:</w:t>
      </w:r>
      <w:hyperlink r:id="rId34">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10" Target="media/rId10.png" /><Relationship Type="http://schemas.openxmlformats.org/officeDocument/2006/relationships/hyperlink" Id="rId30" Target="https://doi.org/10.1002/joc.5086" TargetMode="External" /><Relationship Type="http://schemas.openxmlformats.org/officeDocument/2006/relationships/hyperlink" Id="rId22" Target="https://doi.org/10.1016/S0016-7061(03)00223-4" TargetMode="External" /><Relationship Type="http://schemas.openxmlformats.org/officeDocument/2006/relationships/hyperlink" Id="rId24" Target="https://doi.org/10.1016/j.earscirev.2020.103359" TargetMode="External" /><Relationship Type="http://schemas.openxmlformats.org/officeDocument/2006/relationships/hyperlink" Id="rId26" Target="https://doi.org/10.1111/ejss.70284" TargetMode="External" /><Relationship Type="http://schemas.openxmlformats.org/officeDocument/2006/relationships/hyperlink" Id="rId34" Target="https://doi.org/10.1111/rssb.12348" TargetMode="External" /><Relationship Type="http://schemas.openxmlformats.org/officeDocument/2006/relationships/hyperlink" Id="rId32" Target="https://doi.org/10.1371/journal.pone.0169748" TargetMode="External" /><Relationship Type="http://schemas.openxmlformats.org/officeDocument/2006/relationships/hyperlink" Id="rId2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02/joc.5086" TargetMode="External" /><Relationship Type="http://schemas.openxmlformats.org/officeDocument/2006/relationships/hyperlink" Id="rId22" Target="https://doi.org/10.1016/S0016-7061(03)00223-4" TargetMode="External" /><Relationship Type="http://schemas.openxmlformats.org/officeDocument/2006/relationships/hyperlink" Id="rId24" Target="https://doi.org/10.1016/j.earscirev.2020.103359" TargetMode="External" /><Relationship Type="http://schemas.openxmlformats.org/officeDocument/2006/relationships/hyperlink" Id="rId26" Target="https://doi.org/10.1111/ejss.70284" TargetMode="External" /><Relationship Type="http://schemas.openxmlformats.org/officeDocument/2006/relationships/hyperlink" Id="rId34" Target="https://doi.org/10.1111/rssb.12348" TargetMode="External" /><Relationship Type="http://schemas.openxmlformats.org/officeDocument/2006/relationships/hyperlink" Id="rId32" Target="https://doi.org/10.1371/journal.pone.0169748" TargetMode="External" /><Relationship Type="http://schemas.openxmlformats.org/officeDocument/2006/relationships/hyperlink" Id="rId2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2026-08-03T19:28:48Z</dcterms:created>
  <dcterms:modified xsi:type="dcterms:W3CDTF">2026-08-03T19:28:48Z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