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Frontier methods for digital soil mapping, evaluated honestly: a reproducible benchmark on real WoSIS Cerrado profiles</w:t>
      </w:r>
    </w:p>
    <w:p>
      <w:pPr>
        <w:pStyle w:val="AbstractTitle"/>
      </w:pPr>
      <w:r>
        <w:t xml:space="preserve">Abstract</w:t>
      </w:r>
    </w:p>
    <w:p>
      <w:pPr>
        <w:pStyle w:val="Abstract"/>
      </w:pPr>
      <w:r>
        <w:t xml:space="preserve">Digital soil mapping (DSM) has moved well beyond regression trees, yet the newer methods — causal inference, physics-informed and generative deep learning, graph and quantum kernels — are rarely evaluated against each other under a common, honest protocol, and their predictions are rarely reported with calibrated uncertainty. We present edaphos, an R framework that implements ten such method families behind a single posterior class so that any of them can be scored with the same diagnostics, and we use it to run a matched, spatially blocked benchmark of six methods on 1095 real World Soil Information Service (WoSIS) topsoil profiles over the Brazilian Cerrado. The result is deflationary and, we argue, useful: a plain ordinary-least-squares model on a directed-acyclic-graph (DAG)-selected covariate set is the most accurate and best-calibrated method in the comparison, and none of the five more elaborate pillars beats it on this task. We further show, on 3077 profiles, that backdoor adjustment yields robust associations with explicit sensitivity bounds rather than identified causal effects, and that instrumenting soil carbon with a trained foundation-model embedding produces very strong but invalid instruments (first-stage F</w:t>
      </w:r>
      <w:r>
        <w:t xml:space="preserve"> </w:t>
      </w:r>
      <m:oMath>
        <m:r>
          <m:rPr>
            <m:sty m:val="p"/>
          </m:rPr>
          <m:t>≈</m:t>
        </m:r>
      </m:oMath>
      <w:r>
        <w:t xml:space="preserve"> </w:t>
      </w:r>
      <w:r>
        <w:t xml:space="preserve">4630, Sargan p</w:t>
      </w:r>
      <w:r>
        <w:t xml:space="preserve"> </w:t>
      </w:r>
      <m:oMath>
        <m:r>
          <m:rPr>
            <m:sty m:val="p"/>
          </m:rPr>
          <m:t>≈</m:t>
        </m:r>
      </m:oMath>
      <w:r>
        <w:t xml:space="preserve"> </w:t>
      </w:r>
      <w:r>
        <w:t xml:space="preserve">3e-13) — an empirical confirmation that a learned representation does not manufacture a valid instrument. We conclude that the contribution of a framework like edaphos is not a new best predictor but a reproducible, calibration-consistent apparatus for asking which method helps, and for reporting honestly when none does.</w:t>
      </w:r>
    </w:p>
    <w:bookmarkStart w:id="9" w:name="introduction"/>
    <w:p>
      <w:pPr>
        <w:pStyle w:val="Heading1"/>
      </w:pPr>
      <w:r>
        <w:rPr>
          <w:rStyle w:val="SectionNumber"/>
        </w:rPr>
        <w:t xml:space="preserve">1</w:t>
      </w:r>
      <w:r>
        <w:tab/>
      </w:r>
      <w:r>
        <w:t xml:space="preserve">Introduction</w:t>
      </w:r>
    </w:p>
    <w:p>
      <w:pPr>
        <w:pStyle w:val="FirstParagraph"/>
      </w:pPr>
      <w:r>
        <w:t xml:space="preserve">Digital soil mapping (DSM) predicts soil properties at unvisited locations from</w:t>
      </w:r>
      <w:r>
        <w:t xml:space="preserve"> </w:t>
      </w:r>
      <w:r>
        <w:t xml:space="preserve">spatially exhaustive covariates that proxy the soil-forming factors</w:t>
      </w:r>
      <w:r>
        <w:t xml:space="preserve"> </w:t>
      </w:r>
      <w:r>
        <w:t xml:space="preserve">[1]</w:t>
      </w:r>
      <w:r>
        <w:t xml:space="preserve">. The field’s workhorse — the random forest and its quantile</w:t>
      </w:r>
      <w:r>
        <w:t xml:space="preserve"> </w:t>
      </w:r>
      <w:r>
        <w:t xml:space="preserve">variants — is accurate, fast and well understood, and a large recent literature</w:t>
      </w:r>
      <w:r>
        <w:t xml:space="preserve"> </w:t>
      </w:r>
      <w:r>
        <w:t xml:space="preserve">proposes to improve on it with methods borrowed from causal inference, deep</w:t>
      </w:r>
      <w:r>
        <w:t xml:space="preserve"> </w:t>
      </w:r>
      <w:r>
        <w:t xml:space="preserve">learning, and quantum machine learning. Two problems recur. First, these methods</w:t>
      </w:r>
      <w:r>
        <w:t xml:space="preserve"> </w:t>
      </w:r>
      <w:r>
        <w:t xml:space="preserve">are seldom compared under a common protocol: differences in cross-validation</w:t>
      </w:r>
      <w:r>
        <w:t xml:space="preserve"> </w:t>
      </w:r>
      <w:r>
        <w:t xml:space="preserve">scheme, ensemble budget, target transform and evaluation metric make published</w:t>
      </w:r>
      <w:r>
        <w:t xml:space="preserve"> </w:t>
      </w:r>
      <w:r>
        <w:t xml:space="preserve">gains hard to attribute to the method rather than the harness. Second, point</w:t>
      </w:r>
      <w:r>
        <w:t xml:space="preserve"> </w:t>
      </w:r>
      <w:r>
        <w:t xml:space="preserve">accuracy is reported far more often than calibrated uncertainty, even though a</w:t>
      </w:r>
      <w:r>
        <w:t xml:space="preserve"> </w:t>
      </w:r>
      <w:r>
        <w:t xml:space="preserve">soil map is used to make decisions under that uncertainty.</w:t>
      </w:r>
    </w:p>
    <w:p>
      <w:pPr>
        <w:pStyle w:val="BodyText"/>
      </w:pPr>
      <w:r>
        <w:t xml:space="preserve">A third, more conceptual problem concerns causality. It is common in DSM to read</w:t>
      </w:r>
      <w:r>
        <w:t xml:space="preserve"> </w:t>
      </w:r>
      <w:r>
        <w:t xml:space="preserve">a covariate’s importance in a predictive model as evidence that it</w:t>
      </w:r>
      <w:r>
        <w:t xml:space="preserve"> </w:t>
      </w:r>
      <w:r>
        <w:rPr>
          <w:i/>
          <w:iCs/>
        </w:rPr>
        <w:t xml:space="preserve">causes</w:t>
      </w:r>
      <w:r>
        <w:t xml:space="preserve"> </w:t>
      </w:r>
      <w:r>
        <w:t xml:space="preserve">the</w:t>
      </w:r>
      <w:r>
        <w:t xml:space="preserve"> </w:t>
      </w:r>
      <w:r>
        <w:t xml:space="preserve">soil property</w:t>
      </w:r>
      <w:r>
        <w:t xml:space="preserve"> </w:t>
      </w:r>
      <w:r>
        <w:t xml:space="preserve">[2]</w:t>
      </w:r>
      <w:r>
        <w:t xml:space="preserve">. Zhang and Wadoux</w:t>
      </w:r>
      <w:r>
        <w:t xml:space="preserve"> </w:t>
      </w:r>
      <w:r>
        <w:t xml:space="preserve">[3]</w:t>
      </w:r>
      <w:r>
        <w:t xml:space="preserve"> </w:t>
      </w:r>
      <w:r>
        <w:t xml:space="preserve">argue that</w:t>
      </w:r>
      <w:r>
        <w:t xml:space="preserve"> </w:t>
      </w:r>
      <w:r>
        <w:t xml:space="preserve">causal inference in DSM is possible only under conditions — an explicit causal</w:t>
      </w:r>
      <w:r>
        <w:t xml:space="preserve"> </w:t>
      </w:r>
      <w:r>
        <w:t xml:space="preserve">model, causal sufficiency, and faithfulness — that observational soil data</w:t>
      </w:r>
      <w:r>
        <w:t xml:space="preserve"> </w:t>
      </w:r>
      <w:r>
        <w:t xml:space="preserve">rarely satisfy, and that the generative, process-informed view of causation is</w:t>
      </w:r>
      <w:r>
        <w:t xml:space="preserve"> </w:t>
      </w:r>
      <w:r>
        <w:t xml:space="preserve">the one most compatible with those conditions.</w:t>
      </w:r>
    </w:p>
    <w:p>
      <w:pPr>
        <w:pStyle w:val="BodyText"/>
      </w:pPr>
      <w:r>
        <w:t xml:space="preserve">This article makes three contributions, all reproducible from data bundled with</w:t>
      </w:r>
      <w:r>
        <w:t xml:space="preserve"> </w:t>
      </w:r>
      <w:r>
        <w:t xml:space="preserve">the software: (i) a single uncertainty-calibration interface that lets ten</w:t>
      </w:r>
      <w:r>
        <w:t xml:space="preserve"> </w:t>
      </w:r>
      <w:r>
        <w:t xml:space="preserve">method families be scored with the same diagnostics; (ii) a matched, spatially</w:t>
      </w:r>
      <w:r>
        <w:t xml:space="preserve"> </w:t>
      </w:r>
      <w:r>
        <w:t xml:space="preserve">blocked, uncertainty-aware benchmark of six methods on real WoSIS Cerrado</w:t>
      </w:r>
      <w:r>
        <w:t xml:space="preserve"> </w:t>
      </w:r>
      <w:r>
        <w:t xml:space="preserve">profiles, whose honest conclusion is that a DAG-informed OLS is the strongest</w:t>
      </w:r>
      <w:r>
        <w:t xml:space="preserve"> </w:t>
      </w:r>
      <w:r>
        <w:t xml:space="preserve">method here; and (iii) a causal analysis that reports backdoor-adjusted</w:t>
      </w:r>
      <w:r>
        <w:t xml:space="preserve"> </w:t>
      </w:r>
      <w:r>
        <w:t xml:space="preserve">associations with Cinelli–Hazlett robustness values, demonstrates confounding</w:t>
      </w:r>
      <w:r>
        <w:t xml:space="preserve"> </w:t>
      </w:r>
      <w:r>
        <w:t xml:space="preserve">directly, and reports a negative instrumental-variable result. We deliberately</w:t>
      </w:r>
      <w:r>
        <w:t xml:space="preserve"> </w:t>
      </w:r>
      <w:r>
        <w:t xml:space="preserve">foreground the negative findings: a framework that makes it easy to run a dozen</w:t>
      </w:r>
      <w:r>
        <w:t xml:space="preserve"> </w:t>
      </w:r>
      <w:r>
        <w:t xml:space="preserve">methods is only useful if it is equally easy to see when they do not help.</w:t>
      </w:r>
    </w:p>
    <w:bookmarkEnd w:id="9"/>
    <w:bookmarkStart w:id="14" w:name="materials-and-methods"/>
    <w:p>
      <w:pPr>
        <w:pStyle w:val="Heading1"/>
      </w:pPr>
      <w:r>
        <w:rPr>
          <w:rStyle w:val="SectionNumber"/>
        </w:rPr>
        <w:t xml:space="preserve">2</w:t>
      </w:r>
      <w:r>
        <w:tab/>
      </w:r>
      <w:r>
        <w:t xml:space="preserve">Materials and methods</w:t>
      </w:r>
    </w:p>
    <w:bookmarkStart w:id="10" w:name="data"/>
    <w:p>
      <w:pPr>
        <w:pStyle w:val="Heading2"/>
      </w:pPr>
      <w:r>
        <w:rPr>
          <w:rStyle w:val="SectionNumber"/>
        </w:rPr>
        <w:t xml:space="preserve">2.1</w:t>
      </w:r>
      <w:r>
        <w:tab/>
      </w:r>
      <w:r>
        <w:t xml:space="preserve">Data</w:t>
      </w:r>
    </w:p>
    <w:p>
      <w:pPr>
        <w:pStyle w:val="FirstParagraph"/>
      </w:pPr>
      <w:r>
        <w:t xml:space="preserve">The benchmark uses 1095 WoSIS</w:t>
      </w:r>
      <w:r>
        <w:t xml:space="preserve"> </w:t>
      </w:r>
      <w:r>
        <w:t xml:space="preserve">[4]</w:t>
      </w:r>
      <w:r>
        <w:t xml:space="preserve"> </w:t>
      </w:r>
      <w:r>
        <w:t xml:space="preserve">topsoil (0–30 cm)</w:t>
      </w:r>
      <w:r>
        <w:t xml:space="preserve"> </w:t>
      </w:r>
      <w:r>
        <w:t xml:space="preserve">organic-carbon profiles over the Cerrado, retrieved from the ISRIC Web Feature</w:t>
      </w:r>
      <w:r>
        <w:t xml:space="preserve"> </w:t>
      </w:r>
      <w:r>
        <w:t xml:space="preserve">Service, with covariates extracted at each profile from WorldClim 2.1</w:t>
      </w:r>
      <w:r>
        <w:t xml:space="preserve"> </w:t>
      </w:r>
      <w:r>
        <w:t xml:space="preserve">[5]</w:t>
      </w:r>
      <w:r>
        <w:t xml:space="preserve">, SoilGrids</w:t>
      </w:r>
      <w:r>
        <w:t xml:space="preserve"> </w:t>
      </w:r>
      <w:r>
        <w:t xml:space="preserve">[6]</w:t>
      </w:r>
      <w:r>
        <w:t xml:space="preserve"> </w:t>
      </w:r>
      <w:r>
        <w:t xml:space="preserve">and Copernicus fractional</w:t>
      </w:r>
      <w:r>
        <w:t xml:space="preserve"> </w:t>
      </w:r>
      <w:r>
        <w:t xml:space="preserve">tree cover. The causal analysis uses a larger draw of 3077</w:t>
      </w:r>
      <w:r>
        <w:t xml:space="preserve"> </w:t>
      </w:r>
      <w:r>
        <w:t xml:space="preserve">profiles over the same region and covariate stack. Covariates are all</w:t>
      </w:r>
      <w:r>
        <w:t xml:space="preserve"> </w:t>
      </w:r>
      <w:r>
        <w:t xml:space="preserve">open-licensed and fetched from public endpoints, so the analysis is regenerable</w:t>
      </w:r>
      <w:r>
        <w:t xml:space="preserve"> </w:t>
      </w:r>
      <w:r>
        <w:t xml:space="preserve">from profile coordinates alone.</w:t>
      </w:r>
    </w:p>
    <w:bookmarkEnd w:id="10"/>
    <w:bookmarkStart w:id="11" w:name="Xf326b36d13720af1ec967cebf5f4b5e971ea45f"/>
    <w:p>
      <w:pPr>
        <w:pStyle w:val="Heading2"/>
      </w:pPr>
      <w:r>
        <w:rPr>
          <w:rStyle w:val="SectionNumber"/>
        </w:rPr>
        <w:t xml:space="preserve">2.2</w:t>
      </w:r>
      <w:r>
        <w:tab/>
      </w:r>
      <w:r>
        <w:t xml:space="preserve">A unified posterior and calibration interface</w:t>
      </w:r>
    </w:p>
    <w:p>
      <w:pPr>
        <w:pStyle w:val="FirstParagraph"/>
      </w:pPr>
      <w:r>
        <w:t xml:space="preserve">Every predictive method in edaphos returns, or can be coerced to, an</w:t>
      </w:r>
      <w:r>
        <w:t xml:space="preserve"> </w:t>
      </w:r>
      <w:r>
        <w:rPr>
          <w:rStyle w:val="VerbatimChar"/>
        </w:rPr>
        <w:t xml:space="preserve">edaphos_posterior</w:t>
      </w:r>
      <w:r>
        <w:t xml:space="preserve">: a small object carrying a predictive sample (or mean and</w:t>
      </w:r>
      <w:r>
        <w:t xml:space="preserve"> </w:t>
      </w:r>
      <w:r>
        <w:t xml:space="preserve">standard deviation) for each target. A single routine then scores any of them</w:t>
      </w:r>
      <w:r>
        <w:t xml:space="preserve"> </w:t>
      </w:r>
      <w:r>
        <w:t xml:space="preserve">with the same measures — the continuous ranked probability score (CRPS), 90%</w:t>
      </w:r>
      <w:r>
        <w:t xml:space="preserve"> </w:t>
      </w:r>
      <w:r>
        <w:t xml:space="preserve">prediction-interval coverage (PICP) and mean width (MPIW), and a reliability</w:t>
      </w:r>
      <w:r>
        <w:t xml:space="preserve"> </w:t>
      </w:r>
      <w:r>
        <w:t xml:space="preserve">curve. This makes a like-for-like comparison across otherwise incompatible</w:t>
      </w:r>
      <w:r>
        <w:t xml:space="preserve"> </w:t>
      </w:r>
      <w:r>
        <w:t xml:space="preserve">methods possible: a random forest’s quantiles, a Gibbs sampler’s draws and a</w:t>
      </w:r>
      <w:r>
        <w:t xml:space="preserve"> </w:t>
      </w:r>
      <w:r>
        <w:t xml:space="preserve">diffusion model’s samples are all reduced to the same currency.</w:t>
      </w:r>
    </w:p>
    <w:bookmarkEnd w:id="11"/>
    <w:bookmarkStart w:id="12" w:name="methods-compared"/>
    <w:p>
      <w:pPr>
        <w:pStyle w:val="Heading2"/>
      </w:pPr>
      <w:r>
        <w:rPr>
          <w:rStyle w:val="SectionNumber"/>
        </w:rPr>
        <w:t xml:space="preserve">2.3</w:t>
      </w:r>
      <w:r>
        <w:tab/>
      </w:r>
      <w:r>
        <w:t xml:space="preserve">Methods compared</w:t>
      </w:r>
    </w:p>
    <w:p>
      <w:pPr>
        <w:pStyle w:val="FirstParagraph"/>
      </w:pPr>
      <w:r>
        <w:t xml:space="preserve">The benchmark compares one baseline and five frontier methods:</w:t>
      </w:r>
      <w:r>
        <w:t xml:space="preserve"> </w:t>
      </w:r>
      <w:r>
        <w:rPr>
          <w:b/>
          <w:bCs/>
        </w:rPr>
        <w:t xml:space="preserve">P1</w:t>
      </w:r>
      <w:r>
        <w:t xml:space="preserve">, ordinary</w:t>
      </w:r>
      <w:r>
        <w:t xml:space="preserve"> </w:t>
      </w:r>
      <w:r>
        <w:t xml:space="preserve">least squares on the covariates in the backdoor adjustment set of an expert</w:t>
      </w:r>
      <w:r>
        <w:t xml:space="preserve"> </w:t>
      </w:r>
      <w:r>
        <w:t xml:space="preserve">pedogenetic DAG (the baseline);</w:t>
      </w:r>
      <w:r>
        <w:t xml:space="preserve"> </w:t>
      </w:r>
      <w:r>
        <w:rPr>
          <w:b/>
          <w:bCs/>
        </w:rPr>
        <w:t xml:space="preserve">P4</w:t>
      </w:r>
      <w:r>
        <w:t xml:space="preserve">, a quantile random forest on the</w:t>
      </w:r>
      <w:r>
        <w:t xml:space="preserve"> </w:t>
      </w:r>
      <w:r>
        <w:t xml:space="preserve">principal components of a MoCo-v2 contrastive encoder trained on raster patches;</w:t>
      </w:r>
      <w:r>
        <w:t xml:space="preserve"> </w:t>
      </w:r>
      <w:r>
        <w:rPr>
          <w:b/>
          <w:bCs/>
        </w:rPr>
        <w:t xml:space="preserve">P5</w:t>
      </w:r>
      <w:r>
        <w:t xml:space="preserve">, a quantile random forest on the raw covariates;</w:t>
      </w:r>
      <w:r>
        <w:t xml:space="preserve"> </w:t>
      </w:r>
      <w:r>
        <w:rPr>
          <w:b/>
          <w:bCs/>
        </w:rPr>
        <w:t xml:space="preserve">P6</w:t>
      </w:r>
      <w:r>
        <w:t xml:space="preserve">, quantum kernel</w:t>
      </w:r>
      <w:r>
        <w:t xml:space="preserve"> </w:t>
      </w:r>
      <w:r>
        <w:t xml:space="preserve">ridge regression using a ZZ-feature-map state-vector simulator;</w:t>
      </w:r>
      <w:r>
        <w:t xml:space="preserve"> </w:t>
      </w:r>
      <w:r>
        <w:rPr>
          <w:b/>
          <w:bCs/>
        </w:rPr>
        <w:t xml:space="preserve">P7</w:t>
      </w:r>
      <w:r>
        <w:t xml:space="preserve">, a</w:t>
      </w:r>
      <w:r>
        <w:t xml:space="preserve"> </w:t>
      </w:r>
      <w:r>
        <w:t xml:space="preserve">Bayesian hierarchical spatial model fit by a Gibbs sampler; and</w:t>
      </w:r>
      <w:r>
        <w:t xml:space="preserve"> </w:t>
      </w:r>
      <w:r>
        <w:rPr>
          <w:b/>
          <w:bCs/>
        </w:rPr>
        <w:t xml:space="preserve">P10</w:t>
      </w:r>
      <w:r>
        <w:t xml:space="preserve">, a graph</w:t>
      </w:r>
      <w:r>
        <w:t xml:space="preserve"> </w:t>
      </w:r>
      <w:r>
        <w:t xml:space="preserve">attention network over a</w:t>
      </w:r>
      <w:r>
        <w:t xml:space="preserve"> </w:t>
      </w:r>
      <w:r>
        <w:rPr>
          <w:i/>
          <w:iCs/>
        </w:rPr>
        <w:t xml:space="preserve">k</w:t>
      </w:r>
      <w:r>
        <w:t xml:space="preserve">-nearest-neighbour co-location graph of profiles.</w:t>
      </w:r>
    </w:p>
    <w:bookmarkEnd w:id="12"/>
    <w:bookmarkStart w:id="13" w:name="evaluation-and-causal-protocol"/>
    <w:p>
      <w:pPr>
        <w:pStyle w:val="Heading2"/>
      </w:pPr>
      <w:r>
        <w:rPr>
          <w:rStyle w:val="SectionNumber"/>
        </w:rPr>
        <w:t xml:space="preserve">2.4</w:t>
      </w:r>
      <w:r>
        <w:tab/>
      </w:r>
      <w:r>
        <w:t xml:space="preserve">Evaluation and causal protocol</w:t>
      </w:r>
    </w:p>
    <w:p>
      <w:pPr>
        <w:pStyle w:val="FirstParagraph"/>
      </w:pPr>
      <w:r>
        <w:t xml:space="preserve">All methods are evaluated on the same 1095 spatially blocked</w:t>
      </w:r>
      <w:r>
        <w:t xml:space="preserve"> </w:t>
      </w:r>
      <w:r>
        <w:t xml:space="preserve">cross-validation folds, on the log1p scale of organic carbon,</w:t>
      </w:r>
      <w:r>
        <w:t xml:space="preserve"> </w:t>
      </w:r>
      <w:r>
        <w:t xml:space="preserve">and scored against the achievable null — each fold’s training-fold mean, not the</w:t>
      </w:r>
      <w:r>
        <w:t xml:space="preserve"> </w:t>
      </w:r>
      <w:r>
        <w:t xml:space="preserve">global mean. Ensemble size is reported rather than forced equal. For the causal</w:t>
      </w:r>
      <w:r>
        <w:t xml:space="preserve"> </w:t>
      </w:r>
      <w:r>
        <w:t xml:space="preserve">analysis we build an expert Cerrado DAG, compute the minimal backdoor adjustment</w:t>
      </w:r>
      <w:r>
        <w:t xml:space="preserve"> </w:t>
      </w:r>
      <w:r>
        <w:t xml:space="preserve">set per exposure, estimate the adjusted association by OLS with a spatial block</w:t>
      </w:r>
      <w:r>
        <w:t xml:space="preserve"> </w:t>
      </w:r>
      <w:r>
        <w:t xml:space="preserve">bootstrap (500 resamples over 20 clusters), and pair every estimate with a</w:t>
      </w:r>
      <w:r>
        <w:t xml:space="preserve"> </w:t>
      </w:r>
      <w:r>
        <w:t xml:space="preserve">Cinelli–Hazlett robustness value (RV)</w:t>
      </w:r>
      <w:r>
        <w:t xml:space="preserve"> </w:t>
      </w:r>
      <w:r>
        <w:t xml:space="preserve">[7]</w:t>
      </w:r>
      <w:r>
        <w:t xml:space="preserve">: the fraction of</w:t>
      </w:r>
      <w:r>
        <w:t xml:space="preserve"> </w:t>
      </w:r>
      <w:r>
        <w:t xml:space="preserve">residual variance an unobserved confounder would have to explain in both</w:t>
      </w:r>
      <w:r>
        <w:t xml:space="preserve"> </w:t>
      </w:r>
      <w:r>
        <w:t xml:space="preserve">exposure and outcome to drive the estimate to zero. We also attempt</w:t>
      </w:r>
      <w:r>
        <w:t xml:space="preserve"> </w:t>
      </w:r>
      <w:r>
        <w:t xml:space="preserve">instrumental-variable estimation, using the principal components of a</w:t>
      </w:r>
      <w:r>
        <w:t xml:space="preserve"> </w:t>
      </w:r>
      <w:r>
        <w:t xml:space="preserve">foundation-model embedding as instruments for precipitation, and test their</w:t>
      </w:r>
      <w:r>
        <w:t xml:space="preserve"> </w:t>
      </w:r>
      <w:r>
        <w:t xml:space="preserve">validity with the Sargan over-identification test.</w:t>
      </w:r>
    </w:p>
    <w:bookmarkEnd w:id="13"/>
    <w:bookmarkEnd w:id="14"/>
    <w:bookmarkStart w:id="20" w:name="results"/>
    <w:p>
      <w:pPr>
        <w:pStyle w:val="Heading1"/>
      </w:pPr>
      <w:r>
        <w:rPr>
          <w:rStyle w:val="SectionNumber"/>
        </w:rPr>
        <w:t xml:space="preserve">3</w:t>
      </w:r>
      <w:r>
        <w:tab/>
      </w:r>
      <w:r>
        <w:t xml:space="preserve">Results</w:t>
      </w:r>
    </w:p>
    <w:bookmarkStart w:id="18" w:name="Xf3b5e578a98417610bd9f4f1bf93ba1dc0b2ab7"/>
    <w:p>
      <w:pPr>
        <w:pStyle w:val="Heading2"/>
      </w:pPr>
      <w:r>
        <w:rPr>
          <w:rStyle w:val="SectionNumber"/>
        </w:rPr>
        <w:t xml:space="preserve">3.1</w:t>
      </w:r>
      <w:r>
        <w:tab/>
      </w:r>
      <w:r>
        <w:t xml:space="preserve">A DAG-informed OLS is the strongest method</w:t>
      </w:r>
    </w:p>
    <w:p>
      <w:pPr>
        <w:pStyle w:val="TableCaption"/>
      </w:pPr>
      <w:r>
        <w:t xml:space="preserve">Matched cross-pillar benchmark on 1095 WoSIS Cerrado profiles (1095 spatially blocked folds, log1p scale). RMSE and CRPS lower is better; R2 and PICP near 0.90 better.</w:t>
      </w:r>
    </w:p>
    <w:tbl>
      <w:tblPr>
        <w:tblStyle w:val="Table"/>
        <w:tblW w:type="pct" w:w="5000"/>
        <w:tblLayout w:type="fixed"/>
        <w:tblLook w:firstRow="1" w:lastRow="0" w:firstColumn="0" w:lastColumn="0" w:noHBand="0" w:noVBand="0" w:val="0020"/>
        <w:tblCaption w:val="Matched cross-pillar benchmark on 1095 WoSIS Cerrado profiles (1095 spatially blocked folds, log1p scale). RMSE and CRPS lower is better; R2 and PICP near 0.90 better."/>
      </w:tblPr>
      <w:tblGrid>
        <w:gridCol w:w="3484"/>
        <w:gridCol w:w="633"/>
        <w:gridCol w:w="739"/>
        <w:gridCol w:w="739"/>
        <w:gridCol w:w="739"/>
        <w:gridCol w:w="633"/>
        <w:gridCol w:w="950"/>
      </w:tblGrid>
      <w:tr>
        <w:trPr>
          <w:tblHeader w:val="on"/>
        </w:trPr>
        <w:tc>
          <w:tcPr/>
          <w:p>
            <w:pPr>
              <w:pStyle w:val="Compact"/>
              <w:jc w:val="left"/>
            </w:pPr>
            <w:r>
              <w:t xml:space="preserve">Method</w:t>
            </w:r>
          </w:p>
        </w:tc>
        <w:tc>
          <w:tcPr/>
          <w:p>
            <w:pPr>
              <w:pStyle w:val="Compact"/>
              <w:jc w:val="right"/>
            </w:pPr>
            <w:r>
              <w:t xml:space="preserve">RMSE</w:t>
            </w:r>
          </w:p>
        </w:tc>
        <w:tc>
          <w:tcPr/>
          <w:p>
            <w:pPr>
              <w:pStyle w:val="Compact"/>
              <w:jc w:val="right"/>
            </w:pPr>
            <w:r>
              <w:t xml:space="preserve">R2</w:t>
            </w:r>
          </w:p>
        </w:tc>
        <w:tc>
          <w:tcPr/>
          <w:p>
            <w:pPr>
              <w:pStyle w:val="Compact"/>
              <w:jc w:val="right"/>
            </w:pPr>
            <w:r>
              <w:t xml:space="preserve">PICP90</w:t>
            </w:r>
          </w:p>
        </w:tc>
        <w:tc>
          <w:tcPr/>
          <w:p>
            <w:pPr>
              <w:pStyle w:val="Compact"/>
              <w:jc w:val="right"/>
            </w:pPr>
            <w:r>
              <w:t xml:space="preserve">MPIW90</w:t>
            </w:r>
          </w:p>
        </w:tc>
        <w:tc>
          <w:tcPr/>
          <w:p>
            <w:pPr>
              <w:pStyle w:val="Compact"/>
              <w:jc w:val="right"/>
            </w:pPr>
            <w:r>
              <w:t xml:space="preserve">CRPS</w:t>
            </w:r>
          </w:p>
        </w:tc>
        <w:tc>
          <w:tcPr/>
          <w:p>
            <w:pPr>
              <w:pStyle w:val="Compact"/>
              <w:jc w:val="right"/>
            </w:pPr>
            <w:r>
              <w:t xml:space="preserve">Time (s)</w:t>
            </w:r>
          </w:p>
        </w:tc>
      </w:tr>
      <w:tr>
        <w:tc>
          <w:tcPr/>
          <w:p>
            <w:pPr>
              <w:pStyle w:val="Compact"/>
              <w:jc w:val="left"/>
            </w:pPr>
            <w:r>
              <w:t xml:space="preserve">P1 OLS (DAG-selected covariates)</w:t>
            </w:r>
          </w:p>
        </w:tc>
        <w:tc>
          <w:tcPr/>
          <w:p>
            <w:pPr>
              <w:pStyle w:val="Compact"/>
              <w:jc w:val="right"/>
            </w:pPr>
            <w:r>
              <w:t xml:space="preserve">0.583</w:t>
            </w:r>
          </w:p>
        </w:tc>
        <w:tc>
          <w:tcPr/>
          <w:p>
            <w:pPr>
              <w:pStyle w:val="Compact"/>
              <w:jc w:val="right"/>
            </w:pPr>
            <w:r>
              <w:t xml:space="preserve">0.067</w:t>
            </w:r>
          </w:p>
        </w:tc>
        <w:tc>
          <w:tcPr/>
          <w:p>
            <w:pPr>
              <w:pStyle w:val="Compact"/>
              <w:jc w:val="right"/>
            </w:pPr>
            <w:r>
              <w:t xml:space="preserve">0.878</w:t>
            </w:r>
          </w:p>
        </w:tc>
        <w:tc>
          <w:tcPr/>
          <w:p>
            <w:pPr>
              <w:pStyle w:val="Compact"/>
              <w:jc w:val="right"/>
            </w:pPr>
            <w:r>
              <w:t xml:space="preserve">1.844</w:t>
            </w:r>
          </w:p>
        </w:tc>
        <w:tc>
          <w:tcPr/>
          <w:p>
            <w:pPr>
              <w:pStyle w:val="Compact"/>
              <w:jc w:val="right"/>
            </w:pPr>
            <w:r>
              <w:t xml:space="preserve">0.323</w:t>
            </w:r>
          </w:p>
        </w:tc>
        <w:tc>
          <w:tcPr/>
          <w:p>
            <w:pPr>
              <w:pStyle w:val="Compact"/>
              <w:jc w:val="right"/>
            </w:pPr>
            <w:r>
              <w:t xml:space="preserve">2.3</w:t>
            </w:r>
          </w:p>
        </w:tc>
      </w:tr>
      <w:tr>
        <w:tc>
          <w:tcPr/>
          <w:p>
            <w:pPr>
              <w:pStyle w:val="Compact"/>
              <w:jc w:val="left"/>
            </w:pPr>
            <w:r>
              <w:t xml:space="preserve">P5 QRF</w:t>
            </w:r>
          </w:p>
        </w:tc>
        <w:tc>
          <w:tcPr/>
          <w:p>
            <w:pPr>
              <w:pStyle w:val="Compact"/>
              <w:jc w:val="right"/>
            </w:pPr>
            <w:r>
              <w:t xml:space="preserve">0.589</w:t>
            </w:r>
          </w:p>
        </w:tc>
        <w:tc>
          <w:tcPr/>
          <w:p>
            <w:pPr>
              <w:pStyle w:val="Compact"/>
              <w:jc w:val="right"/>
            </w:pPr>
            <w:r>
              <w:t xml:space="preserve">0.051</w:t>
            </w:r>
          </w:p>
        </w:tc>
        <w:tc>
          <w:tcPr/>
          <w:p>
            <w:pPr>
              <w:pStyle w:val="Compact"/>
              <w:jc w:val="right"/>
            </w:pPr>
            <w:r>
              <w:t xml:space="preserve">0.872</w:t>
            </w:r>
          </w:p>
        </w:tc>
        <w:tc>
          <w:tcPr/>
          <w:p>
            <w:pPr>
              <w:pStyle w:val="Compact"/>
              <w:jc w:val="right"/>
            </w:pPr>
            <w:r>
              <w:t xml:space="preserve">1.830</w:t>
            </w:r>
          </w:p>
        </w:tc>
        <w:tc>
          <w:tcPr/>
          <w:p>
            <w:pPr>
              <w:pStyle w:val="Compact"/>
              <w:jc w:val="right"/>
            </w:pPr>
            <w:r>
              <w:t xml:space="preserve">0.321</w:t>
            </w:r>
          </w:p>
        </w:tc>
        <w:tc>
          <w:tcPr/>
          <w:p>
            <w:pPr>
              <w:pStyle w:val="Compact"/>
              <w:jc w:val="right"/>
            </w:pPr>
            <w:r>
              <w:t xml:space="preserve">1.6</w:t>
            </w:r>
          </w:p>
        </w:tc>
      </w:tr>
      <w:tr>
        <w:tc>
          <w:tcPr/>
          <w:p>
            <w:pPr>
              <w:pStyle w:val="Compact"/>
              <w:jc w:val="left"/>
            </w:pPr>
            <w:r>
              <w:t xml:space="preserve">P7 BHS</w:t>
            </w:r>
          </w:p>
        </w:tc>
        <w:tc>
          <w:tcPr/>
          <w:p>
            <w:pPr>
              <w:pStyle w:val="Compact"/>
              <w:jc w:val="right"/>
            </w:pPr>
            <w:r>
              <w:t xml:space="preserve">0.597</w:t>
            </w:r>
          </w:p>
        </w:tc>
        <w:tc>
          <w:tcPr/>
          <w:p>
            <w:pPr>
              <w:pStyle w:val="Compact"/>
              <w:jc w:val="right"/>
            </w:pPr>
            <w:r>
              <w:t xml:space="preserve">0.041</w:t>
            </w:r>
          </w:p>
        </w:tc>
        <w:tc>
          <w:tcPr/>
          <w:p>
            <w:pPr>
              <w:pStyle w:val="Compact"/>
              <w:jc w:val="right"/>
            </w:pPr>
            <w:r>
              <w:t xml:space="preserve">0.845</w:t>
            </w:r>
          </w:p>
        </w:tc>
        <w:tc>
          <w:tcPr/>
          <w:p>
            <w:pPr>
              <w:pStyle w:val="Compact"/>
              <w:jc w:val="right"/>
            </w:pPr>
            <w:r>
              <w:t xml:space="preserve">1.692</w:t>
            </w:r>
          </w:p>
        </w:tc>
        <w:tc>
          <w:tcPr/>
          <w:p>
            <w:pPr>
              <w:pStyle w:val="Compact"/>
              <w:jc w:val="right"/>
            </w:pPr>
            <w:r>
              <w:t xml:space="preserve">0.334</w:t>
            </w:r>
          </w:p>
        </w:tc>
        <w:tc>
          <w:tcPr/>
          <w:p>
            <w:pPr>
              <w:pStyle w:val="Compact"/>
              <w:jc w:val="right"/>
            </w:pPr>
            <w:r>
              <w:t xml:space="preserve">111.1</w:t>
            </w:r>
          </w:p>
        </w:tc>
      </w:tr>
      <w:tr>
        <w:tc>
          <w:tcPr/>
          <w:p>
            <w:pPr>
              <w:pStyle w:val="Compact"/>
              <w:jc w:val="left"/>
            </w:pPr>
            <w:r>
              <w:t xml:space="preserve">P4 Foundation embeddings + QRF</w:t>
            </w:r>
          </w:p>
        </w:tc>
        <w:tc>
          <w:tcPr/>
          <w:p>
            <w:pPr>
              <w:pStyle w:val="Compact"/>
              <w:jc w:val="right"/>
            </w:pPr>
            <w:r>
              <w:t xml:space="preserve">0.613</w:t>
            </w:r>
          </w:p>
        </w:tc>
        <w:tc>
          <w:tcPr/>
          <w:p>
            <w:pPr>
              <w:pStyle w:val="Compact"/>
              <w:jc w:val="right"/>
            </w:pPr>
            <w:r>
              <w:t xml:space="preserve">-0.003</w:t>
            </w:r>
          </w:p>
        </w:tc>
        <w:tc>
          <w:tcPr/>
          <w:p>
            <w:pPr>
              <w:pStyle w:val="Compact"/>
              <w:jc w:val="right"/>
            </w:pPr>
            <w:r>
              <w:t xml:space="preserve">0.884</w:t>
            </w:r>
          </w:p>
        </w:tc>
        <w:tc>
          <w:tcPr/>
          <w:p>
            <w:pPr>
              <w:pStyle w:val="Compact"/>
              <w:jc w:val="right"/>
            </w:pPr>
            <w:r>
              <w:t xml:space="preserve">2.143</w:t>
            </w:r>
          </w:p>
        </w:tc>
        <w:tc>
          <w:tcPr/>
          <w:p>
            <w:pPr>
              <w:pStyle w:val="Compact"/>
              <w:jc w:val="right"/>
            </w:pPr>
            <w:r>
              <w:t xml:space="preserve">0.336</w:t>
            </w:r>
          </w:p>
        </w:tc>
        <w:tc>
          <w:tcPr/>
          <w:p>
            <w:pPr>
              <w:pStyle w:val="Compact"/>
              <w:jc w:val="right"/>
            </w:pPr>
            <w:r>
              <w:t xml:space="preserve">80.6</w:t>
            </w:r>
          </w:p>
        </w:tc>
      </w:tr>
      <w:tr>
        <w:tc>
          <w:tcPr/>
          <w:p>
            <w:pPr>
              <w:pStyle w:val="Compact"/>
              <w:jc w:val="left"/>
            </w:pPr>
            <w:r>
              <w:t xml:space="preserve">P10 GAT (trained attention)</w:t>
            </w:r>
          </w:p>
        </w:tc>
        <w:tc>
          <w:tcPr/>
          <w:p>
            <w:pPr>
              <w:pStyle w:val="Compact"/>
              <w:jc w:val="right"/>
            </w:pPr>
            <w:r>
              <w:t xml:space="preserve">0.621</w:t>
            </w:r>
          </w:p>
        </w:tc>
        <w:tc>
          <w:tcPr/>
          <w:p>
            <w:pPr>
              <w:pStyle w:val="Compact"/>
              <w:jc w:val="right"/>
            </w:pPr>
            <w:r>
              <w:t xml:space="preserve">-0.080</w:t>
            </w:r>
          </w:p>
        </w:tc>
        <w:tc>
          <w:tcPr/>
          <w:p>
            <w:pPr>
              <w:pStyle w:val="Compact"/>
              <w:jc w:val="right"/>
            </w:pPr>
            <w:r>
              <w:t xml:space="preserve">0.745</w:t>
            </w:r>
          </w:p>
        </w:tc>
        <w:tc>
          <w:tcPr/>
          <w:p>
            <w:pPr>
              <w:pStyle w:val="Compact"/>
              <w:jc w:val="right"/>
            </w:pPr>
            <w:r>
              <w:t xml:space="preserve">1.442</w:t>
            </w:r>
          </w:p>
        </w:tc>
        <w:tc>
          <w:tcPr/>
          <w:p>
            <w:pPr>
              <w:pStyle w:val="Compact"/>
              <w:jc w:val="right"/>
            </w:pPr>
            <w:r>
              <w:t xml:space="preserve">0.367</w:t>
            </w:r>
          </w:p>
        </w:tc>
        <w:tc>
          <w:tcPr/>
          <w:p>
            <w:pPr>
              <w:pStyle w:val="Compact"/>
              <w:jc w:val="right"/>
            </w:pPr>
            <w:r>
              <w:t xml:space="preserve">36.1</w:t>
            </w:r>
          </w:p>
        </w:tc>
      </w:tr>
      <w:tr>
        <w:tc>
          <w:tcPr/>
          <w:p>
            <w:pPr>
              <w:pStyle w:val="Compact"/>
              <w:jc w:val="left"/>
            </w:pPr>
            <w:r>
              <w:t xml:space="preserve">P6 Quantum KRR</w:t>
            </w:r>
          </w:p>
        </w:tc>
        <w:tc>
          <w:tcPr/>
          <w:p>
            <w:pPr>
              <w:pStyle w:val="Compact"/>
              <w:jc w:val="right"/>
            </w:pPr>
            <w:r>
              <w:t xml:space="preserve">0.663</w:t>
            </w:r>
          </w:p>
        </w:tc>
        <w:tc>
          <w:tcPr/>
          <w:p>
            <w:pPr>
              <w:pStyle w:val="Compact"/>
              <w:jc w:val="right"/>
            </w:pPr>
            <w:r>
              <w:t xml:space="preserve">-0.184</w:t>
            </w:r>
          </w:p>
        </w:tc>
        <w:tc>
          <w:tcPr/>
          <w:p>
            <w:pPr>
              <w:pStyle w:val="Compact"/>
              <w:jc w:val="right"/>
            </w:pPr>
            <w:r>
              <w:t xml:space="preserve">0.476</w:t>
            </w:r>
          </w:p>
        </w:tc>
        <w:tc>
          <w:tcPr/>
          <w:p>
            <w:pPr>
              <w:pStyle w:val="Compact"/>
              <w:jc w:val="right"/>
            </w:pPr>
            <w:r>
              <w:t xml:space="preserve">0.863</w:t>
            </w:r>
          </w:p>
        </w:tc>
        <w:tc>
          <w:tcPr/>
          <w:p>
            <w:pPr>
              <w:pStyle w:val="Compact"/>
              <w:jc w:val="right"/>
            </w:pPr>
            <w:r>
              <w:t xml:space="preserve">0.417</w:t>
            </w:r>
          </w:p>
        </w:tc>
        <w:tc>
          <w:tcPr/>
          <w:p>
            <w:pPr>
              <w:pStyle w:val="Compact"/>
              <w:jc w:val="right"/>
            </w:pPr>
            <w:r>
              <w:t xml:space="preserve">715.4</w:t>
            </w:r>
          </w:p>
        </w:tc>
      </w:tr>
    </w:tbl>
    <w:p>
      <w:pPr>
        <w:pStyle w:val="BodyText"/>
      </w:pPr>
      <w:r>
        <w:t xml:space="preserve">Ordinary least squares on the DAG-selected covariates has the lowest RMSE</w:t>
      </w:r>
      <w:r>
        <w:t xml:space="preserve"> </w:t>
      </w:r>
      <w:r>
        <w:t xml:space="preserve">(0.583) and the highest coefficient of</w:t>
      </w:r>
      <w:r>
        <w:t xml:space="preserve"> </w:t>
      </w:r>
      <w:r>
        <w:t xml:space="preserve">determination (0.067), and its calibration</w:t>
      </w:r>
      <w:r>
        <w:t xml:space="preserve"> </w:t>
      </w:r>
      <w:r>
        <w:t xml:space="preserve">(PICP 0.878) is among the best (Table 1). The</w:t>
      </w:r>
      <w:r>
        <w:t xml:space="preserve"> </w:t>
      </w:r>
      <w:r>
        <w:t xml:space="preserve">random forest is a close second. The three deep or exotic methods — foundation</w:t>
      </w:r>
      <w:r>
        <w:t xml:space="preserve"> </w:t>
      </w:r>
      <w:r>
        <w:t xml:space="preserve">embeddings, graph attention, and the quantum kernel — sit progressively lower,</w:t>
      </w:r>
      <w:r>
        <w:t xml:space="preserve"> </w:t>
      </w:r>
      <w:r>
        <w:t xml:space="preserve">and all three fall below the achievable null (</w:t>
      </w:r>
      <m:oMath>
        <m:sSup>
          <m:e>
            <m:r>
              <m:t>R</m:t>
            </m:r>
          </m:e>
          <m:sup>
            <m:r>
              <m:t>2</m:t>
            </m:r>
          </m:sup>
        </m:sSup>
        <m:r>
          <m:rPr>
            <m:sty m:val="p"/>
          </m:rPr>
          <m:t>&lt;</m:t>
        </m:r>
        <m:r>
          <m:t>0</m:t>
        </m:r>
      </m:oMath>
      <w:r>
        <w:t xml:space="preserve">): on these spatially</w:t>
      </w:r>
      <w:r>
        <w:t xml:space="preserve"> </w:t>
      </w:r>
      <w:r>
        <w:t xml:space="preserve">blocked folds they explain less than predicting the training mean. The quantum</w:t>
      </w:r>
      <w:r>
        <w:t xml:space="preserve"> </w:t>
      </w:r>
      <w:r>
        <w:t xml:space="preserve">kernel is both least accurate and, at</w:t>
      </w:r>
      <w:r>
        <w:t xml:space="preserve"> </w:t>
      </w:r>
      <w:r>
        <w:t xml:space="preserve">715 s, several hundred</w:t>
      </w:r>
      <w:r>
        <w:t xml:space="preserve"> </w:t>
      </w:r>
      <w:r>
        <w:t xml:space="preserve">times slower than the baseline (Fig 1). The spread among the top methods is</w:t>
      </w:r>
      <w:r>
        <w:t xml:space="preserve"> </w:t>
      </w:r>
      <w:r>
        <w:t xml:space="preserve">small relative to the fold-to-fold standard deviation</w:t>
      </w:r>
      <w:r>
        <w:t xml:space="preserve"> </w:t>
      </w:r>
      <w:r>
        <w:t xml:space="preserve">(</w:t>
      </w:r>
      <m:oMath>
        <m:r>
          <m:rPr>
            <m:sty m:val="p"/>
          </m:rPr>
          <m:t>≈</m:t>
        </m:r>
      </m:oMath>
      <w:r>
        <w:t xml:space="preserve"> </w:t>
      </w:r>
      <w:r>
        <w:t xml:space="preserve">0.06 RMSE), so we do not over-read</w:t>
      </w:r>
      <w:r>
        <w:t xml:space="preserve"> </w:t>
      </w:r>
      <w:r>
        <w:t xml:space="preserve">the ordering beyond its headline: elaboration did not pay here.</w:t>
      </w:r>
    </w:p>
    <w:p>
      <w:pPr>
        <w:pStyle w:val="CaptionedFigure"/>
      </w:pPr>
      <w:r>
        <w:drawing>
          <wp:inline>
            <wp:extent cx="5334000" cy="3441290"/>
            <wp:effectExtent b="0" l="0" r="0" t="0"/>
            <wp:docPr descr="Accuracy (RMSE, lower better) against variance explained (R2 vs the training-fold mean). The DAG-informed OLS (filled) is the most accurate; every more elaborate method sits down and to the left, and three fall below the achievable null." title="" id="16" name="Picture"/>
            <a:graphic>
              <a:graphicData uri="http://schemas.openxmlformats.org/drawingml/2006/picture">
                <pic:pic>
                  <pic:nvPicPr>
                    <pic:cNvPr descr="manuscript_files/manuscript_files/figure-docx/bench-plot-1.png" id="17" name="Picture"/>
                    <pic:cNvPicPr>
                      <a:picLocks noChangeArrowheads="1" noChangeAspect="1"/>
                    </pic:cNvPicPr>
                  </pic:nvPicPr>
                  <pic:blipFill>
                    <a:blip r:embed="rId15"/>
                    <a:stretch>
                      <a:fillRect/>
                    </a:stretch>
                  </pic:blipFill>
                  <pic:spPr bwMode="auto">
                    <a:xfrm>
                      <a:off x="0" y="0"/>
                      <a:ext cx="5334000" cy="3441290"/>
                    </a:xfrm>
                    <a:prstGeom prst="rect">
                      <a:avLst/>
                    </a:prstGeom>
                    <a:noFill/>
                    <a:ln w="9525">
                      <a:noFill/>
                      <a:headEnd/>
                      <a:tailEnd/>
                    </a:ln>
                  </pic:spPr>
                </pic:pic>
              </a:graphicData>
            </a:graphic>
          </wp:inline>
        </w:drawing>
      </w:r>
    </w:p>
    <w:p>
      <w:pPr>
        <w:pStyle w:val="ImageCaption"/>
      </w:pPr>
      <w:r>
        <w:t xml:space="preserve">Accuracy (RMSE, lower better) against variance explained (R2 vs the training-fold mean). The DAG-informed OLS (filled) is the most accurate; every more elaborate method sits down and to the left, and three fall below the achievable null.</w:t>
      </w:r>
    </w:p>
    <w:p>
      <w:pPr>
        <w:pStyle w:val="BodyText"/>
      </w:pPr>
      <w:r>
        <w:t xml:space="preserve">When tuned under nested cross-validation (1095 profiles; outer</w:t>
      </w:r>
      <w:r>
        <w:t xml:space="preserve"> </w:t>
      </w:r>
      <w:r>
        <w:t xml:space="preserve">folds never used for tuning), the graph attention network reaches a pooled</w:t>
      </w:r>
      <w:r>
        <w:t xml:space="preserve"> </w:t>
      </w:r>
      <w:r>
        <w:t xml:space="preserve">Nash–Sutcliffe efficiency of</w:t>
      </w:r>
      <w:r>
        <w:t xml:space="preserve"> </w:t>
      </w:r>
      <w:r>
        <w:t xml:space="preserve">0.184 against the tuned forest’s</w:t>
      </w:r>
      <w:r>
        <w:t xml:space="preserve"> </w:t>
      </w:r>
      <w:r>
        <w:t xml:space="preserve">0.165 — an edge whose 95%</w:t>
      </w:r>
      <w:r>
        <w:t xml:space="preserve"> </w:t>
      </w:r>
      <w:r>
        <w:t xml:space="preserve">block-bootstrap confidence interval,</w:t>
      </w:r>
      <w:r>
        <w:t xml:space="preserve"> </w:t>
      </w:r>
      <w:r>
        <w:t xml:space="preserve">[-0.021, 0.057], spans zero</w:t>
      </w:r>
      <w:r>
        <w:t xml:space="preserve"> </w:t>
      </w:r>
      <w:r>
        <w:t xml:space="preserve">(P(GAT ahead) = 0.844). The attention mechanism is thus</w:t>
      </w:r>
      <w:r>
        <w:t xml:space="preserve"> </w:t>
      </w:r>
      <w:r>
        <w:t xml:space="preserve">competitive with, not superior to, a random forest.</w:t>
      </w:r>
    </w:p>
    <w:bookmarkEnd w:id="18"/>
    <w:bookmarkStart w:id="19" w:name="X4842fa87761095161d06130d5bbae92dface17e"/>
    <w:p>
      <w:pPr>
        <w:pStyle w:val="Heading2"/>
      </w:pPr>
      <w:r>
        <w:rPr>
          <w:rStyle w:val="SectionNumber"/>
        </w:rPr>
        <w:t xml:space="preserve">3.2</w:t>
      </w:r>
      <w:r>
        <w:tab/>
      </w:r>
      <w:r>
        <w:t xml:space="preserve">Causal inference: robust associations, and why identification is hard</w:t>
      </w:r>
    </w:p>
    <w:p>
      <w:pPr>
        <w:pStyle w:val="TableCaption"/>
      </w:pPr>
      <w:r>
        <w:t xml:space="preserve">Backdoor-adjusted associations on 3077 WoSIS Cerrado profiles (g/kg topsoil carbon per unit exposure). RV: Cinelli-Hazlett robustness value.</w:t>
      </w:r>
    </w:p>
    <w:tbl>
      <w:tblPr>
        <w:tblStyle w:val="Table"/>
        <w:tblW w:type="pct" w:w="5000"/>
        <w:tblLayout w:type="fixed"/>
        <w:tblLook w:firstRow="1" w:lastRow="0" w:firstColumn="0" w:lastColumn="0" w:noHBand="0" w:noVBand="0" w:val="0020"/>
        <w:tblCaption w:val="Backdoor-adjusted associations on 3077 WoSIS Cerrado profiles (g/kg topsoil carbon per unit exposure). RV: Cinelli-Hazlett robustness value."/>
      </w:tblPr>
      <w:tblGrid>
        <w:gridCol w:w="1749"/>
        <w:gridCol w:w="2118"/>
        <w:gridCol w:w="644"/>
        <w:gridCol w:w="828"/>
        <w:gridCol w:w="1565"/>
        <w:gridCol w:w="552"/>
        <w:gridCol w:w="460"/>
      </w:tblGrid>
      <w:tr>
        <w:trPr>
          <w:tblHeader w:val="on"/>
        </w:trPr>
        <w:tc>
          <w:tcPr/>
          <w:p>
            <w:pPr>
              <w:pStyle w:val="Compact"/>
            </w:pPr>
          </w:p>
        </w:tc>
        <w:tc>
          <w:tcPr/>
          <w:p>
            <w:pPr>
              <w:pStyle w:val="Compact"/>
              <w:jc w:val="left"/>
            </w:pPr>
            <w:r>
              <w:t xml:space="preserve">Exposure</w:t>
            </w:r>
          </w:p>
        </w:tc>
        <w:tc>
          <w:tcPr/>
          <w:p>
            <w:pPr>
              <w:pStyle w:val="Compact"/>
              <w:jc w:val="right"/>
            </w:pPr>
            <w:r>
              <w:t xml:space="preserve">Naive</w:t>
            </w:r>
          </w:p>
        </w:tc>
        <w:tc>
          <w:tcPr/>
          <w:p>
            <w:pPr>
              <w:pStyle w:val="Compact"/>
              <w:jc w:val="right"/>
            </w:pPr>
            <w:r>
              <w:t xml:space="preserve">Adjusted</w:t>
            </w:r>
          </w:p>
        </w:tc>
        <w:tc>
          <w:tcPr/>
          <w:p>
            <w:pPr>
              <w:pStyle w:val="Compact"/>
              <w:jc w:val="center"/>
            </w:pPr>
            <w:r>
              <w:t xml:space="preserve">95% CI</w:t>
            </w:r>
          </w:p>
        </w:tc>
        <w:tc>
          <w:tcPr/>
          <w:p>
            <w:pPr>
              <w:pStyle w:val="Compact"/>
              <w:jc w:val="center"/>
            </w:pPr>
            <w:r>
              <w:t xml:space="preserve">Sig.</w:t>
            </w:r>
          </w:p>
        </w:tc>
        <w:tc>
          <w:tcPr/>
          <w:p>
            <w:pPr>
              <w:pStyle w:val="Compact"/>
              <w:jc w:val="right"/>
            </w:pPr>
            <w:r>
              <w:t xml:space="preserve">RV</w:t>
            </w:r>
          </w:p>
        </w:tc>
      </w:tr>
      <w:tr>
        <w:tc>
          <w:tcPr/>
          <w:p>
            <w:pPr>
              <w:pStyle w:val="Compact"/>
              <w:jc w:val="left"/>
            </w:pPr>
            <w:r>
              <w:t xml:space="preserve">wc_bio_12</w:t>
            </w:r>
          </w:p>
        </w:tc>
        <w:tc>
          <w:tcPr/>
          <w:p>
            <w:pPr>
              <w:pStyle w:val="Compact"/>
              <w:jc w:val="left"/>
            </w:pPr>
            <w:r>
              <w:t xml:space="preserve">Precipitation (per mm)</w:t>
            </w:r>
          </w:p>
        </w:tc>
        <w:tc>
          <w:tcPr/>
          <w:p>
            <w:pPr>
              <w:pStyle w:val="Compact"/>
              <w:jc w:val="right"/>
            </w:pPr>
            <w:r>
              <w:t xml:space="preserve">0.008</w:t>
            </w:r>
          </w:p>
        </w:tc>
        <w:tc>
          <w:tcPr/>
          <w:p>
            <w:pPr>
              <w:pStyle w:val="Compact"/>
              <w:jc w:val="right"/>
            </w:pPr>
            <w:r>
              <w:t xml:space="preserve">0.010</w:t>
            </w:r>
          </w:p>
        </w:tc>
        <w:tc>
          <w:tcPr/>
          <w:p>
            <w:pPr>
              <w:pStyle w:val="Compact"/>
              <w:jc w:val="center"/>
            </w:pPr>
            <w:r>
              <w:t xml:space="preserve">[0.003, 0.019]</w:t>
            </w:r>
          </w:p>
        </w:tc>
        <w:tc>
          <w:tcPr/>
          <w:p>
            <w:pPr>
              <w:pStyle w:val="Compact"/>
              <w:jc w:val="center"/>
            </w:pPr>
            <w:r>
              <w:t xml:space="preserve">yes</w:t>
            </w:r>
          </w:p>
        </w:tc>
        <w:tc>
          <w:tcPr/>
          <w:p>
            <w:pPr>
              <w:pStyle w:val="Compact"/>
              <w:jc w:val="right"/>
            </w:pPr>
            <w:r>
              <w:t xml:space="preserve">0.16</w:t>
            </w:r>
          </w:p>
        </w:tc>
      </w:tr>
      <w:tr>
        <w:tc>
          <w:tcPr/>
          <w:p>
            <w:pPr>
              <w:pStyle w:val="Compact"/>
              <w:jc w:val="left"/>
            </w:pPr>
            <w:r>
              <w:t xml:space="preserve">wc_bio_01</w:t>
            </w:r>
          </w:p>
        </w:tc>
        <w:tc>
          <w:tcPr/>
          <w:p>
            <w:pPr>
              <w:pStyle w:val="Compact"/>
              <w:jc w:val="left"/>
            </w:pPr>
            <w:r>
              <w:t xml:space="preserve">Temperature (per degC)</w:t>
            </w:r>
          </w:p>
        </w:tc>
        <w:tc>
          <w:tcPr/>
          <w:p>
            <w:pPr>
              <w:pStyle w:val="Compact"/>
              <w:jc w:val="right"/>
            </w:pPr>
            <w:r>
              <w:t xml:space="preserve">-0.467</w:t>
            </w:r>
          </w:p>
        </w:tc>
        <w:tc>
          <w:tcPr/>
          <w:p>
            <w:pPr>
              <w:pStyle w:val="Compact"/>
              <w:jc w:val="right"/>
            </w:pPr>
            <w:r>
              <w:t xml:space="preserve">-0.824</w:t>
            </w:r>
          </w:p>
        </w:tc>
        <w:tc>
          <w:tcPr/>
          <w:p>
            <w:pPr>
              <w:pStyle w:val="Compact"/>
              <w:jc w:val="center"/>
            </w:pPr>
            <w:r>
              <w:t xml:space="preserve">[-1.367, 0.222]</w:t>
            </w:r>
          </w:p>
        </w:tc>
        <w:tc>
          <w:tcPr/>
          <w:p>
            <w:pPr>
              <w:pStyle w:val="Compact"/>
              <w:jc w:val="center"/>
            </w:pPr>
            <w:r>
              <w:t xml:space="preserve">no</w:t>
            </w:r>
          </w:p>
        </w:tc>
        <w:tc>
          <w:tcPr/>
          <w:p>
            <w:pPr>
              <w:pStyle w:val="Compact"/>
              <w:jc w:val="right"/>
            </w:pPr>
            <w:r>
              <w:t xml:space="preserve">0.08</w:t>
            </w:r>
          </w:p>
        </w:tc>
      </w:tr>
      <w:tr>
        <w:tc>
          <w:tcPr/>
          <w:p>
            <w:pPr>
              <w:pStyle w:val="Compact"/>
              <w:jc w:val="left"/>
            </w:pPr>
            <w:r>
              <w:t xml:space="preserve">wc_landcover_trees</w:t>
            </w:r>
          </w:p>
        </w:tc>
        <w:tc>
          <w:tcPr/>
          <w:p>
            <w:pPr>
              <w:pStyle w:val="Compact"/>
              <w:jc w:val="left"/>
            </w:pPr>
            <w:r>
              <w:t xml:space="preserve">Tree cover (per 0-1)</w:t>
            </w:r>
          </w:p>
        </w:tc>
        <w:tc>
          <w:tcPr/>
          <w:p>
            <w:pPr>
              <w:pStyle w:val="Compact"/>
              <w:jc w:val="right"/>
            </w:pPr>
            <w:r>
              <w:t xml:space="preserve">2.864</w:t>
            </w:r>
          </w:p>
        </w:tc>
        <w:tc>
          <w:tcPr/>
          <w:p>
            <w:pPr>
              <w:pStyle w:val="Compact"/>
              <w:jc w:val="right"/>
            </w:pPr>
            <w:r>
              <w:t xml:space="preserve">0.347</w:t>
            </w:r>
          </w:p>
        </w:tc>
        <w:tc>
          <w:tcPr/>
          <w:p>
            <w:pPr>
              <w:pStyle w:val="Compact"/>
              <w:jc w:val="center"/>
            </w:pPr>
            <w:r>
              <w:t xml:space="preserve">[-3.314, 2.940]</w:t>
            </w:r>
          </w:p>
        </w:tc>
        <w:tc>
          <w:tcPr/>
          <w:p>
            <w:pPr>
              <w:pStyle w:val="Compact"/>
              <w:jc w:val="center"/>
            </w:pPr>
            <w:r>
              <w:t xml:space="preserve">no</w:t>
            </w:r>
          </w:p>
        </w:tc>
        <w:tc>
          <w:tcPr/>
          <w:p>
            <w:pPr>
              <w:pStyle w:val="Compact"/>
              <w:jc w:val="right"/>
            </w:pPr>
            <w:r>
              <w:t xml:space="preserve">0.01</w:t>
            </w:r>
          </w:p>
        </w:tc>
      </w:tr>
      <w:tr>
        <w:tc>
          <w:tcPr/>
          <w:p>
            <w:pPr>
              <w:pStyle w:val="Compact"/>
              <w:jc w:val="left"/>
            </w:pPr>
            <w:r>
              <w:t xml:space="preserve">soilgrids_clay</w:t>
            </w:r>
          </w:p>
        </w:tc>
        <w:tc>
          <w:tcPr/>
          <w:p>
            <w:pPr>
              <w:pStyle w:val="Compact"/>
              <w:jc w:val="left"/>
            </w:pPr>
            <w:r>
              <w:t xml:space="preserve">Clay (per %)</w:t>
            </w:r>
          </w:p>
        </w:tc>
        <w:tc>
          <w:tcPr/>
          <w:p>
            <w:pPr>
              <w:pStyle w:val="Compact"/>
              <w:jc w:val="right"/>
            </w:pPr>
            <w:r>
              <w:t xml:space="preserve">0.446</w:t>
            </w:r>
          </w:p>
        </w:tc>
        <w:tc>
          <w:tcPr/>
          <w:p>
            <w:pPr>
              <w:pStyle w:val="Compact"/>
              <w:jc w:val="right"/>
            </w:pPr>
            <w:r>
              <w:t xml:space="preserve">0.448</w:t>
            </w:r>
          </w:p>
        </w:tc>
        <w:tc>
          <w:tcPr/>
          <w:p>
            <w:pPr>
              <w:pStyle w:val="Compact"/>
              <w:jc w:val="center"/>
            </w:pPr>
            <w:r>
              <w:t xml:space="preserve">[0.292, 0.641]</w:t>
            </w:r>
          </w:p>
        </w:tc>
        <w:tc>
          <w:tcPr/>
          <w:p>
            <w:pPr>
              <w:pStyle w:val="Compact"/>
              <w:jc w:val="center"/>
            </w:pPr>
            <w:r>
              <w:t xml:space="preserve">yes</w:t>
            </w:r>
          </w:p>
        </w:tc>
        <w:tc>
          <w:tcPr/>
          <w:p>
            <w:pPr>
              <w:pStyle w:val="Compact"/>
              <w:jc w:val="right"/>
            </w:pPr>
            <w:r>
              <w:t xml:space="preserve">0.18</w:t>
            </w:r>
          </w:p>
        </w:tc>
      </w:tr>
    </w:tbl>
    <w:p>
      <w:pPr>
        <w:pStyle w:val="BodyText"/>
      </w:pPr>
      <w:r>
        <w:t xml:space="preserve">Two associations are robust and mechanistically sensible (Table 2):</w:t>
      </w:r>
      <w:r>
        <w:t xml:space="preserve"> </w:t>
      </w:r>
      <w:r>
        <w:t xml:space="preserve">precipitation and clay content both raise topsoil carbon, are distinguishable</w:t>
      </w:r>
      <w:r>
        <w:t xml:space="preserve"> </w:t>
      </w:r>
      <w:r>
        <w:t xml:space="preserve">from zero, and would each need an unobserved confounder explaining about 16–18% of</w:t>
      </w:r>
      <w:r>
        <w:t xml:space="preserve"> </w:t>
      </w:r>
      <w:r>
        <w:t xml:space="preserve">residual variance in both exposure and outcome to overturn. The temperature</w:t>
      </w:r>
      <w:r>
        <w:t xml:space="preserve"> </w:t>
      </w:r>
      <w:r>
        <w:t xml:space="preserve">association carries the expected negative sign but is not distinguishable from</w:t>
      </w:r>
      <w:r>
        <w:t xml:space="preserve"> </w:t>
      </w:r>
      <w:r>
        <w:t xml:space="preserve">zero. The tree-cover row is instructive: its naive association</w:t>
      </w:r>
      <w:r>
        <w:t xml:space="preserve"> </w:t>
      </w:r>
      <w:r>
        <w:t xml:space="preserve">(2.86) all but vanishes</w:t>
      </w:r>
      <w:r>
        <w:t xml:space="preserve"> </w:t>
      </w:r>
      <w:r>
        <w:t xml:space="preserve">after adjusting for climate</w:t>
      </w:r>
      <w:r>
        <w:t xml:space="preserve"> </w:t>
      </w:r>
      <w:r>
        <w:t xml:space="preserve">(0.35, interval spanning zero,</w:t>
      </w:r>
      <w:r>
        <w:t xml:space="preserve"> </w:t>
      </w:r>
      <w:r>
        <w:t xml:space="preserve">RV 0.006) — the raw signal was</w:t>
      </w:r>
      <w:r>
        <w:t xml:space="preserve"> </w:t>
      </w:r>
      <w:r>
        <w:t xml:space="preserve">largely shared climatic ancestry. This is exactly the confounding that</w:t>
      </w:r>
      <w:r>
        <w:t xml:space="preserve"> </w:t>
      </w:r>
      <w:r>
        <w:t xml:space="preserve">Zhang and Wadoux</w:t>
      </w:r>
      <w:r>
        <w:t xml:space="preserve"> </w:t>
      </w:r>
      <w:r>
        <w:t xml:space="preserve">[3]</w:t>
      </w:r>
      <w:r>
        <w:t xml:space="preserve"> </w:t>
      </w:r>
      <w:r>
        <w:t xml:space="preserve">warn is misread as causal, shown directly on</w:t>
      </w:r>
      <w:r>
        <w:t xml:space="preserve"> </w:t>
      </w:r>
      <w:r>
        <w:t xml:space="preserve">real data.</w:t>
      </w:r>
    </w:p>
    <w:p>
      <w:pPr>
        <w:pStyle w:val="BodyText"/>
      </w:pPr>
      <w:r>
        <w:t xml:space="preserve">Backdoor adjustment identifies an effect only under causal sufficiency.</w:t>
      </w:r>
      <w:r>
        <w:t xml:space="preserve"> </w:t>
      </w:r>
      <w:r>
        <w:t xml:space="preserve">Instrumental variables promise identification under a different assumption — that</w:t>
      </w:r>
      <w:r>
        <w:t xml:space="preserve"> </w:t>
      </w:r>
      <w:r>
        <w:t xml:space="preserve">an instrument affects the outcome only through the exposure. We trained a real</w:t>
      </w:r>
      <w:r>
        <w:t xml:space="preserve"> </w:t>
      </w:r>
      <w:r>
        <w:t xml:space="preserve">MoCo-v2 foundation encoder (7 covariate channels,</w:t>
      </w:r>
      <w:r>
        <w:t xml:space="preserve"> </w:t>
      </w:r>
      <w:r>
        <w:t xml:space="preserve">12,000 tiles,</w:t>
      </w:r>
      <w:r>
        <w:t xml:space="preserve"> </w:t>
      </w:r>
      <w:r>
        <w:t xml:space="preserve">3,000 epochs) and used the principal</w:t>
      </w:r>
      <w:r>
        <w:t xml:space="preserve"> </w:t>
      </w:r>
      <w:r>
        <w:t xml:space="preserve">components of its per-profile landscape embedding as instruments for</w:t>
      </w:r>
      <w:r>
        <w:t xml:space="preserve"> </w:t>
      </w:r>
      <w:r>
        <w:t xml:space="preserve">precipitation. The instruments are extremely relevant — a first-stage</w:t>
      </w:r>
      <w:r>
        <w:t xml:space="preserve"> </w:t>
      </w:r>
      <m:oMath>
        <m:r>
          <m:t>F</m:t>
        </m:r>
      </m:oMath>
      <w:r>
        <w:t xml:space="preserve"> </w:t>
      </w:r>
      <w:r>
        <w:t xml:space="preserve">of</w:t>
      </w:r>
      <w:r>
        <w:t xml:space="preserve"> </w:t>
      </w:r>
      <w:r>
        <w:t xml:space="preserve">4630, far above the usual threshold of 10 — yet they</w:t>
      </w:r>
      <w:r>
        <w:t xml:space="preserve"> </w:t>
      </w:r>
      <w:r>
        <w:t xml:space="preserve">decisively fail the Sargan over-identification test</w:t>
      </w:r>
      <w:r>
        <w:t xml:space="preserve"> </w:t>
      </w:r>
      <w:r>
        <w:t xml:space="preserve">(</w:t>
      </w:r>
      <m:oMath>
        <m:sSup>
          <m:e>
            <m:r>
              <m:t>χ</m:t>
            </m:r>
          </m:e>
          <m:sup>
            <m:r>
              <m:t>2</m:t>
            </m:r>
          </m:sup>
        </m:sSup>
      </m:oMath>
      <w:r>
        <w:t xml:space="preserve">(4) = 84.4,</w:t>
      </w:r>
      <w:r>
        <w:t xml:space="preserve"> </w:t>
      </w:r>
      <m:oMath>
        <m:r>
          <m:t>p</m:t>
        </m:r>
        <m:r>
          <m:rPr>
            <m:sty m:val="p"/>
          </m:rPr>
          <m:t>≈</m:t>
        </m:r>
      </m:oMath>
      <w:r>
        <w:t xml:space="preserve"> </w:t>
      </w:r>
      <w:r>
        <w:t xml:space="preserve">0e+00). A learned</w:t>
      </w:r>
      <w:r>
        <w:t xml:space="preserve"> </w:t>
      </w:r>
      <w:r>
        <w:t xml:space="preserve">landscape representation encodes climate, terrain, soil and vegetation together,</w:t>
      </w:r>
      <w:r>
        <w:t xml:space="preserve"> </w:t>
      </w:r>
      <w:r>
        <w:t xml:space="preserve">so it reaches carbon through many paths and violates the exclusion restriction.</w:t>
      </w:r>
      <w:r>
        <w:t xml:space="preserve"> </w:t>
      </w:r>
      <w:r>
        <w:t xml:space="preserve">Even a powerful learned representation does not manufacture a valid instrument;</w:t>
      </w:r>
      <w:r>
        <w:t xml:space="preserve"> </w:t>
      </w:r>
      <w:r>
        <w:t xml:space="preserve">we report the failed test, not a headline effect.</w:t>
      </w:r>
    </w:p>
    <w:bookmarkEnd w:id="19"/>
    <w:bookmarkEnd w:id="20"/>
    <w:bookmarkStart w:id="21" w:name="discussion"/>
    <w:p>
      <w:pPr>
        <w:pStyle w:val="Heading1"/>
      </w:pPr>
      <w:r>
        <w:rPr>
          <w:rStyle w:val="SectionNumber"/>
        </w:rPr>
        <w:t xml:space="preserve">4</w:t>
      </w:r>
      <w:r>
        <w:tab/>
      </w:r>
      <w:r>
        <w:t xml:space="preserve">Discussion</w:t>
      </w:r>
    </w:p>
    <w:p>
      <w:pPr>
        <w:pStyle w:val="FirstParagraph"/>
      </w:pPr>
      <w:r>
        <w:t xml:space="preserve">The benchmark’s conclusion — that a DAG-informed OLS is the strongest method,</w:t>
      </w:r>
      <w:r>
        <w:t xml:space="preserve"> </w:t>
      </w:r>
      <w:r>
        <w:t xml:space="preserve">and that three of five frontier pillars fall below the achievable null —</w:t>
      </w:r>
      <w:r>
        <w:t xml:space="preserve"> </w:t>
      </w:r>
      <w:r>
        <w:t xml:space="preserve">deserves care in either direction. It does not show that deep learning cannot</w:t>
      </w:r>
      <w:r>
        <w:t xml:space="preserve"> </w:t>
      </w:r>
      <w:r>
        <w:t xml:space="preserve">work in DSM; it shows that on about 1000 point profiles with a handful of coarse</w:t>
      </w:r>
      <w:r>
        <w:t xml:space="preserve"> </w:t>
      </w:r>
      <w:r>
        <w:t xml:space="preserve">covariates, the sample and signal are too small for high-capacity models to</w:t>
      </w:r>
      <w:r>
        <w:t xml:space="preserve"> </w:t>
      </w:r>
      <w:r>
        <w:t xml:space="preserve">express an advantage, and that a linear model on well-chosen covariates is hard</w:t>
      </w:r>
      <w:r>
        <w:t xml:space="preserve"> </w:t>
      </w:r>
      <w:r>
        <w:t xml:space="preserve">to beat. This is a common finding for tabular problems at this scale, and it is</w:t>
      </w:r>
      <w:r>
        <w:t xml:space="preserve"> </w:t>
      </w:r>
      <w:r>
        <w:t xml:space="preserve">precisely the kind of result that a matched, uncertainty-aware protocol surfaces</w:t>
      </w:r>
      <w:r>
        <w:t xml:space="preserve"> </w:t>
      </w:r>
      <w:r>
        <w:t xml:space="preserve">and an accuracy-only, single-method report hides. The calibration columns make</w:t>
      </w:r>
      <w:r>
        <w:t xml:space="preserve"> </w:t>
      </w:r>
      <w:r>
        <w:t xml:space="preserve">the same point from another angle: the quantum kernel’s narrow intervals buy the</w:t>
      </w:r>
      <w:r>
        <w:t xml:space="preserve"> </w:t>
      </w:r>
      <w:r>
        <w:t xml:space="preserve">worst coverage, an overconfidence a point-accuracy table would never reveal.</w:t>
      </w:r>
    </w:p>
    <w:p>
      <w:pPr>
        <w:pStyle w:val="BodyText"/>
      </w:pPr>
      <w:r>
        <w:t xml:space="preserve">The causal results carry the second message. Backdoor adjustment on an explicit</w:t>
      </w:r>
      <w:r>
        <w:t xml:space="preserve"> </w:t>
      </w:r>
      <w:r>
        <w:t xml:space="preserve">DAG is a legitimate and useful tool — it recovered a robust precipitation and</w:t>
      </w:r>
      <w:r>
        <w:t xml:space="preserve"> </w:t>
      </w:r>
      <w:r>
        <w:t xml:space="preserve">clay signal and exposed the tree-cover association as mostly confounding — but</w:t>
      </w:r>
      <w:r>
        <w:t xml:space="preserve"> </w:t>
      </w:r>
      <w:r>
        <w:t xml:space="preserve">the honest object it returns is an adjusted association with a sensitivity</w:t>
      </w:r>
      <w:r>
        <w:t xml:space="preserve"> </w:t>
      </w:r>
      <w:r>
        <w:t xml:space="preserve">bound, not an identified causal effect. The negative IV result sharpens this:</w:t>
      </w:r>
      <w:r>
        <w:t xml:space="preserve"> </w:t>
      </w:r>
      <w:r>
        <w:t xml:space="preserve">the most tempting modern shortcut to identification, a learned representation as</w:t>
      </w:r>
      <w:r>
        <w:t xml:space="preserve"> </w:t>
      </w:r>
      <w:r>
        <w:t xml:space="preserve">instrument, is the wrong tool, because the property that makes an embedding a</w:t>
      </w:r>
      <w:r>
        <w:t xml:space="preserve"> </w:t>
      </w:r>
      <w:r>
        <w:t xml:space="preserve">good predictor (it captures everything) is the property that makes it an invalid</w:t>
      </w:r>
      <w:r>
        <w:t xml:space="preserve"> </w:t>
      </w:r>
      <w:r>
        <w:t xml:space="preserve">instrument (it violates exclusion).</w:t>
      </w:r>
    </w:p>
    <w:p>
      <w:pPr>
        <w:pStyle w:val="BodyText"/>
      </w:pPr>
      <w:r>
        <w:t xml:space="preserve">The limitations are inherent to the design. A single biome, about 1000–3000 profiles,</w:t>
      </w:r>
      <w:r>
        <w:t xml:space="preserve"> </w:t>
      </w:r>
      <w:r>
        <w:t xml:space="preserve">and coarse covariates are a hard setting for high-capacity methods; a larger,</w:t>
      </w:r>
      <w:r>
        <w:t xml:space="preserve"> </w:t>
      </w:r>
      <w:r>
        <w:t xml:space="preserve">denser survey with fine-resolution covariates might let the foundation encoder or</w:t>
      </w:r>
      <w:r>
        <w:t xml:space="preserve"> </w:t>
      </w:r>
      <w:r>
        <w:t xml:space="preserve">graph network express structure they cannot here, and the framework is built to</w:t>
      </w:r>
      <w:r>
        <w:t xml:space="preserve"> </w:t>
      </w:r>
      <w:r>
        <w:t xml:space="preserve">make that re-test a one-line change of data. The benchmark scores prediction, not</w:t>
      </w:r>
      <w:r>
        <w:t xml:space="preserve"> </w:t>
      </w:r>
      <w:r>
        <w:t xml:space="preserve">the process-informed generative modelling that Zhang and Wadoux</w:t>
      </w:r>
      <w:r>
        <w:t xml:space="preserve"> </w:t>
      </w:r>
      <w:r>
        <w:t xml:space="preserve">[3]</w:t>
      </w:r>
      <w:r>
        <w:t xml:space="preserve"> </w:t>
      </w:r>
      <w:r>
        <w:t xml:space="preserve">identify as the most defensible route to causal claims.</w:t>
      </w:r>
    </w:p>
    <w:bookmarkEnd w:id="21"/>
    <w:bookmarkStart w:id="22" w:name="conclusion"/>
    <w:p>
      <w:pPr>
        <w:pStyle w:val="Heading1"/>
      </w:pPr>
      <w:r>
        <w:rPr>
          <w:rStyle w:val="SectionNumber"/>
        </w:rPr>
        <w:t xml:space="preserve">5</w:t>
      </w:r>
      <w:r>
        <w:tab/>
      </w:r>
      <w:r>
        <w:t xml:space="preserve">Conclusion</w:t>
      </w:r>
    </w:p>
    <w:p>
      <w:pPr>
        <w:pStyle w:val="FirstParagraph"/>
      </w:pPr>
      <w:r>
        <w:t xml:space="preserve">We have presented a reproducible framework that reduces ten families of DSM</w:t>
      </w:r>
      <w:r>
        <w:t xml:space="preserve"> </w:t>
      </w:r>
      <w:r>
        <w:t xml:space="preserve">method to a common posterior-and-calibration currency, and used it to run a</w:t>
      </w:r>
      <w:r>
        <w:t xml:space="preserve"> </w:t>
      </w:r>
      <w:r>
        <w:t xml:space="preserve">matched, honest benchmark whose lesson is deflationary: on real WoSIS Cerrado</w:t>
      </w:r>
      <w:r>
        <w:t xml:space="preserve"> </w:t>
      </w:r>
      <w:r>
        <w:t xml:space="preserve">profiles a DAG-informed ordinary-least-squares model is the most accurate and</w:t>
      </w:r>
      <w:r>
        <w:t xml:space="preserve"> </w:t>
      </w:r>
      <w:r>
        <w:t xml:space="preserve">best-calibrated method, and no more elaborate pillar beats it. The value we</w:t>
      </w:r>
      <w:r>
        <w:t xml:space="preserve"> </w:t>
      </w:r>
      <w:r>
        <w:t xml:space="preserve">claim is not a new best predictor but the apparatus — and the discipline — for</w:t>
      </w:r>
      <w:r>
        <w:t xml:space="preserve"> </w:t>
      </w:r>
      <w:r>
        <w:t xml:space="preserve">finding out which method helps, reporting calibrated uncertainty, and stating</w:t>
      </w:r>
      <w:r>
        <w:t xml:space="preserve"> </w:t>
      </w:r>
      <w:r>
        <w:t xml:space="preserve">plainly when the answer is</w:t>
      </w:r>
      <w:r>
        <w:t xml:space="preserve"> </w:t>
      </w:r>
      <w:r>
        <w:t xml:space="preserve">“none of the new ones, here.”</w:t>
      </w:r>
      <w:r>
        <w:t xml:space="preserve"> </w:t>
      </w:r>
      <w:r>
        <w:t xml:space="preserve">The same apparatus</w:t>
      </w:r>
      <w:r>
        <w:t xml:space="preserve"> </w:t>
      </w:r>
      <w:r>
        <w:t xml:space="preserve">delivered a robust causal association analysis with explicit sensitivity bounds</w:t>
      </w:r>
      <w:r>
        <w:t xml:space="preserve"> </w:t>
      </w:r>
      <w:r>
        <w:t xml:space="preserve">and a clean negative instrumental-variable result, operationalising the caution</w:t>
      </w:r>
      <w:r>
        <w:t xml:space="preserve"> </w:t>
      </w:r>
      <w:r>
        <w:t xml:space="preserve">that causal identification from observational soil data is hard.</w:t>
      </w:r>
    </w:p>
    <w:bookmarkEnd w:id="22"/>
    <w:bookmarkStart w:id="24" w:name="dataavail"/>
    <w:p>
      <w:pPr>
        <w:pStyle w:val="Heading1"/>
      </w:pPr>
      <w:r>
        <w:t xml:space="preserve">Data and code availability</w:t>
      </w:r>
    </w:p>
    <w:p>
      <w:pPr>
        <w:pStyle w:val="FirstParagraph"/>
      </w:pPr>
      <w:r>
        <w:t xml:space="preserve">edaphos and all bundled result data are available at</w:t>
      </w:r>
      <w:r>
        <w:t xml:space="preserve"> </w:t>
      </w:r>
      <w:hyperlink r:id="rId23">
        <w:r>
          <w:rPr>
            <w:rStyle w:val="Hyperlink"/>
          </w:rPr>
          <w:t xml:space="preserve">https://github.com/HugoMachadoRodrigues/edaphos</w:t>
        </w:r>
      </w:hyperlink>
      <w:r>
        <w:t xml:space="preserve">. Soil profiles are from WoSIS</w:t>
      </w:r>
      <w:r>
        <w:t xml:space="preserve"> </w:t>
      </w:r>
      <w:r>
        <w:t xml:space="preserve">(ISRIC, CC-BY-4.0); covariates from WorldClim 2.1, SoilGrids and Copernicus. The</w:t>
      </w:r>
      <w:r>
        <w:t xml:space="preserve"> </w:t>
      </w:r>
      <w:r>
        <w:t xml:space="preserve">retrieval and analysis pipeline is in</w:t>
      </w:r>
      <w:r>
        <w:t xml:space="preserve"> </w:t>
      </w:r>
      <w:r>
        <w:rPr>
          <w:rStyle w:val="VerbatimChar"/>
        </w:rPr>
        <w:t xml:space="preserve">data-raw/</w:t>
      </w:r>
      <w:r>
        <w:t xml:space="preserve">, and every figure in this</w:t>
      </w:r>
      <w:r>
        <w:t xml:space="preserve"> </w:t>
      </w:r>
      <w:r>
        <w:t xml:space="preserve">manuscript is reproduced by the</w:t>
      </w:r>
      <w:r>
        <w:t xml:space="preserve"> </w:t>
      </w:r>
      <w:r>
        <w:rPr>
          <w:rStyle w:val="VerbatimChar"/>
        </w:rPr>
        <w:t xml:space="preserve">edaphos-paper</w:t>
      </w:r>
      <w:r>
        <w:t xml:space="preserve"> </w:t>
      </w:r>
      <w:r>
        <w:t xml:space="preserve">package vignette from the shipped</w:t>
      </w:r>
      <w:r>
        <w:t xml:space="preserve"> </w:t>
      </w:r>
      <w:r>
        <w:t xml:space="preserve">data.</w:t>
      </w:r>
    </w:p>
    <w:bookmarkEnd w:id="24"/>
    <w:bookmarkStart w:id="40" w:name="references"/>
    <w:p>
      <w:pPr>
        <w:pStyle w:val="Heading1"/>
      </w:pPr>
      <w:r>
        <w:t xml:space="preserve">References</w:t>
      </w:r>
    </w:p>
    <w:bookmarkStart w:id="39" w:name="refs"/>
    <w:bookmarkStart w:id="26" w:name="ref-McBratney2003"/>
    <w:p>
      <w:pPr>
        <w:pStyle w:val="Bibliography"/>
      </w:pPr>
      <w:r>
        <w:t xml:space="preserve">1.</w:t>
      </w:r>
      <w:r>
        <w:t xml:space="preserve"> </w:t>
      </w:r>
      <w:r>
        <w:t xml:space="preserve">	</w:t>
      </w:r>
      <w:r>
        <w:t xml:space="preserve">McBratney AB, Mendonça Santos ML, Minasny B. On digital soil mapping. Geoderma. 2003;117: 3–52. doi:</w:t>
      </w:r>
      <w:hyperlink r:id="rId25">
        <w:r>
          <w:rPr>
            <w:rStyle w:val="Hyperlink"/>
          </w:rPr>
          <w:t xml:space="preserve">10.1016/S0016-7061(03)00223-4</w:t>
        </w:r>
      </w:hyperlink>
    </w:p>
    <w:bookmarkEnd w:id="26"/>
    <w:bookmarkStart w:id="28" w:name="ref-Wadoux2020"/>
    <w:p>
      <w:pPr>
        <w:pStyle w:val="Bibliography"/>
      </w:pPr>
      <w:r>
        <w:t xml:space="preserve">2.</w:t>
      </w:r>
      <w:r>
        <w:t xml:space="preserve"> </w:t>
      </w:r>
      <w:r>
        <w:t xml:space="preserve">	</w:t>
      </w:r>
      <w:r>
        <w:t xml:space="preserve">Wadoux AMJ-C, Minasny B, McBratney AB. Machine learning for digital soil mapping: Applications, challenges and suggested solutions. Earth-Science Reviews. 2020;210: 103359. doi:</w:t>
      </w:r>
      <w:hyperlink r:id="rId27">
        <w:r>
          <w:rPr>
            <w:rStyle w:val="Hyperlink"/>
          </w:rPr>
          <w:t xml:space="preserve">10.1016/j.earscirev.2020.103359</w:t>
        </w:r>
      </w:hyperlink>
    </w:p>
    <w:bookmarkEnd w:id="28"/>
    <w:bookmarkStart w:id="30" w:name="ref-Zhang2026causal"/>
    <w:p>
      <w:pPr>
        <w:pStyle w:val="Bibliography"/>
      </w:pPr>
      <w:r>
        <w:t xml:space="preserve">3.</w:t>
      </w:r>
      <w:r>
        <w:t xml:space="preserve"> </w:t>
      </w:r>
      <w:r>
        <w:t xml:space="preserve">	</w:t>
      </w:r>
      <w:r>
        <w:t xml:space="preserve">Zhang L, Wadoux AMJ-C. Can digital soil mapping be causal? European Journal of Soil Science. 2026;77: e70284. doi:</w:t>
      </w:r>
      <w:hyperlink r:id="rId29">
        <w:r>
          <w:rPr>
            <w:rStyle w:val="Hyperlink"/>
          </w:rPr>
          <w:t xml:space="preserve">10.1111/ejss.70284</w:t>
        </w:r>
      </w:hyperlink>
    </w:p>
    <w:bookmarkEnd w:id="30"/>
    <w:bookmarkStart w:id="32" w:name="ref-Batjes2024wosis"/>
    <w:p>
      <w:pPr>
        <w:pStyle w:val="Bibliography"/>
      </w:pPr>
      <w:r>
        <w:t xml:space="preserve">4.</w:t>
      </w:r>
      <w:r>
        <w:t xml:space="preserve"> </w:t>
      </w:r>
      <w:r>
        <w:t xml:space="preserve">	</w:t>
      </w:r>
      <w:r>
        <w:t xml:space="preserve">Batjes NH, Calisto L, Sousa LM de. Providing quality-assessed and standardised soil data to support global mapping and modelling (</w:t>
      </w:r>
      <w:r>
        <w:t xml:space="preserve">WoSIS</w:t>
      </w:r>
      <w:r>
        <w:t xml:space="preserve"> </w:t>
      </w:r>
      <w:r>
        <w:t xml:space="preserve">snapshot 2023). Earth System Science Data. 2024;16: 4735–4765. doi:</w:t>
      </w:r>
      <w:hyperlink r:id="rId31">
        <w:r>
          <w:rPr>
            <w:rStyle w:val="Hyperlink"/>
          </w:rPr>
          <w:t xml:space="preserve">10.5194/essd-16-4735-2024</w:t>
        </w:r>
      </w:hyperlink>
    </w:p>
    <w:bookmarkEnd w:id="32"/>
    <w:bookmarkStart w:id="34" w:name="ref-Fick2017worldclim"/>
    <w:p>
      <w:pPr>
        <w:pStyle w:val="Bibliography"/>
      </w:pPr>
      <w:r>
        <w:t xml:space="preserve">5.</w:t>
      </w:r>
      <w:r>
        <w:t xml:space="preserve"> </w:t>
      </w:r>
      <w:r>
        <w:t xml:space="preserve">	</w:t>
      </w:r>
      <w:r>
        <w:t xml:space="preserve">Fick SE, Hijmans RJ.</w:t>
      </w:r>
      <w:r>
        <w:t xml:space="preserve"> </w:t>
      </w:r>
      <w:r>
        <w:t xml:space="preserve">WorldClim 2</w:t>
      </w:r>
      <w:r>
        <w:t xml:space="preserve">: New 1-km spatial resolution climate surfaces for global land areas. International Journal of Climatology. 2017;37: 4302–4315. doi:</w:t>
      </w:r>
      <w:hyperlink r:id="rId33">
        <w:r>
          <w:rPr>
            <w:rStyle w:val="Hyperlink"/>
          </w:rPr>
          <w:t xml:space="preserve">10.1002/joc.5086</w:t>
        </w:r>
      </w:hyperlink>
    </w:p>
    <w:bookmarkEnd w:id="34"/>
    <w:bookmarkStart w:id="36" w:name="ref-Hengl2017soilgrids"/>
    <w:p>
      <w:pPr>
        <w:pStyle w:val="Bibliography"/>
      </w:pPr>
      <w:r>
        <w:t xml:space="preserve">6.</w:t>
      </w:r>
      <w:r>
        <w:t xml:space="preserve"> </w:t>
      </w:r>
      <w:r>
        <w:t xml:space="preserve">	</w:t>
      </w:r>
      <w:r>
        <w:t xml:space="preserve">Hengl T, Mendes de Jesus J, Heuvelink GBM, Ruiperez Gonzalez M, Kilibarda M, Blagotić A, et al.</w:t>
      </w:r>
      <w:r>
        <w:t xml:space="preserve"> </w:t>
      </w:r>
      <w:r>
        <w:t xml:space="preserve">SoilGrids250m</w:t>
      </w:r>
      <w:r>
        <w:t xml:space="preserve">: Global gridded soil information based on machine learning. PLOS ONE. 2017;12: e0169748. doi:</w:t>
      </w:r>
      <w:hyperlink r:id="rId35">
        <w:r>
          <w:rPr>
            <w:rStyle w:val="Hyperlink"/>
          </w:rPr>
          <w:t xml:space="preserve">10.1371/journal.pone.0169748</w:t>
        </w:r>
      </w:hyperlink>
    </w:p>
    <w:bookmarkEnd w:id="36"/>
    <w:bookmarkStart w:id="38" w:name="ref-CinelliHazlett2020"/>
    <w:p>
      <w:pPr>
        <w:pStyle w:val="Bibliography"/>
      </w:pPr>
      <w:r>
        <w:t xml:space="preserve">7.</w:t>
      </w:r>
      <w:r>
        <w:t xml:space="preserve"> </w:t>
      </w:r>
      <w:r>
        <w:t xml:space="preserve">	</w:t>
      </w:r>
      <w:r>
        <w:t xml:space="preserve">Cinelli C, Hazlett C. Making sense of sensitivity: Extending omitted variable bias. Journal of the Royal Statistical Society: Series B. 2020;82: 39–67. doi:</w:t>
      </w:r>
      <w:hyperlink r:id="rId37">
        <w:r>
          <w:rPr>
            <w:rStyle w:val="Hyperlink"/>
          </w:rPr>
          <w:t xml:space="preserve">10.1111/rssb.12348</w:t>
        </w:r>
      </w:hyperlink>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hyperlink" Id="rId33" Target="https://doi.org/10.1002/joc.5086" TargetMode="External" /><Relationship Type="http://schemas.openxmlformats.org/officeDocument/2006/relationships/hyperlink" Id="rId25" Target="https://doi.org/10.1016/S0016-7061(03)00223-4" TargetMode="External" /><Relationship Type="http://schemas.openxmlformats.org/officeDocument/2006/relationships/hyperlink" Id="rId27" Target="https://doi.org/10.1016/j.earscirev.2020.103359" TargetMode="External" /><Relationship Type="http://schemas.openxmlformats.org/officeDocument/2006/relationships/hyperlink" Id="rId29" Target="https://doi.org/10.1111/ejss.70284" TargetMode="External" /><Relationship Type="http://schemas.openxmlformats.org/officeDocument/2006/relationships/hyperlink" Id="rId37" Target="https://doi.org/10.1111/rssb.12348" TargetMode="External" /><Relationship Type="http://schemas.openxmlformats.org/officeDocument/2006/relationships/hyperlink" Id="rId35" Target="https://doi.org/10.1371/journal.pone.0169748" TargetMode="External" /><Relationship Type="http://schemas.openxmlformats.org/officeDocument/2006/relationships/hyperlink" Id="rId31" Target="https://doi.org/10.5194/essd-16-4735-2024" TargetMode="External" /><Relationship Type="http://schemas.openxmlformats.org/officeDocument/2006/relationships/hyperlink" Id="rId23" Target="https://github.com/HugoMachadoRodrigues/edaphos" TargetMode="External" /><Relationship Type="http://schemas.openxmlformats.org/officeDocument/2006/relationships/hyperlink" Id="rId41" Target="mailto:rodrigues.machado.hugo@gmail.com" TargetMode="External" /></Relationships>
</file>

<file path=word/_rels/footnotes.xml.rels><?xml version="1.0" encoding="UTF-8"?><Relationships xmlns="http://schemas.openxmlformats.org/package/2006/relationships"><Relationship Type="http://schemas.openxmlformats.org/officeDocument/2006/relationships/hyperlink" Id="rId33" Target="https://doi.org/10.1002/joc.5086" TargetMode="External" /><Relationship Type="http://schemas.openxmlformats.org/officeDocument/2006/relationships/hyperlink" Id="rId25" Target="https://doi.org/10.1016/S0016-7061(03)00223-4" TargetMode="External" /><Relationship Type="http://schemas.openxmlformats.org/officeDocument/2006/relationships/hyperlink" Id="rId27" Target="https://doi.org/10.1016/j.earscirev.2020.103359" TargetMode="External" /><Relationship Type="http://schemas.openxmlformats.org/officeDocument/2006/relationships/hyperlink" Id="rId29" Target="https://doi.org/10.1111/ejss.70284" TargetMode="External" /><Relationship Type="http://schemas.openxmlformats.org/officeDocument/2006/relationships/hyperlink" Id="rId37" Target="https://doi.org/10.1111/rssb.12348" TargetMode="External" /><Relationship Type="http://schemas.openxmlformats.org/officeDocument/2006/relationships/hyperlink" Id="rId35" Target="https://doi.org/10.1371/journal.pone.0169748" TargetMode="External" /><Relationship Type="http://schemas.openxmlformats.org/officeDocument/2006/relationships/hyperlink" Id="rId31" Target="https://doi.org/10.5194/essd-16-4735-2024" TargetMode="External" /><Relationship Type="http://schemas.openxmlformats.org/officeDocument/2006/relationships/hyperlink" Id="rId23" Target="https://github.com/HugoMachadoRodrigues/edaphos" TargetMode="External" /><Relationship Type="http://schemas.openxmlformats.org/officeDocument/2006/relationships/hyperlink" Id="rId41" Target="mailto:rodrigues.machado.hugo@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Frontier methods for digital soil mapping, evaluated honestly: a reproducible benchmark on real WoSIS Cerrado profiles</dc:title>
  <dc:creator/>
  <cp:keywords/>
  <dcterms:created xsi:type="dcterms:W3CDTF">2026-07-30T11:55:12Z</dcterms:created>
  <dcterms:modified xsi:type="dcterms:W3CDTF">2026-07-30T11:55:12Z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Digital soil mapping (DSM) has moved well beyond regression trees, yet the newer methods — causal inference, physics-informed and generative deep learning, graph and quantum kernels — are rarely evaluated against each other under a common, honest protocol, and their predictions are rarely reported with calibrated uncertainty. We present edaphos, an R framework that implements ten such method families behind a single posterior class so that any of them can be scored with the same diagnostics, and we use it to run a matched, spatially blocked benchmark of six methods on 1095 real World Soil Information Service (WoSIS) topsoil profiles over the Brazilian Cerrado. The result is deflationary and, we argue, useful: a plain ordinary-least-squares model on a directed-acyclic-graph (DAG)-selected covariate set is the most accurate and best-calibrated method in the comparison, and none of the five more elaborate pillars beats it on this task. We further show, on 3077 profiles, that backdoor adjustment yields robust associations with explicit sensitivity bounds rather than identified causal effects, and that instrumenting soil carbon with a trained foundation-model embedding produces very strong but invalid instruments (first-stage F \approx 4630, Sargan p \approx 3e-13) — an empirical confirmation that a learned representation does not manufacture a valid instrument. We conclude that the contribution of a framework like edaphos is not a new best predictor but a reproducible, calibration-consistent apparatus for asking which method helps, and for reporting honestly when none does.</vt:lpwstr>
  </property>
  <property fmtid="{D5CDD505-2E9C-101B-9397-08002B2CF9AE}" pid="3" name="address">
    <vt:lpwstr/>
  </property>
  <property fmtid="{D5CDD505-2E9C-101B-9397-08002B2CF9AE}" pid="4" name="bibliography">
    <vt:lpwstr>references.bib</vt:lpwstr>
  </property>
  <property fmtid="{D5CDD505-2E9C-101B-9397-08002B2CF9AE}" pid="5" name="csl">
    <vt:lpwstr>plos.csl</vt:lpwstr>
  </property>
  <property fmtid="{D5CDD505-2E9C-101B-9397-08002B2CF9AE}" pid="6" name="header-includes">
    <vt:lpwstr/>
  </property>
  <property fmtid="{D5CDD505-2E9C-101B-9397-08002B2CF9AE}" pid="7" name="output">
    <vt:lpwstr>rticles::plos_article</vt:lpwstr>
  </property>
</Properties>
</file>