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65b8bb1435b80d5bf0cc6314bac23feca127359"/>
    <w:p>
      <w:pPr>
        <w:pStyle w:val="Heading1"/>
      </w:pPr>
      <w:r>
        <w:t xml:space="preserve">soilKey -- recognised horizon attribute names (v0.9.192)</w:t>
      </w:r>
    </w:p>
    <w:p>
      <w:pPr>
        <w:pStyle w:val="FirstParagraph"/>
      </w:pPr>
      <w:r>
        <w:t xml:space="preserve">This is the authoritative list of the analytical and morphological attribute</w:t>
      </w:r>
      <w:r>
        <w:t xml:space="preserve"> </w:t>
      </w:r>
      <w:r>
        <w:t xml:space="preserve">names that soilKey reads from a horizon table (CSV upload in soilKey Pro, or a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/</w:t>
      </w:r>
      <w:r>
        <w:rPr>
          <w:rStyle w:val="VerbatimChar"/>
        </w:rPr>
        <w:t xml:space="preserve">data.table</w:t>
      </w:r>
      <w:r>
        <w:t xml:space="preserve"> </w:t>
      </w:r>
      <w:r>
        <w:t xml:space="preserve">passed to the R API). Every classification key reads</w:t>
      </w:r>
      <w:r>
        <w:t xml:space="preserve"> </w:t>
      </w:r>
      <w:r>
        <w:t xml:space="preserve">these columns; anything else is preserved but ignored by the keys.</w:t>
      </w:r>
    </w:p>
    <w:bookmarkStart w:id="9" w:name="naming-conventions"/>
    <w:p>
      <w:pPr>
        <w:pStyle w:val="Heading2"/>
      </w:pPr>
      <w:r>
        <w:t xml:space="preserve">Naming conventions</w:t>
      </w:r>
    </w:p>
    <w:p>
      <w:pPr>
        <w:pStyle w:val="Compact"/>
        <w:numPr>
          <w:ilvl w:val="0"/>
          <w:numId w:val="1001"/>
        </w:numPr>
      </w:pPr>
      <w:r>
        <w:t xml:space="preserve">Canonical names are</w:t>
      </w:r>
      <w:r>
        <w:t xml:space="preserve"> </w:t>
      </w:r>
      <w:r>
        <w:rPr>
          <w:b/>
          <w:bCs/>
        </w:rPr>
        <w:t xml:space="preserve">lower-case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snake_case</w:t>
      </w:r>
      <w:r>
        <w:t xml:space="preserve">, with an explicit unit/method</w:t>
      </w:r>
      <w:r>
        <w:t xml:space="preserve"> </w:t>
      </w:r>
      <w:r>
        <w:t xml:space="preserve">suffix (</w:t>
      </w:r>
      <w:r>
        <w:rPr>
          <w:rStyle w:val="VerbatimChar"/>
        </w:rPr>
        <w:t xml:space="preserve">_cm</w:t>
      </w:r>
      <w:r>
        <w:t xml:space="preserve">,</w:t>
      </w:r>
      <w:r>
        <w:t xml:space="preserve"> </w:t>
      </w:r>
      <w:r>
        <w:rPr>
          <w:rStyle w:val="VerbatimChar"/>
        </w:rPr>
        <w:t xml:space="preserve">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_cmol</w:t>
      </w:r>
      <w:r>
        <w:t xml:space="preserve">,</w:t>
      </w:r>
      <w:r>
        <w:t xml:space="preserve"> </w:t>
      </w:r>
      <w:r>
        <w:rPr>
          <w:rStyle w:val="VerbatimChar"/>
        </w:rPr>
        <w:t xml:space="preserve">_g_cm3</w:t>
      </w:r>
      <w:r>
        <w:t xml:space="preserve">,</w:t>
      </w:r>
      <w:r>
        <w:t xml:space="preserve"> </w:t>
      </w:r>
      <w:r>
        <w:rPr>
          <w:rStyle w:val="VerbatimChar"/>
        </w:rPr>
        <w:t xml:space="preserve">_mg_kg</w:t>
      </w:r>
      <w:r>
        <w:t xml:space="preserve">,</w:t>
      </w:r>
      <w:r>
        <w:t xml:space="preserve"> </w:t>
      </w:r>
      <w:r>
        <w:rPr>
          <w:rStyle w:val="VerbatimChar"/>
        </w:rPr>
        <w:t xml:space="preserve">_dS_m</w:t>
      </w:r>
      <w:r>
        <w:t xml:space="preserve">,</w:t>
      </w:r>
      <w:r>
        <w:t xml:space="preserve"> </w:t>
      </w:r>
      <w:r>
        <w:rPr>
          <w:rStyle w:val="VerbatimChar"/>
        </w:rPr>
        <w:t xml:space="preserve">_C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Column-name recognition is</w:t>
      </w:r>
      <w:r>
        <w:t xml:space="preserve"> </w:t>
      </w:r>
      <w:r>
        <w:rPr>
          <w:b/>
          <w:bCs/>
        </w:rPr>
        <w:t xml:space="preserve">case-insensitive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separator-insensitive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pH_H2O</w:t>
      </w:r>
      <w:r>
        <w:t xml:space="preserve">,</w:t>
      </w:r>
      <w:r>
        <w:t xml:space="preserve"> </w:t>
      </w:r>
      <w:r>
        <w:rPr>
          <w:rStyle w:val="VerbatimChar"/>
        </w:rPr>
        <w:t xml:space="preserve">PH.H2O</w:t>
      </w:r>
      <w:r>
        <w:t xml:space="preserve">,</w:t>
      </w:r>
      <w:r>
        <w:t xml:space="preserve"> </w:t>
      </w:r>
      <w:r>
        <w:rPr>
          <w:rStyle w:val="VerbatimChar"/>
        </w:rPr>
        <w:t xml:space="preserve">ph h2o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pH-H2O</w:t>
      </w:r>
      <w:r>
        <w:t xml:space="preserve"> </w:t>
      </w:r>
      <w:r>
        <w:t xml:space="preserve">are all recognised as</w:t>
      </w:r>
      <w:r>
        <w:t xml:space="preserve"> </w:t>
      </w:r>
      <w:r>
        <w:rPr>
          <w:rStyle w:val="VerbatimChar"/>
        </w:rPr>
        <w:t xml:space="preserve">ph_h2o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small table of</w:t>
      </w:r>
      <w:r>
        <w:t xml:space="preserve"> </w:t>
      </w:r>
      <w:r>
        <w:rPr>
          <w:b/>
          <w:bCs/>
        </w:rPr>
        <w:t xml:space="preserve">common abbreviations</w:t>
      </w:r>
      <w:r>
        <w:t xml:space="preserve"> </w:t>
      </w:r>
      <w:r>
        <w:t xml:space="preserve">is also accepted (see the</w:t>
      </w:r>
      <w:r>
        <w:t xml:space="preserve"> </w:t>
      </w:r>
      <w:r>
        <w:rPr>
          <w:i/>
          <w:iCs/>
        </w:rPr>
        <w:t xml:space="preserve">aliases</w:t>
      </w:r>
      <w:r>
        <w:t xml:space="preserve"> </w:t>
      </w:r>
      <w:r>
        <w:t xml:space="preserve">column below): e.g.</w:t>
      </w:r>
      <w:r>
        <w:t xml:space="preserve"> </w:t>
      </w:r>
      <w:r>
        <w:rPr>
          <w:rStyle w:val="VerbatimChar"/>
        </w:rPr>
        <w:t xml:space="preserve">Clay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clay_pct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SOC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oc_pct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CEC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cec_cmol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exact canonical name always wins and is never overwritten; unrecognised</w:t>
      </w:r>
      <w:r>
        <w:t xml:space="preserve"> </w:t>
      </w:r>
      <w:r>
        <w:t xml:space="preserve">columns are kept verbatim and simply not read by the keys.</w:t>
      </w:r>
    </w:p>
    <w:p>
      <w:pPr>
        <w:pStyle w:val="Compact"/>
        <w:numPr>
          <w:ilvl w:val="0"/>
          <w:numId w:val="1001"/>
        </w:numPr>
      </w:pPr>
      <w:r>
        <w:t xml:space="preserve">Units are as listed. Percentages are by mass unless noted</w:t>
      </w:r>
      <w:r>
        <w:t xml:space="preserve"> </w:t>
      </w:r>
      <w:r>
        <w:rPr>
          <w:rStyle w:val="VerbatimChar"/>
        </w:rPr>
        <w:t xml:space="preserve">(vol)</w:t>
      </w:r>
      <w:r>
        <w:t xml:space="preserve">; exchangeable</w:t>
      </w:r>
      <w:r>
        <w:t xml:space="preserve"> </w:t>
      </w:r>
      <w:r>
        <w:t xml:space="preserve">cations and CEC are in cmol(+)/kg (= meq/100 g).</w:t>
      </w:r>
    </w:p>
    <w:p>
      <w:pPr>
        <w:pStyle w:val="BlockText"/>
      </w:pPr>
      <w:r>
        <w:t xml:space="preserve">Tip (R):</w:t>
      </w:r>
      <w:r>
        <w:t xml:space="preserve"> </w:t>
      </w:r>
      <w:r>
        <w:rPr>
          <w:rStyle w:val="VerbatimChar"/>
        </w:rPr>
        <w:t xml:space="preserve">soilKey::horizon_column_spec()</w:t>
      </w:r>
      <w:r>
        <w:t xml:space="preserve"> </w:t>
      </w:r>
      <w:r>
        <w:t xml:space="preserve">returns the canonical names and types</w:t>
      </w:r>
      <w:r>
        <w:t xml:space="preserve"> </w:t>
      </w:r>
      <w:r>
        <w:t xml:space="preserve">programmatically;</w:t>
      </w:r>
      <w:r>
        <w:t xml:space="preserve"> </w:t>
      </w:r>
      <w:r>
        <w:rPr>
          <w:rStyle w:val="VerbatimChar"/>
        </w:rPr>
        <w:t xml:space="preserve">soilKey::ensure_horizon_schema(df)</w:t>
      </w:r>
      <w:r>
        <w:t xml:space="preserve"> </w:t>
      </w:r>
      <w:r>
        <w:t xml:space="preserve">normalises a table to them.</w:t>
      </w:r>
    </w:p>
    <w:bookmarkEnd w:id="9"/>
    <w:bookmarkStart w:id="10" w:name="geometry--boundaries"/>
    <w:p>
      <w:pPr>
        <w:pStyle w:val="Heading2"/>
      </w:pPr>
      <w:r>
        <w:t xml:space="preserve">Geometry &amp; boundaries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top_cm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Upper depth of the horizon (from the soil surface).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depth_top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upper_depth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bottom_cm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Lower depth of the horizon.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bottom_depth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depth_bottom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lower_depth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Horizon designation / symbol (e.g. A, Bt, Bw, E, C, R).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horizon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horizon_designation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hzn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hzn_desgn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boundary_distinctness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Distinctness of the lower boundary (abrupt / clear / gradual / diffuse).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boundary_topography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Topography of the lower boundary (smooth / wavy / irregular / broken).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"/>
    <w:bookmarkStart w:id="11" w:name="color-munsell"/>
    <w:p>
      <w:pPr>
        <w:pStyle w:val="Heading2"/>
      </w:pPr>
      <w:r>
        <w:t xml:space="preserve">Color (Munsell)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munsell_hue_moist</w:t>
            </w:r>
          </w:p>
        </w:tc>
        <w:tc>
          <w:tcPr/>
          <w:p>
            <w:pPr>
              <w:pStyle w:val="Compact"/>
            </w:pPr>
            <w:r>
              <w:t xml:space="preserve">Munsell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Munsell hue, moist (e.g. "7.5YR", "10R", "N").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munsell_value_moist</w:t>
            </w:r>
          </w:p>
        </w:tc>
        <w:tc>
          <w:tcPr/>
          <w:p>
            <w:pPr>
              <w:pStyle w:val="Compact"/>
            </w:pPr>
            <w:r>
              <w:t xml:space="preserve">Munsell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Munsell value, moist (0-10).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munsell_chroma_moist</w:t>
            </w:r>
          </w:p>
        </w:tc>
        <w:tc>
          <w:tcPr/>
          <w:p>
            <w:pPr>
              <w:pStyle w:val="Compact"/>
            </w:pPr>
            <w:r>
              <w:t xml:space="preserve">Munsell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Munsell chroma, moist.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munsell_hue_dry</w:t>
            </w:r>
          </w:p>
        </w:tc>
        <w:tc>
          <w:tcPr/>
          <w:p>
            <w:pPr>
              <w:pStyle w:val="Compact"/>
            </w:pPr>
            <w:r>
              <w:t xml:space="preserve">Munsell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Munsell hue, dry.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munsell_value_dry</w:t>
            </w:r>
          </w:p>
        </w:tc>
        <w:tc>
          <w:tcPr/>
          <w:p>
            <w:pPr>
              <w:pStyle w:val="Compact"/>
            </w:pPr>
            <w:r>
              <w:t xml:space="preserve">Munsell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Munsell value, dry (0-10).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munsell_chroma_dry</w:t>
            </w:r>
          </w:p>
        </w:tc>
        <w:tc>
          <w:tcPr/>
          <w:p>
            <w:pPr>
              <w:pStyle w:val="Compact"/>
            </w:pPr>
            <w:r>
              <w:t xml:space="preserve">Munsell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Munsell chroma, dry.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1"/>
    <w:bookmarkStart w:id="12" w:name="structure--consistence"/>
    <w:p>
      <w:pPr>
        <w:pStyle w:val="Heading2"/>
      </w:pPr>
      <w:r>
        <w:t xml:space="preserve">Structure &amp; consistence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structure_grade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Grade of structure (structureless / weak / moderate / strong).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structure_size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Size class of structural units (very fine / fine / medium / coarse / very coarse).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structure_type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Type of structure (granular / blocky / prismatic / platy / single-grain / massive).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consistence_moist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Consistence when moist (loose / very friable / friable / firm / very firm / extremely firm).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consistence_wet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Consistence when wet (stickiness and plasticity).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clay_films_amount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Abundance of clay coatings / films (none / few / common / many).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clay_films_strength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Distinctness / thickness of clay films (faint / distinct / prominent).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coarse_fragments_pct</w:t>
            </w:r>
          </w:p>
        </w:tc>
        <w:tc>
          <w:tcPr/>
          <w:p>
            <w:pPr>
              <w:pStyle w:val="Compact"/>
            </w:pPr>
            <w:r>
              <w:t xml:space="preserve">% (vol)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Coarse fragments (&gt; 2 mm) by volume.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coarse_fragments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rock_fragments</w:t>
            </w:r>
          </w:p>
        </w:tc>
      </w:tr>
    </w:tbl>
    <w:bookmarkEnd w:id="12"/>
    <w:bookmarkStart w:id="13" w:name="texture"/>
    <w:p>
      <w:pPr>
        <w:pStyle w:val="Heading2"/>
      </w:pPr>
      <w:r>
        <w:t xml:space="preserve">Texture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clay_pct</w:t>
            </w:r>
          </w:p>
        </w:tc>
        <w:tc>
          <w:tcPr/>
          <w:p>
            <w:pPr>
              <w:pStyle w:val="Compact"/>
            </w:pPr>
            <w:r>
              <w:t xml:space="preserve">% (mass)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Clay content of the fine earth (&lt; 2 um).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silt_pct</w:t>
            </w:r>
          </w:p>
        </w:tc>
        <w:tc>
          <w:tcPr/>
          <w:p>
            <w:pPr>
              <w:pStyle w:val="Compact"/>
            </w:pPr>
            <w:r>
              <w:t xml:space="preserve">% (mass)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Silt content of the fine earth.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sand_pct</w:t>
            </w:r>
          </w:p>
        </w:tc>
        <w:tc>
          <w:tcPr/>
          <w:p>
            <w:pPr>
              <w:pStyle w:val="Compact"/>
            </w:pPr>
            <w:r>
              <w:t xml:space="preserve">% (mass)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Sand content of the fine earth.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</w:t>
            </w:r>
          </w:p>
        </w:tc>
      </w:tr>
    </w:tbl>
    <w:bookmarkEnd w:id="13"/>
    <w:bookmarkStart w:id="14" w:name="acidity"/>
    <w:p>
      <w:pPr>
        <w:pStyle w:val="Heading2"/>
      </w:pPr>
      <w:r>
        <w:t xml:space="preserve">Acidity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ph_h2o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pH measured in water (1:2.5 or as reported). soilKey's default pH.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ph_h20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ph_water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ph_kcl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pH measured in 1 M KCl.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ph_cacl2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pH measured in 0.01 M CaCl2.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4"/>
    <w:bookmarkStart w:id="15" w:name="organics"/>
    <w:p>
      <w:pPr>
        <w:pStyle w:val="Heading2"/>
      </w:pPr>
      <w:r>
        <w:t xml:space="preserve">Organics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oc_pct</w:t>
            </w:r>
          </w:p>
        </w:tc>
        <w:tc>
          <w:tcPr/>
          <w:p>
            <w:pPr>
              <w:pStyle w:val="Compact"/>
            </w:pPr>
            <w:r>
              <w:t xml:space="preserve">% (mass)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Organic carbon of the fine earth.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c_org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organic_carbon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n_total_pct</w:t>
            </w:r>
          </w:p>
        </w:tc>
        <w:tc>
          <w:tcPr/>
          <w:p>
            <w:pPr>
              <w:pStyle w:val="Compact"/>
            </w:pPr>
            <w:r>
              <w:t xml:space="preserve">% (mass)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Total nitrogen.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n_tot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nitrogen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total_n</w:t>
            </w:r>
          </w:p>
        </w:tc>
      </w:tr>
    </w:tbl>
    <w:bookmarkEnd w:id="15"/>
    <w:bookmarkStart w:id="16" w:name="exchange-complex"/>
    <w:p>
      <w:pPr>
        <w:pStyle w:val="Heading2"/>
      </w:pPr>
      <w:r>
        <w:t xml:space="preserve">Exchange complex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cec_cmol</w:t>
            </w:r>
          </w:p>
        </w:tc>
        <w:tc>
          <w:tcPr/>
          <w:p>
            <w:pPr>
              <w:pStyle w:val="Compact"/>
            </w:pPr>
            <w:r>
              <w:t xml:space="preserve">cmol(+)/kg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Cation exchange capacity (of the fine earth).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ecec_cmol</w:t>
            </w:r>
          </w:p>
        </w:tc>
        <w:tc>
          <w:tcPr/>
          <w:p>
            <w:pPr>
              <w:pStyle w:val="Compact"/>
            </w:pPr>
            <w:r>
              <w:t xml:space="preserve">cmol(+)/kg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Effective CEC (sum of exchangeable bases + exchangeable Al).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Base saturation (SiBCS V%).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base_saturation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al_sat_pct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Aluminium saturation (SiBCS m%).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al_sat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al_saturation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ca_cmol</w:t>
            </w:r>
          </w:p>
        </w:tc>
        <w:tc>
          <w:tcPr/>
          <w:p>
            <w:pPr>
              <w:pStyle w:val="Compact"/>
            </w:pPr>
            <w:r>
              <w:t xml:space="preserve">cmol(+)/kg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Exchangeable calcium.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exch_ca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mg_cmol</w:t>
            </w:r>
          </w:p>
        </w:tc>
        <w:tc>
          <w:tcPr/>
          <w:p>
            <w:pPr>
              <w:pStyle w:val="Compact"/>
            </w:pPr>
            <w:r>
              <w:t xml:space="preserve">cmol(+)/kg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Exchangeable magnesium.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exch_mg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k_cmol</w:t>
            </w:r>
          </w:p>
        </w:tc>
        <w:tc>
          <w:tcPr/>
          <w:p>
            <w:pPr>
              <w:pStyle w:val="Compact"/>
            </w:pPr>
            <w:r>
              <w:t xml:space="preserve">cmol(+)/kg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Exchangeable potassium.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exch_k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na_cmol</w:t>
            </w:r>
          </w:p>
        </w:tc>
        <w:tc>
          <w:tcPr/>
          <w:p>
            <w:pPr>
              <w:pStyle w:val="Compact"/>
            </w:pPr>
            <w:r>
              <w:t xml:space="preserve">cmol(+)/kg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Exchangeable sodium.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exch_na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al_cmol</w:t>
            </w:r>
          </w:p>
        </w:tc>
        <w:tc>
          <w:tcPr/>
          <w:p>
            <w:pPr>
              <w:pStyle w:val="Compact"/>
            </w:pPr>
            <w:r>
              <w:t xml:space="preserve">cmol(+)/kg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Exchangeable (KCl) aluminium.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exch_al</w:t>
            </w:r>
          </w:p>
        </w:tc>
      </w:tr>
    </w:tbl>
    <w:bookmarkEnd w:id="16"/>
    <w:bookmarkStart w:id="17" w:name="carbonates--sulphates"/>
    <w:p>
      <w:pPr>
        <w:pStyle w:val="Heading2"/>
      </w:pPr>
      <w:r>
        <w:t xml:space="preserve">Carbonates / sulphates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caco3_pct</w:t>
            </w:r>
          </w:p>
        </w:tc>
        <w:tc>
          <w:tcPr/>
          <w:p>
            <w:pPr>
              <w:pStyle w:val="Compact"/>
            </w:pPr>
            <w:r>
              <w:t xml:space="preserve">% (mass)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Calcium carbonate equivalent.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caco3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carbonate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carbonates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secondary_carbonates_pct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identifiable SECONDARY carbonates by volume (soft masses / pseudomycelia / pendents / nodules). The morphological OR-path of the calcic horizon: WRB 2022 3.1.4 protocalcic / USDA KST &gt;= 5% by-volume secondary carbonates, beside the +5%-vs-underlying enrichment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caso4_pct</w:t>
            </w:r>
          </w:p>
        </w:tc>
        <w:tc>
          <w:tcPr/>
          <w:p>
            <w:pPr>
              <w:pStyle w:val="Compact"/>
            </w:pPr>
            <w:r>
              <w:t xml:space="preserve">% (mass)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Gypsum (calcium sulphate).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caso4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gypsum</w:t>
            </w:r>
          </w:p>
        </w:tc>
      </w:tr>
    </w:tbl>
    <w:bookmarkEnd w:id="17"/>
    <w:bookmarkStart w:id="18" w:name="iron--aluminum-oxides"/>
    <w:p>
      <w:pPr>
        <w:pStyle w:val="Heading2"/>
      </w:pPr>
      <w:r>
        <w:t xml:space="preserve">Iron / aluminum oxides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fe_dcb_pct</w:t>
            </w:r>
          </w:p>
        </w:tc>
        <w:tc>
          <w:tcPr/>
          <w:p>
            <w:pPr>
              <w:pStyle w:val="Compact"/>
            </w:pPr>
            <w:r>
              <w:t xml:space="preserve">% Fe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Dithionite-citrate-bicarbonate extractable Fe (free/pedogenic iron oxides).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fe_ox_pct</w:t>
            </w:r>
          </w:p>
        </w:tc>
        <w:tc>
          <w:tcPr/>
          <w:p>
            <w:pPr>
              <w:pStyle w:val="Compact"/>
            </w:pPr>
            <w:r>
              <w:t xml:space="preserve">% Fe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Acid ammonium-oxalate extractable Fe (active/amorphous iron; andic).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al_ox_pct</w:t>
            </w:r>
          </w:p>
        </w:tc>
        <w:tc>
          <w:tcPr/>
          <w:p>
            <w:pPr>
              <w:pStyle w:val="Compact"/>
            </w:pPr>
            <w:r>
              <w:t xml:space="preserve">% Al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Acid ammonium-oxalate extractable Al (active/amorphous aluminium; andic).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si_ox_pct</w:t>
            </w:r>
          </w:p>
        </w:tc>
        <w:tc>
          <w:tcPr/>
          <w:p>
            <w:pPr>
              <w:pStyle w:val="Compact"/>
            </w:pPr>
            <w:r>
              <w:t xml:space="preserve">% Si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Acid ammonium-oxalate extractable Si (andic properties).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8"/>
    <w:bookmarkStart w:id="19" w:name="physical"/>
    <w:p>
      <w:pPr>
        <w:pStyle w:val="Heading2"/>
      </w:pPr>
      <w:r>
        <w:t xml:space="preserve">Physical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bulk_density_g_cm3</w:t>
            </w:r>
          </w:p>
        </w:tc>
        <w:tc>
          <w:tcPr/>
          <w:p>
            <w:pPr>
              <w:pStyle w:val="Compact"/>
            </w:pPr>
            <w:r>
              <w:t xml:space="preserve">g/cm3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Bulk density of the fine earth.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bulk_density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water_content_33kpa</w:t>
            </w:r>
          </w:p>
        </w:tc>
        <w:tc>
          <w:tcPr/>
          <w:p>
            <w:pPr>
              <w:pStyle w:val="Compact"/>
            </w:pPr>
            <w:r>
              <w:t xml:space="preserve">% (water)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Gravimetric water content at 33 kPa (field capacity).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water_content_1500kpa</w:t>
            </w:r>
          </w:p>
        </w:tc>
        <w:tc>
          <w:tcPr/>
          <w:p>
            <w:pPr>
              <w:pStyle w:val="Compact"/>
            </w:pPr>
            <w:r>
              <w:t xml:space="preserve">% (water)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Gravimetric water content at 1500 kPa (permanent wilting point).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9"/>
    <w:bookmarkStart w:id="20" w:name="salinity-redoximorphism-vertic"/>
    <w:p>
      <w:pPr>
        <w:pStyle w:val="Heading2"/>
      </w:pPr>
      <w:r>
        <w:t xml:space="preserve">Salinity, redoximorphism, vertic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ec_dS_m</w:t>
            </w:r>
          </w:p>
        </w:tc>
        <w:tc>
          <w:tcPr/>
          <w:p>
            <w:pPr>
              <w:pStyle w:val="Compact"/>
            </w:pPr>
            <w:r>
              <w:t xml:space="preserve">dS/m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Electrical conductivity (saturated paste, 25 C).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plinthite_pct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volume % of plinthite (Fe-rich nodules / mottles)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redoximorphic_features_pct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volume % of Fe/Mn redox features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slickensides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absent / few / common / many / continuous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0"/>
    <w:bookmarkStart w:id="21" w:name="technic-duric"/>
    <w:p>
      <w:pPr>
        <w:pStyle w:val="Heading2"/>
      </w:pPr>
      <w:r>
        <w:t xml:space="preserve">Technic, duric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artefacts_pct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volume % of human artefacts (for Technosols)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geomembrane_present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logical</w:t>
            </w:r>
          </w:p>
        </w:tc>
        <w:tc>
          <w:tcPr/>
          <w:p>
            <w:pPr>
              <w:pStyle w:val="Compact"/>
            </w:pPr>
            <w:r>
              <w:t xml:space="preserve">WRB 2022 Ch 5 Technosols: continuous geomembrane within 100 cm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technic_hardmaterial_pct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WRB 2022 Ch 5 Technosols: % concrete/asphalt/mine spoil at surface (&gt;= 95% within 5 cm)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duripan_pct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volume % of Si-cemented duripan (for Durisols)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1"/>
    <w:bookmarkStart w:id="22" w:name="completing-wrb-ch-31--32--33-coverage"/>
    <w:p>
      <w:pPr>
        <w:pStyle w:val="Heading2"/>
      </w:pPr>
      <w:r>
        <w:t xml:space="preserve">Completing WRB Ch 3.1 / 3.2 / 3.3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cementation_class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'none' / 'weakly' / 'moderately' / 'strongly' / 'indurated' (for petric variants)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p_mehlich3_mg_kg</w:t>
            </w:r>
          </w:p>
        </w:tc>
        <w:tc>
          <w:tcPr/>
          <w:p>
            <w:pPr>
              <w:pStyle w:val="Compact"/>
            </w:pPr>
            <w:r>
              <w:t xml:space="preserve">mg/kg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plant-available P (anthric / hortic / pretic / ornithogenic)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worm_holes_pct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volume % of worm holes / casts / coprolites (chernic / vermic / arenicolic)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water_dispersible_clay_pct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WDC / total clay (Ferralsols 'activic' check)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sulfidic_s_pct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inorganic sulfidic S (hypersulfidic / hyposulfidic / thionic)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volcanic_glass_pct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% volcanic glass in 0.02-2 mm fraction (vitric / tephric)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phosphate_retention_pct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P retention (vitric / andic threshold)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artefacts_industrial_pct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subset of artefacts: industrial-process glasses, slag, ash (organotechnic)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artefacts_urbic_pct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subset of artefacts: rubble / refuse from human settlements (Technosols urbic)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rock_origin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'fluviatile' / 'marine' / 'lacustrine' / 'aeolian' / 'colluvial' / 'pyroclastic' / NA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permafrost_temp_C</w:t>
            </w:r>
          </w:p>
        </w:tc>
        <w:tc>
          <w:tcPr/>
          <w:p>
            <w:pPr>
              <w:pStyle w:val="Compact"/>
            </w:pPr>
            <w:r>
              <w:t xml:space="preserve">deg C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mean annual soil temp at this depth (gelic / cryic)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cracks_width_cm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width of shrink-swell cracks when soil dry (vertic horizon / shrink_swell_cracks)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cracks_depth_cm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depth to which the crack extends from the surface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polygonal_cracks_spacing_cm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avg horizontal spacing of polygonal cracks (takyric properties)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desert_pavement_pct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% surface coverage by coarse fragments (yermic properties)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varnish_pct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% of coarse fragments with desert varnish (yermic)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ventifact_pct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% of coarse fragments wind-shaped (yermic)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vesicular_pores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'absent' / 'few' / 'common' / 'many' (yermic)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rupture_resistance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'loose' / 'soft' / 'slightly hard' / 'hard' / 'very hard' / 'extremely hard'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plasticity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'non-plastic' / 'slightly plastic' / 'moderately plastic' / 'very plastic'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al_kcl_cmol</w:t>
            </w:r>
          </w:p>
        </w:tc>
        <w:tc>
          <w:tcPr/>
          <w:p>
            <w:pPr>
              <w:pStyle w:val="Compact"/>
            </w:pPr>
            <w:r>
              <w:t xml:space="preserve">cmol(+)/kg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KCl-extractable Al (Alisols criterion)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layer_origin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'aeolic' / 'fluvic' / 'solimovic' / 'tephric' / 'organic' etc (for material gating)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2"/>
    <w:bookmarkStart w:id="23" w:name="Xa1301dd7d5e4656ea58debe5537f03adb53f04b"/>
    <w:p>
      <w:pPr>
        <w:pStyle w:val="Heading2"/>
      </w:pPr>
      <w:r>
        <w:t xml:space="preserve">SiBCS pendentes (von Post, Ki/Kr, COLE, sulfuric attack)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fiber_content_rubbed_pct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SiBCS Cap 14: % fibras apos esfregamento (Saprico &lt; 17, Hemico 17-40, Fibrico &gt;= 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fiber_content_unrubbed_pct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SiBCS Cap 14: % fibras antes do esfregamento (auxiliar)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von_post_index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Indice de decomposicao von Post 1924 (H1-H10): H1-H4 Fibrico / H5-H6 Hemico / H7-H10 Saprico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cole_value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Coefficient of Linear Extensibility (1500 kPa moist -&gt; oven dry); SiBCS retratil &gt;= 0.06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sio2_sulfuric_pct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SiO2 por ataque sulfurico-NaOH (Embrapa Manual de Metodos), para Ki/Kr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al2o3_sulfuric_pct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Al2O3 por ataque sulfurico, para Ki = (SiO2/60.08)/(Al2O3/101.96) molar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fe2o3_sulfuric_pct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Fe2O3 por ataque sulfurico, para Kr = SiO2/(Al2O3+Fe2O3) molar (Latossolos Acriferricos)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3"/>
    <w:bookmarkStart w:id="24" w:name="sibcs-cap-18-mineralogia-da-fracao-areia"/>
    <w:p>
      <w:pPr>
        <w:pStyle w:val="Heading2"/>
      </w:pPr>
      <w:r>
        <w:t xml:space="preserve">SiBCS Cap 18 mineralogia da fracao areia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sand_mica_pct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SiBCS Cap 18 p 286: % volume de micas na fracao areia (&gt;= 15% -&gt; Familia "micacea")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sand_amphibole_pct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SiBCS Cap 18 p 286: % volume de anfibolios (&gt;= 15% -&gt; Familia "anfibolitica")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sand_feldspar_pct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SiBCS Cap 18 p 286: % volume de feldspatos (&gt;= 15% -&gt; Familia "feldspatica")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sand_mineralogy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SiBCS Cap 18 p 286 fallback: 'micacea' / 'anfibolitica' / 'feldspatica' / 'quartzosa' / NA (atalho qualitativo)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4"/>
    <w:bookmarkStart w:id="25" w:name="sibcs-cap-18-organossolos"/>
    <w:p>
      <w:pPr>
        <w:pStyle w:val="Heading2"/>
      </w:pPr>
      <w:r>
        <w:t xml:space="preserve">SiBCS Cap 18 Organossolos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woody_fragments_pct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SiBCS Cap 18 p 288: % volume de galhos/troncos &gt;= 2 cm em horizontes organicos (Organossolos lenhosos / muito lenhosos / extremamente lenhosos)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5"/>
    <w:bookmarkStart w:id="26" w:name="X6c42f356d3d71ea7f93eb3a37cac6cbe76e6420"/>
    <w:p>
      <w:pPr>
        <w:pStyle w:val="Heading2"/>
      </w:pPr>
      <w:r>
        <w:t xml:space="preserve">Tier-3 schema fields for WRB SQ qualifiers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surface_crust_type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WRB Ch 5 (Biocrustic / Pelocrustic / Evapocrustic / Puffic): biological / clay / evaporite / puffed crust morphology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bioturbation_density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WRB Ch 5 (Arenicolic / Isopteric): faunal burrow density (none / few / common / many) -- proxy for invertebrate-driven mixing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cordic_horizon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logical</w:t>
            </w:r>
          </w:p>
        </w:tc>
        <w:tc>
          <w:tcPr/>
          <w:p>
            <w:pPr>
              <w:pStyle w:val="Compact"/>
            </w:pPr>
            <w:r>
              <w:t xml:space="preserve">WRB Ch 5 (Cordic): presence of cordic horizon (cemented but not duripan/petrocalcic)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microrelief_form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WRB Ch 5 (Dorsic / Gilgaic): microrelief form (gilgai / dorsal-ridge / hummocky / smooth)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weathering_stage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WRB Ch 5 (Saprolithic / Naramic / Lapiadic): weathering stage of parent material (fresh / moderately weathered / saprolite / completely weathered)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salt_crust_pattern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WRB Ch 5 (Naramic): salt crust morphology (efflorescent / crusty / hardpan)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contamination_type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WRB Ch 5 (Immissic): pollution / contamination class (heavy_metals / hydrocarbons / atmospheric_immission / NA)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stratification_pattern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WRB Ch 5 (Litholinic / Raptic): stratification description (continuous / interrupted / lithologic_break / NA)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aeolian_morphology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WRB Ch 5 (Nechic): aeolian / loess deposition pattern (loess / dune / sandsheet / NA)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mottle_morphology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WRB Ch 5 (Mochipic): mottle pattern qualitative (mochi / banded / patchy / NA)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surface_puff_layer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logical</w:t>
            </w:r>
          </w:p>
        </w:tc>
        <w:tc>
          <w:tcPr/>
          <w:p>
            <w:pPr>
              <w:pStyle w:val="Compact"/>
            </w:pPr>
            <w:r>
              <w:t xml:space="preserve">WRB Ch 5 (Kalaic / Puffic): seasonal puffed surface layer (TRUE / FALSE / NA)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thixotropic_index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WRB Ch 5 (Thixotropic): thixotropic-behaviour index (0-100) from slurry test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saprolite_pct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WRB Ch 5 (Saprolithic): % by volume of in-situ weathered saprolite material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water_regime_pattern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WRB Ch 5 (Uterquic): bidirectional / single / aquic regime classification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6"/>
    <w:bookmarkStart w:id="27" w:name="Xb849be319c32ec3972842fac0c14ca09ff26252"/>
    <w:p>
      <w:pPr>
        <w:pStyle w:val="Heading2"/>
      </w:pPr>
      <w:r>
        <w:t xml:space="preserve">Fields that unlock schema-blocked predicates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Accepted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water_content_1500kpa_undried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1500 kPa water retention on UNDRIED samples; Vitrands/Vitrandic need &lt; 30% undried beside &lt; 15% air-dried (KST 13ed Ch 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particles_002_2mm_pct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% of the FINE-EARTH fraction in the 0.02-2.0 mm size class; Vitrandic subgroup crit 2 needs &gt;= 30% (KST 13ed Ch 9)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cracks_top_cm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depth (cm) of the UPPER boundary of shrink-swell cracks; Vertic subgroup needs cracks within 125 cm (KST 13ed)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incubation_ph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pH after the WRB 8-week aerobic incubation test; hypersulfidic drops &lt; 4, hyposulfidic stays &gt;= 4 (WRB 2022 Ch 3.3.8/3.3.9)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ice_pct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volume % ice (related to whole soil); WRB 2022 Glacic needs &gt;= 75% (Ch 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water_saturation_days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cumulative days/year water-saturated; WRB 2022 Mochipic needs &gt;= 300 days (Ch 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particles_630um_pct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% particles &gt;= 630 um; WRB 2022 Isopteric needs &lt; 5% (Ch 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jarosite_present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logical</w:t>
            </w:r>
          </w:p>
        </w:tc>
        <w:tc>
          <w:tcPr/>
          <w:p>
            <w:pPr>
              <w:pStyle w:val="Compact"/>
            </w:pPr>
            <w:r>
              <w:t xml:space="preserve">jarosite mineral present; WRB 2022 Aceric requires it beside pH 3.5-5 (Ch 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horizon_column_spec()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.horizon_name_aliases()</w:t>
      </w:r>
      <w:r>
        <w:rPr>
          <w:i/>
          <w:iCs/>
        </w:rPr>
        <w:t xml:space="preserve"> </w:t>
      </w:r>
      <w:r>
        <w:rPr>
          <w:i/>
          <w:iCs/>
        </w:rPr>
        <w:t xml:space="preserve">in soilKey v0.9.192.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2026-07-28T23:57:48Z</dcterms:created>
  <dcterms:modified xsi:type="dcterms:W3CDTF">2026-07-28T23:57:48Z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