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Rapport</w:t>
      </w:r>
      <w:r>
        <w:t xml:space="preserve"> </w:t>
      </w:r>
      <w:r>
        <w:t xml:space="preserve">de</w:t>
      </w:r>
      <w:r>
        <w:t xml:space="preserve"> </w:t>
      </w:r>
      <w:r>
        <w:t xml:space="preserve">projet</w:t>
      </w:r>
      <w:r>
        <w:t xml:space="preserve"> </w:t>
      </w:r>
      <w:r>
        <w:t xml:space="preserve">—</w:t>
      </w:r>
      <w:r>
        <w:t xml:space="preserve"> </w:t>
      </w:r>
      <w:r>
        <w:t xml:space="preserve">Aide</w:t>
      </w:r>
      <w:r>
        <w:t xml:space="preserve"> </w:t>
      </w:r>
      <w:r>
        <w:t xml:space="preserve">à</w:t>
      </w:r>
      <w:r>
        <w:t xml:space="preserve"> </w:t>
      </w:r>
      <w:r>
        <w:t xml:space="preserve">la</w:t>
      </w:r>
      <w:r>
        <w:t xml:space="preserve"> </w:t>
      </w:r>
      <w:r>
        <w:t xml:space="preserve">décision</w:t>
      </w:r>
      <w:r>
        <w:t xml:space="preserve"> </w:t>
      </w:r>
      <w:r>
        <w:t xml:space="preserve">multicritère</w:t>
      </w:r>
    </w:p>
    <w:p>
      <w:pPr>
        <w:pStyle w:val="Subtitle"/>
      </w:pPr>
      <w:r>
        <w:t xml:space="preserve">Cas</w:t>
      </w:r>
      <w:r>
        <w:t xml:space="preserve"> </w:t>
      </w:r>
      <w:r>
        <w:t xml:space="preserve">d’étude</w:t>
      </w:r>
      <w:r>
        <w:t xml:space="preserve"> </w:t>
      </w:r>
      <w:r>
        <w:t xml:space="preserve">:</w:t>
      </w:r>
      <w:r>
        <w:t xml:space="preserve"> </w:t>
      </w:r>
      <w:r>
        <w:t xml:space="preserve">le</w:t>
      </w:r>
      <w:r>
        <w:t xml:space="preserve"> </w:t>
      </w:r>
      <w:r>
        <w:t xml:space="preserve">choix</w:t>
      </w:r>
      <w:r>
        <w:t xml:space="preserve"> </w:t>
      </w:r>
      <w:r>
        <w:t xml:space="preserve">d’une</w:t>
      </w:r>
      <w:r>
        <w:t xml:space="preserve"> </w:t>
      </w:r>
      <w:r>
        <w:t xml:space="preserve">école</w:t>
      </w:r>
      <w:r>
        <w:t xml:space="preserve"> </w:t>
      </w:r>
      <w:r>
        <w:t xml:space="preserve">d’ingénieurs</w:t>
      </w:r>
    </w:p>
    <w:p>
      <w:pPr>
        <w:pStyle w:val="Author"/>
      </w:pPr>
      <w:r>
        <w:t xml:space="preserve">[Nom</w:t>
      </w:r>
      <w:r>
        <w:t xml:space="preserve"> </w:t>
      </w:r>
      <w:r>
        <w:t xml:space="preserve">1],</w:t>
      </w:r>
      <w:r>
        <w:t xml:space="preserve"> </w:t>
      </w:r>
      <w:r>
        <w:t xml:space="preserve">[Nom</w:t>
      </w:r>
      <w:r>
        <w:t xml:space="preserve"> </w:t>
      </w:r>
      <w:r>
        <w:t xml:space="preserve">2],</w:t>
      </w:r>
      <w:r>
        <w:t xml:space="preserve"> </w:t>
      </w:r>
      <w:r>
        <w:t xml:space="preserve">[Nom</w:t>
      </w:r>
      <w:r>
        <w:t xml:space="preserve"> </w:t>
      </w:r>
      <w:r>
        <w:t xml:space="preserve">3],</w:t>
      </w:r>
      <w:r>
        <w:t xml:space="preserve"> </w:t>
      </w:r>
      <w:r>
        <w:t xml:space="preserve">[Nom</w:t>
      </w:r>
      <w:r>
        <w:t xml:space="preserve"> </w:t>
      </w:r>
      <w:r>
        <w:t xml:space="preserve">4]</w:t>
      </w:r>
    </w:p>
    <w:p>
      <w:pPr>
        <w:pStyle w:val="Date"/>
      </w:pPr>
      <w:r>
        <w:t xml:space="preserve">Juin</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8" w:name="Xf90835426eda7a328247f68bf1622b40135f7db"/>
    <w:p>
      <w:pPr>
        <w:pStyle w:val="Heading1"/>
      </w:pPr>
      <w:r>
        <w:t xml:space="preserve">Rapport de projet — Aide à la décision multicritère</w:t>
      </w:r>
    </w:p>
    <w:bookmarkStart w:id="20" w:name="Xc23bce19a8d1f71d930969d4e5e6bfe92fd30f2"/>
    <w:p>
      <w:pPr>
        <w:pStyle w:val="Heading2"/>
      </w:pPr>
      <w:r>
        <w:t xml:space="preserve">Cas d’étude : le choix d’une école d’ingénieurs</w:t>
      </w:r>
    </w:p>
    <w:p>
      <w:pPr>
        <w:pStyle w:val="FirstParagraph"/>
      </w:pPr>
      <w:r>
        <w:rPr>
          <w:bCs/>
          <w:b/>
        </w:rPr>
        <w:t xml:space="preserve">Auteurs</w:t>
      </w:r>
      <w:r>
        <w:t xml:space="preserve"> </w:t>
      </w:r>
      <w:r>
        <w:t xml:space="preserve">: [Nom 1], [Nom 2], [Nom 3], [Nom 4]</w:t>
      </w:r>
      <w:r>
        <w:t xml:space="preserve"> </w:t>
      </w:r>
      <w:r>
        <w:rPr>
          <w:bCs/>
          <w:b/>
        </w:rPr>
        <w:t xml:space="preserve">Cours</w:t>
      </w:r>
      <w:r>
        <w:t xml:space="preserve"> </w:t>
      </w:r>
      <w:r>
        <w:t xml:space="preserve">: Décision multicritère, décision collective — L. Galand</w:t>
      </w:r>
      <w:r>
        <w:t xml:space="preserve"> </w:t>
      </w:r>
      <w:r>
        <w:rPr>
          <w:bCs/>
          <w:b/>
        </w:rPr>
        <w:t xml:space="preserve">Date</w:t>
      </w:r>
      <w:r>
        <w:t xml:space="preserve"> </w:t>
      </w:r>
      <w:r>
        <w:t xml:space="preserve">: Juin 2026</w:t>
      </w:r>
    </w:p>
    <w:p>
      <w:r>
        <w:pict>
          <v:rect style="width:0;height:1.5pt" o:hralign="center" o:hrstd="t" o:hr="t"/>
        </w:pict>
      </w:r>
    </w:p>
    <w:bookmarkEnd w:id="20"/>
    <w:bookmarkStart w:id="25" w:name="introduction-et-définition-du-problème"/>
    <w:p>
      <w:pPr>
        <w:pStyle w:val="Heading2"/>
      </w:pPr>
      <w:r>
        <w:t xml:space="preserve">1. Introduction et définition du problème</w:t>
      </w:r>
    </w:p>
    <w:bookmarkStart w:id="21" w:name="contexte"/>
    <w:p>
      <w:pPr>
        <w:pStyle w:val="Heading3"/>
      </w:pPr>
      <w:r>
        <w:t xml:space="preserve">1.1 Contexte</w:t>
      </w:r>
    </w:p>
    <w:p>
      <w:pPr>
        <w:pStyle w:val="FirstParagraph"/>
      </w:pPr>
      <w:r>
        <w:t xml:space="preserve">Chaque année en France, plusieurs dizaines de milliers d’étudiants en fin de classes préparatoires ou candidats aux admissions parallèles doivent classer leurs vœux d’écoles d’ingénieurs : sur les concours SCEI, en admission sur titre, ou via Parcoursup pour les écoles post-bac. Pour les guider, ils s’appuient principalement sur les classements publiés par les médias (</w:t>
      </w:r>
      <w:r>
        <w:rPr>
          <w:iCs/>
          <w:i/>
        </w:rPr>
        <w:t xml:space="preserve">L’Étudiant</w:t>
      </w:r>
      <w:r>
        <w:t xml:space="preserve">,</w:t>
      </w:r>
      <w:r>
        <w:t xml:space="preserve"> </w:t>
      </w:r>
      <w:r>
        <w:rPr>
          <w:iCs/>
          <w:i/>
        </w:rPr>
        <w:t xml:space="preserve">Le Figaro Étudiant</w:t>
      </w:r>
      <w:r>
        <w:t xml:space="preserve">,</w:t>
      </w:r>
      <w:r>
        <w:t xml:space="preserve"> </w:t>
      </w:r>
      <w:r>
        <w:rPr>
          <w:iCs/>
          <w:i/>
        </w:rPr>
        <w:t xml:space="preserve">L’Usine Nouvelle</w:t>
      </w:r>
      <w:r>
        <w:t xml:space="preserve">,</w:t>
      </w:r>
      <w:r>
        <w:t xml:space="preserve"> </w:t>
      </w:r>
      <w:r>
        <w:rPr>
          <w:iCs/>
          <w:i/>
        </w:rPr>
        <w:t xml:space="preserve">DAUR</w:t>
      </w:r>
      <w:r>
        <w:t xml:space="preserve">).</w:t>
      </w:r>
    </w:p>
    <w:p>
      <w:pPr>
        <w:pStyle w:val="BodyText"/>
      </w:pPr>
      <w:r>
        <w:t xml:space="preserve">Ces classements souffrent toutefois de deux limites structurelles, bien identifiées par la littérature sur l’aide à la décision :</w:t>
      </w:r>
    </w:p>
    <w:p>
      <w:pPr>
        <w:numPr>
          <w:ilvl w:val="0"/>
          <w:numId w:val="1001"/>
        </w:numPr>
        <w:pStyle w:val="Compact"/>
      </w:pPr>
      <w:r>
        <w:rPr>
          <w:bCs/>
          <w:b/>
        </w:rPr>
        <w:t xml:space="preserve">Opacité méthodologique</w:t>
      </w:r>
      <w:r>
        <w:t xml:space="preserve"> </w:t>
      </w:r>
      <w:r>
        <w:t xml:space="preserve">: les critères retenus, leurs unités et surtout leurs</w:t>
      </w:r>
      <w:r>
        <w:t xml:space="preserve"> </w:t>
      </w:r>
      <w:r>
        <w:rPr>
          <w:iCs/>
          <w:i/>
        </w:rPr>
        <w:t xml:space="preserve">poids relatifs</w:t>
      </w:r>
      <w:r>
        <w:t xml:space="preserve"> </w:t>
      </w:r>
      <w:r>
        <w:t xml:space="preserve">sont fixés par la rédaction du classement, sans justification systématique et sans correspondance nécessaire avec les préférences réelles du lecteur. Un classement n’est rien d’autre qu’un</w:t>
      </w:r>
      <w:r>
        <w:t xml:space="preserve"> </w:t>
      </w:r>
      <w:r>
        <w:rPr>
          <w:iCs/>
          <w:i/>
        </w:rPr>
        <w:t xml:space="preserve">modèle de préférences parmi d’autres</w:t>
      </w:r>
      <w:r>
        <w:t xml:space="preserve">.</w:t>
      </w:r>
    </w:p>
    <w:p>
      <w:pPr>
        <w:numPr>
          <w:ilvl w:val="0"/>
          <w:numId w:val="1001"/>
        </w:numPr>
        <w:pStyle w:val="Compact"/>
      </w:pPr>
      <w:r>
        <w:rPr>
          <w:bCs/>
          <w:b/>
        </w:rPr>
        <w:t xml:space="preserve">Absence de personnalisation</w:t>
      </w:r>
      <w:r>
        <w:t xml:space="preserve"> </w:t>
      </w:r>
      <w:r>
        <w:t xml:space="preserve">: un même classement est servi à tous les étudiants, indépendamment de leur situation (budget familial, projet professionnel, sensibilité aux enjeux sociétaux, attentes en termes d’expérience étudiante).</w:t>
      </w:r>
    </w:p>
    <w:p>
      <w:pPr>
        <w:pStyle w:val="FirstParagraph"/>
      </w:pPr>
      <w:r>
        <w:t xml:space="preserve">L’aide multicritère à la décision (AMD) apporte précisément une réponse à ce problème : elle permet d’expliciter les préférences d’un décideur particulier, d’appliquer plusieurs méthodes mathématiquement rigoureuses à un même jeu de données, et d’obtenir une recommandation transparente, justifiée et reproductible. C’est ce que ce projet vise à simuler.</w:t>
      </w:r>
    </w:p>
    <w:bookmarkEnd w:id="21"/>
    <w:bookmarkStart w:id="22" w:name="originalité-de-notre-approche"/>
    <w:p>
      <w:pPr>
        <w:pStyle w:val="Heading3"/>
      </w:pPr>
      <w:r>
        <w:t xml:space="preserve">1.2 Originalité de notre approche</w:t>
      </w:r>
    </w:p>
    <w:p>
      <w:pPr>
        <w:pStyle w:val="FirstParagraph"/>
      </w:pPr>
      <w:r>
        <w:t xml:space="preserve">Plutôt que de reprendre la grille de critères standard des classements grand public (excellence académique, recherche, salaire, international, alternance), nous avons construit une famille de six critères dont</w:t>
      </w:r>
      <w:r>
        <w:t xml:space="preserve"> </w:t>
      </w:r>
      <w:r>
        <w:rPr>
          <w:bCs/>
          <w:b/>
        </w:rPr>
        <w:t xml:space="preserve">la moitié n’apparaît dans aucun classement national</w:t>
      </w:r>
      <w:r>
        <w:t xml:space="preserve"> </w:t>
      </w:r>
      <w:r>
        <w:t xml:space="preserve">:</w:t>
      </w:r>
    </w:p>
    <w:p>
      <w:pPr>
        <w:numPr>
          <w:ilvl w:val="0"/>
          <w:numId w:val="1002"/>
        </w:numPr>
        <w:pStyle w:val="Compact"/>
      </w:pPr>
      <w:r>
        <w:rPr>
          <w:bCs/>
          <w:b/>
        </w:rPr>
        <w:t xml:space="preserve">g3 Coût total étendu</w:t>
      </w:r>
      <w:r>
        <w:t xml:space="preserve"> </w:t>
      </w:r>
      <w:r>
        <w:t xml:space="preserve">(scolarité + vie sur place) intègre la dimension géographique du coût réel pour la famille.</w:t>
      </w:r>
    </w:p>
    <w:p>
      <w:pPr>
        <w:numPr>
          <w:ilvl w:val="0"/>
          <w:numId w:val="1002"/>
        </w:numPr>
        <w:pStyle w:val="Compact"/>
      </w:pPr>
      <w:r>
        <w:rPr>
          <w:bCs/>
          <w:b/>
        </w:rPr>
        <w:t xml:space="preserve">g4 Diversité sociale</w:t>
      </w:r>
      <w:r>
        <w:t xml:space="preserve"> </w:t>
      </w:r>
      <w:r>
        <w:t xml:space="preserve">(% de boursiers en cycle ingénieur) reflète l’environnement social effectivement rencontré pendant les trois années de formation.</w:t>
      </w:r>
    </w:p>
    <w:p>
      <w:pPr>
        <w:numPr>
          <w:ilvl w:val="0"/>
          <w:numId w:val="1002"/>
        </w:numPr>
        <w:pStyle w:val="Compact"/>
      </w:pPr>
      <w:r>
        <w:rPr>
          <w:bCs/>
          <w:b/>
        </w:rPr>
        <w:t xml:space="preserve">g5 Engagement DD&amp;RS</w:t>
      </w:r>
      <w:r>
        <w:t xml:space="preserve"> </w:t>
      </w:r>
      <w:r>
        <w:t xml:space="preserve">(Développement Durable et Responsabilité Sociétale) traduit une préoccupation émergente forte chez la génération actuelle d’étudiants.</w:t>
      </w:r>
    </w:p>
    <w:p>
      <w:pPr>
        <w:pStyle w:val="FirstParagraph"/>
      </w:pPr>
      <w:r>
        <w:t xml:space="preserve">Ce choix de critères « non standards » n’est pas un caprice : il illustre précisément la souplesse de l’AMD à modéliser un système de valeurs personnel, ce qu’un classement figé ne permet pas. Il prend également au sérieux l’enquête OpinionWay 2025 selon laquelle 66 % des étudiants ingénieurs se déclarent favorables à la création d’un score environnemental officiel pour leurs écoles.</w:t>
      </w:r>
    </w:p>
    <w:bookmarkEnd w:id="22"/>
    <w:bookmarkStart w:id="23" w:name="rôles-dans-le-processus-de-décision"/>
    <w:p>
      <w:pPr>
        <w:pStyle w:val="Heading3"/>
      </w:pPr>
      <w:r>
        <w:t xml:space="preserve">1.3 Rôles dans le processus de décision</w:t>
      </w:r>
    </w:p>
    <w:p>
      <w:pPr>
        <w:pStyle w:val="FirstParagraph"/>
      </w:pPr>
      <w:r>
        <w:t xml:space="preserve">Conformément au cadre de Roy (1985) rappelé en cours, le processus mobilise deux acteurs distincts :</w:t>
      </w:r>
    </w:p>
    <w:p>
      <w:pPr>
        <w:numPr>
          <w:ilvl w:val="0"/>
          <w:numId w:val="1003"/>
        </w:numPr>
        <w:pStyle w:val="Compact"/>
      </w:pPr>
      <w:r>
        <w:rPr>
          <w:bCs/>
          <w:b/>
        </w:rPr>
        <w:t xml:space="preserve">Le décideur</w:t>
      </w:r>
      <w:r>
        <w:t xml:space="preserve"> </w:t>
      </w:r>
      <w:r>
        <w:t xml:space="preserve">est un étudiant fictif, en deuxième année de classe préparatoire MP, candidat aux concours communs. Son profil de préférences est défini en section 2.4. Notre rôle n’est pas de nous substituer à lui : son système de valeurs constitue la donnée d’entrée du processus.</w:t>
      </w:r>
    </w:p>
    <w:p>
      <w:pPr>
        <w:numPr>
          <w:ilvl w:val="0"/>
          <w:numId w:val="1003"/>
        </w:numPr>
        <w:pStyle w:val="Compact"/>
      </w:pPr>
      <w:r>
        <w:rPr>
          <w:bCs/>
          <w:b/>
        </w:rPr>
        <w:t xml:space="preserve">L’analyste</w:t>
      </w:r>
      <w:r>
        <w:t xml:space="preserve"> </w:t>
      </w:r>
      <w:r>
        <w:t xml:space="preserve">est notre groupe. Notre rôle est de structurer le problème, de construire la famille de critères en concertation avec le décideur, d’éliciter ses paramètres (poids, seuils), d’appliquer les méthodes, d’interpréter les résultats et d’en analyser la robustesse. Comme l’écrit Roy, l’aide à la décision</w:t>
      </w:r>
      <w:r>
        <w:t xml:space="preserve"> </w:t>
      </w:r>
      <w:r>
        <w:rPr>
          <w:iCs/>
          <w:i/>
        </w:rPr>
        <w:t xml:space="preserve">« ne relève que de façon très partielle de la recherche d’une vérité »</w:t>
      </w:r>
      <w:r>
        <w:t xml:space="preserve"> </w:t>
      </w:r>
      <w:r>
        <w:t xml:space="preserve">: elle vise à éclairer le choix, pas à le dicter.</w:t>
      </w:r>
    </w:p>
    <w:bookmarkEnd w:id="23"/>
    <w:bookmarkStart w:id="24" w:name="problématique-retenue"/>
    <w:p>
      <w:pPr>
        <w:pStyle w:val="Heading3"/>
      </w:pPr>
      <w:r>
        <w:t xml:space="preserve">1.4 Problématique retenue</w:t>
      </w:r>
    </w:p>
    <w:p>
      <w:pPr>
        <w:pStyle w:val="FirstParagraph"/>
      </w:pPr>
      <w:r>
        <w:t xml:space="preserve">Parmi les trois problématiques classiques (choix α, tri γ, rangement β), nous adoptons la</w:t>
      </w:r>
      <w:r>
        <w:t xml:space="preserve"> </w:t>
      </w:r>
      <w:r>
        <w:rPr>
          <w:bCs/>
          <w:b/>
        </w:rPr>
        <w:t xml:space="preserve">problématique de rangement (β)</w:t>
      </w:r>
      <w:r>
        <w:t xml:space="preserve"> </w:t>
      </w:r>
      <w:r>
        <w:t xml:space="preserve">: l’objectif est d’établir un ordre — total ou partiel — sur l’ensemble des alternatives.</w:t>
      </w:r>
    </w:p>
    <w:p>
      <w:pPr>
        <w:pStyle w:val="BodyText"/>
      </w:pPr>
      <w:r>
        <w:t xml:space="preserve">Ce choix est motivé par trois considérations :</w:t>
      </w:r>
    </w:p>
    <w:p>
      <w:pPr>
        <w:numPr>
          <w:ilvl w:val="0"/>
          <w:numId w:val="1004"/>
        </w:numPr>
        <w:pStyle w:val="Compact"/>
      </w:pPr>
      <w:r>
        <w:rPr>
          <w:bCs/>
          <w:b/>
        </w:rPr>
        <w:t xml:space="preserve">Adéquation à la pratique réelle</w:t>
      </w:r>
      <w:r>
        <w:t xml:space="preserve"> </w:t>
      </w:r>
      <w:r>
        <w:t xml:space="preserve">: sur SCEI comme sur Parcoursup, le candidat ne désigne pas une école unique mais constitue une</w:t>
      </w:r>
      <w:r>
        <w:t xml:space="preserve"> </w:t>
      </w:r>
      <w:r>
        <w:rPr>
          <w:iCs/>
          <w:i/>
        </w:rPr>
        <w:t xml:space="preserve">liste de vœux ordonnée</w:t>
      </w:r>
      <w:r>
        <w:t xml:space="preserve">. Le rangement fournit donc l’output directement exploitable.</w:t>
      </w:r>
    </w:p>
    <w:p>
      <w:pPr>
        <w:numPr>
          <w:ilvl w:val="0"/>
          <w:numId w:val="1004"/>
        </w:numPr>
        <w:pStyle w:val="Compact"/>
      </w:pPr>
      <w:r>
        <w:rPr>
          <w:bCs/>
          <w:b/>
        </w:rPr>
        <w:t xml:space="preserve">Comparabilité entre méthodes</w:t>
      </w:r>
      <w:r>
        <w:t xml:space="preserve"> </w:t>
      </w:r>
      <w:r>
        <w:t xml:space="preserve">: appliquer plusieurs méthodes à un même problème suppose des outputs comparables. Un classement complet (préordre) est plus facile à confronter qu’une recommandation unique.</w:t>
      </w:r>
    </w:p>
    <w:p>
      <w:pPr>
        <w:numPr>
          <w:ilvl w:val="0"/>
          <w:numId w:val="1004"/>
        </w:numPr>
        <w:pStyle w:val="Compact"/>
      </w:pPr>
      <w:r>
        <w:rPr>
          <w:bCs/>
          <w:b/>
        </w:rPr>
        <w:t xml:space="preserve">Diversité méthodologique</w:t>
      </w:r>
      <w:r>
        <w:t xml:space="preserve"> </w:t>
      </w:r>
      <w:r>
        <w:t xml:space="preserve">: certaines méthodes (somme pondérée, OWA, Choquet, Min) produisent naturellement un préordre total (score unique → classement total). D’autres (ELECTRE) produisent un préordre partiel avec d’éventuelles</w:t>
      </w:r>
      <w:r>
        <w:t xml:space="preserve"> </w:t>
      </w:r>
      <w:r>
        <w:rPr>
          <w:bCs/>
          <w:b/>
        </w:rPr>
        <w:t xml:space="preserve">incomparabilités</w:t>
      </w:r>
      <w:r>
        <w:t xml:space="preserve"> </w:t>
      </w:r>
      <w:r>
        <w:t xml:space="preserve">— situations où le décideur conserve une marge d’arbitrage. C’est précisément l’intérêt de mobiliser les deux familles.</w:t>
      </w:r>
    </w:p>
    <w:p>
      <w:r>
        <w:pict>
          <v:rect style="width:0;height:1.5pt" o:hralign="center" o:hrstd="t" o:hr="t"/>
        </w:pict>
      </w:r>
    </w:p>
    <w:bookmarkEnd w:id="24"/>
    <w:bookmarkEnd w:id="25"/>
    <w:bookmarkStart w:id="37" w:name="Xb4ca198a36e966cbd6581ca691bef6338efbc7f"/>
    <w:p>
      <w:pPr>
        <w:pStyle w:val="Heading2"/>
      </w:pPr>
      <w:r>
        <w:t xml:space="preserve">2. Modélisation du problème en problème de décision multicritère</w:t>
      </w:r>
    </w:p>
    <w:bookmarkStart w:id="26" w:name="ensemble-des-alternatives-a"/>
    <w:p>
      <w:pPr>
        <w:pStyle w:val="Heading3"/>
      </w:pPr>
      <w:r>
        <w:t xml:space="preserve">2.1 Ensemble des alternatives A</w:t>
      </w:r>
    </w:p>
    <w:p>
      <w:pPr>
        <w:pStyle w:val="FirstParagraph"/>
      </w:pPr>
      <w:r>
        <w:t xml:space="preserve">L’ensemble</w:t>
      </w:r>
      <w:r>
        <w:t xml:space="preserve"> </w:t>
      </w:r>
      <w:r>
        <w:rPr>
          <w:iCs/>
          <w:i/>
        </w:rPr>
        <w:t xml:space="preserve">A</w:t>
      </w:r>
      <w:r>
        <w:t xml:space="preserve"> </w:t>
      </w:r>
      <w:r>
        <w:t xml:space="preserve">est défini</w:t>
      </w:r>
      <w:r>
        <w:t xml:space="preserve"> </w:t>
      </w:r>
      <w:r>
        <w:rPr>
          <w:iCs/>
          <w:i/>
        </w:rPr>
        <w:t xml:space="preserve">en extension</w:t>
      </w:r>
      <w:r>
        <w:t xml:space="preserve"> </w:t>
      </w:r>
      <w:r>
        <w:t xml:space="preserve">par énumération de dix écoles d’ingénieurs françaises, choisies pour offrir une diversité réelle sur l’ensemble des critères (sans diversité, les méthodes de surclassement et d’agrégation non linéaire perdent leur intérêt analytique). Les écoles retenues couvrent :</w:t>
      </w:r>
    </w:p>
    <w:p>
      <w:pPr>
        <w:numPr>
          <w:ilvl w:val="0"/>
          <w:numId w:val="1005"/>
        </w:numPr>
        <w:pStyle w:val="Compact"/>
      </w:pPr>
      <w:r>
        <w:t xml:space="preserve">Les</w:t>
      </w:r>
      <w:r>
        <w:t xml:space="preserve"> </w:t>
      </w:r>
      <w:r>
        <w:rPr>
          <w:bCs/>
          <w:b/>
        </w:rPr>
        <w:t xml:space="preserve">grandes écoles post-prépa</w:t>
      </w:r>
      <w:r>
        <w:t xml:space="preserve"> </w:t>
      </w:r>
      <w:r>
        <w:t xml:space="preserve">(Polytechnique, CentraleSupélec, Mines Paris, ENPC, ENSTA, Télécom Paris, IMT Atlantique)</w:t>
      </w:r>
    </w:p>
    <w:p>
      <w:pPr>
        <w:numPr>
          <w:ilvl w:val="0"/>
          <w:numId w:val="1005"/>
        </w:numPr>
        <w:pStyle w:val="Compact"/>
      </w:pPr>
      <w:r>
        <w:t xml:space="preserve">Les</w:t>
      </w:r>
      <w:r>
        <w:t xml:space="preserve"> </w:t>
      </w:r>
      <w:r>
        <w:rPr>
          <w:bCs/>
          <w:b/>
        </w:rPr>
        <w:t xml:space="preserve">écoles post-bac à fort réseau</w:t>
      </w:r>
      <w:r>
        <w:t xml:space="preserve"> </w:t>
      </w:r>
      <w:r>
        <w:t xml:space="preserve">(INSA Lyon, UTC Compiègne)</w:t>
      </w:r>
    </w:p>
    <w:p>
      <w:pPr>
        <w:numPr>
          <w:ilvl w:val="0"/>
          <w:numId w:val="1005"/>
        </w:numPr>
        <w:pStyle w:val="Compact"/>
      </w:pPr>
      <w:r>
        <w:t xml:space="preserve">Une</w:t>
      </w:r>
      <w:r>
        <w:t xml:space="preserve"> </w:t>
      </w:r>
      <w:r>
        <w:rPr>
          <w:bCs/>
          <w:b/>
        </w:rPr>
        <w:t xml:space="preserve">école à recrutement mixte</w:t>
      </w:r>
      <w:r>
        <w:t xml:space="preserve"> </w:t>
      </w:r>
      <w:r>
        <w:t xml:space="preserve">(Arts et Métiers — ENSAM)</w:t>
      </w:r>
    </w:p>
    <w:tbl>
      <w:tblPr>
        <w:tblStyle w:val="Table"/>
        <w:tblW w:type="pct" w:w="5000"/>
        <w:tblLook w:firstRow="1" w:lastRow="0" w:firstColumn="0" w:lastColumn="0" w:noHBand="0" w:noVBand="0" w:val="0020"/>
        <w:jc w:val="start"/>
      </w:tblPr>
      <w:tblGrid>
        <w:gridCol w:w="482"/>
        <w:gridCol w:w="2124"/>
        <w:gridCol w:w="5312"/>
      </w:tblGrid>
      <w:tr>
        <w:trPr>
          <w:tblHeader w:val="true"/>
        </w:trPr>
        <w:tc>
          <w:tcPr/>
          <w:p>
            <w:pPr>
              <w:pStyle w:val="Compact"/>
              <w:jc w:val="left"/>
            </w:pPr>
            <w:r>
              <w:t xml:space="preserve">ID</w:t>
            </w:r>
          </w:p>
        </w:tc>
        <w:tc>
          <w:tcPr/>
          <w:p>
            <w:pPr>
              <w:pStyle w:val="Compact"/>
              <w:jc w:val="left"/>
            </w:pPr>
            <w:r>
              <w:t xml:space="preserve">École</w:t>
            </w:r>
          </w:p>
        </w:tc>
        <w:tc>
          <w:tcPr/>
          <w:p>
            <w:pPr>
              <w:pStyle w:val="Compact"/>
              <w:jc w:val="left"/>
            </w:pPr>
            <w:r>
              <w:t xml:space="preserve">Note</w:t>
            </w:r>
          </w:p>
        </w:tc>
      </w:tr>
      <w:tr>
        <w:tc>
          <w:tcPr/>
          <w:p>
            <w:pPr>
              <w:pStyle w:val="Compact"/>
              <w:jc w:val="left"/>
            </w:pPr>
            <w:r>
              <w:t xml:space="preserve">A1</w:t>
            </w:r>
          </w:p>
        </w:tc>
        <w:tc>
          <w:tcPr/>
          <w:p>
            <w:pPr>
              <w:pStyle w:val="Compact"/>
              <w:jc w:val="left"/>
            </w:pPr>
            <w:r>
              <w:t xml:space="preserve">École Polytechnique</w:t>
            </w:r>
          </w:p>
        </w:tc>
        <w:tc>
          <w:tcPr/>
          <w:p>
            <w:pPr>
              <w:pStyle w:val="Compact"/>
              <w:jc w:val="left"/>
            </w:pPr>
            <w:r>
              <w:t xml:space="preserve">Statut militaire, gratuit pour les élèves français</w:t>
            </w:r>
          </w:p>
        </w:tc>
      </w:tr>
      <w:tr>
        <w:tc>
          <w:tcPr/>
          <w:p>
            <w:pPr>
              <w:pStyle w:val="Compact"/>
              <w:jc w:val="left"/>
            </w:pPr>
            <w:r>
              <w:t xml:space="preserve">A2</w:t>
            </w:r>
          </w:p>
        </w:tc>
        <w:tc>
          <w:tcPr/>
          <w:p>
            <w:pPr>
              <w:pStyle w:val="Compact"/>
              <w:jc w:val="left"/>
            </w:pPr>
            <w:r>
              <w:t xml:space="preserve">CentraleSupélec</w:t>
            </w:r>
          </w:p>
        </w:tc>
        <w:tc>
          <w:tcPr/>
          <w:p>
            <w:pPr>
              <w:pStyle w:val="Compact"/>
              <w:jc w:val="left"/>
            </w:pPr>
            <w:r>
              <w:t xml:space="preserve">Élite généraliste post-prépa</w:t>
            </w:r>
          </w:p>
        </w:tc>
      </w:tr>
      <w:tr>
        <w:tc>
          <w:tcPr/>
          <w:p>
            <w:pPr>
              <w:pStyle w:val="Compact"/>
              <w:jc w:val="left"/>
            </w:pPr>
            <w:r>
              <w:t xml:space="preserve">A3</w:t>
            </w:r>
          </w:p>
        </w:tc>
        <w:tc>
          <w:tcPr/>
          <w:p>
            <w:pPr>
              <w:pStyle w:val="Compact"/>
              <w:jc w:val="left"/>
            </w:pPr>
            <w:r>
              <w:t xml:space="preserve">Mines Paris — PSL</w:t>
            </w:r>
          </w:p>
        </w:tc>
        <w:tc>
          <w:tcPr/>
          <w:p>
            <w:pPr>
              <w:pStyle w:val="Compact"/>
              <w:jc w:val="left"/>
            </w:pPr>
            <w:r>
              <w:t xml:space="preserve">Plus chère du secteur public, débouchés finance</w:t>
            </w:r>
          </w:p>
        </w:tc>
      </w:tr>
      <w:tr>
        <w:tc>
          <w:tcPr/>
          <w:p>
            <w:pPr>
              <w:pStyle w:val="Compact"/>
              <w:jc w:val="left"/>
            </w:pPr>
            <w:r>
              <w:t xml:space="preserve">A4</w:t>
            </w:r>
          </w:p>
        </w:tc>
        <w:tc>
          <w:tcPr/>
          <w:p>
            <w:pPr>
              <w:pStyle w:val="Compact"/>
              <w:jc w:val="left"/>
            </w:pPr>
            <w:r>
              <w:t xml:space="preserve">ENSTA Paris</w:t>
            </w:r>
          </w:p>
        </w:tc>
        <w:tc>
          <w:tcPr/>
          <w:p>
            <w:pPr>
              <w:pStyle w:val="Compact"/>
              <w:jc w:val="left"/>
            </w:pPr>
            <w:r>
              <w:t xml:space="preserve">Membre d’Institut Polytechnique de Paris</w:t>
            </w:r>
          </w:p>
        </w:tc>
      </w:tr>
      <w:tr>
        <w:tc>
          <w:tcPr/>
          <w:p>
            <w:pPr>
              <w:pStyle w:val="Compact"/>
              <w:jc w:val="left"/>
            </w:pPr>
            <w:r>
              <w:t xml:space="preserve">A5</w:t>
            </w:r>
          </w:p>
        </w:tc>
        <w:tc>
          <w:tcPr/>
          <w:p>
            <w:pPr>
              <w:pStyle w:val="Compact"/>
              <w:jc w:val="left"/>
            </w:pPr>
            <w:r>
              <w:t xml:space="preserve">Télécom Paris</w:t>
            </w:r>
          </w:p>
        </w:tc>
        <w:tc>
          <w:tcPr/>
          <w:p>
            <w:pPr>
              <w:pStyle w:val="Compact"/>
              <w:jc w:val="left"/>
            </w:pPr>
            <w:r>
              <w:t xml:space="preserve">Membre d’IP Paris, spécialité numérique</w:t>
            </w:r>
          </w:p>
        </w:tc>
      </w:tr>
      <w:tr>
        <w:tc>
          <w:tcPr/>
          <w:p>
            <w:pPr>
              <w:pStyle w:val="Compact"/>
              <w:jc w:val="left"/>
            </w:pPr>
            <w:r>
              <w:t xml:space="preserve">A6</w:t>
            </w:r>
          </w:p>
        </w:tc>
        <w:tc>
          <w:tcPr/>
          <w:p>
            <w:pPr>
              <w:pStyle w:val="Compact"/>
              <w:jc w:val="left"/>
            </w:pPr>
            <w:r>
              <w:t xml:space="preserve">Ponts ParisTech</w:t>
            </w:r>
          </w:p>
        </w:tc>
        <w:tc>
          <w:tcPr/>
          <w:p>
            <w:pPr>
              <w:pStyle w:val="Compact"/>
              <w:jc w:val="left"/>
            </w:pPr>
            <w:r>
              <w:t xml:space="preserve">Tutelle MTE, débouchés BTP et finance</w:t>
            </w:r>
          </w:p>
        </w:tc>
      </w:tr>
      <w:tr>
        <w:tc>
          <w:tcPr/>
          <w:p>
            <w:pPr>
              <w:pStyle w:val="Compact"/>
              <w:jc w:val="left"/>
            </w:pPr>
            <w:r>
              <w:t xml:space="preserve">A7</w:t>
            </w:r>
          </w:p>
        </w:tc>
        <w:tc>
          <w:tcPr/>
          <w:p>
            <w:pPr>
              <w:pStyle w:val="Compact"/>
              <w:jc w:val="left"/>
            </w:pPr>
            <w:r>
              <w:t xml:space="preserve">INSA Lyon</w:t>
            </w:r>
          </w:p>
        </w:tc>
        <w:tc>
          <w:tcPr/>
          <w:p>
            <w:pPr>
              <w:pStyle w:val="Compact"/>
              <w:jc w:val="left"/>
            </w:pPr>
            <w:r>
              <w:t xml:space="preserve">Post-bac, généraliste, frais réduits</w:t>
            </w:r>
          </w:p>
        </w:tc>
      </w:tr>
      <w:tr>
        <w:tc>
          <w:tcPr/>
          <w:p>
            <w:pPr>
              <w:pStyle w:val="Compact"/>
              <w:jc w:val="left"/>
            </w:pPr>
            <w:r>
              <w:t xml:space="preserve">A8</w:t>
            </w:r>
          </w:p>
        </w:tc>
        <w:tc>
          <w:tcPr/>
          <w:p>
            <w:pPr>
              <w:pStyle w:val="Compact"/>
              <w:jc w:val="left"/>
            </w:pPr>
            <w:r>
              <w:t xml:space="preserve">UTC Compiègne</w:t>
            </w:r>
          </w:p>
        </w:tc>
        <w:tc>
          <w:tcPr/>
          <w:p>
            <w:pPr>
              <w:pStyle w:val="Compact"/>
              <w:jc w:val="left"/>
            </w:pPr>
            <w:r>
              <w:t xml:space="preserve">Post-bac, technologie, frais réduits</w:t>
            </w:r>
          </w:p>
        </w:tc>
      </w:tr>
      <w:tr>
        <w:tc>
          <w:tcPr/>
          <w:p>
            <w:pPr>
              <w:pStyle w:val="Compact"/>
              <w:jc w:val="left"/>
            </w:pPr>
            <w:r>
              <w:t xml:space="preserve">A9</w:t>
            </w:r>
          </w:p>
        </w:tc>
        <w:tc>
          <w:tcPr/>
          <w:p>
            <w:pPr>
              <w:pStyle w:val="Compact"/>
              <w:jc w:val="left"/>
            </w:pPr>
            <w:r>
              <w:t xml:space="preserve">IMT Atlantique</w:t>
            </w:r>
          </w:p>
        </w:tc>
        <w:tc>
          <w:tcPr/>
          <w:p>
            <w:pPr>
              <w:pStyle w:val="Compact"/>
              <w:jc w:val="left"/>
            </w:pPr>
            <w:r>
              <w:t xml:space="preserve">Post-prépa, télécom-énergie</w:t>
            </w:r>
          </w:p>
        </w:tc>
      </w:tr>
      <w:tr>
        <w:tc>
          <w:tcPr/>
          <w:p>
            <w:pPr>
              <w:pStyle w:val="Compact"/>
              <w:jc w:val="left"/>
            </w:pPr>
            <w:r>
              <w:t xml:space="preserve">A10</w:t>
            </w:r>
          </w:p>
        </w:tc>
        <w:tc>
          <w:tcPr/>
          <w:p>
            <w:pPr>
              <w:pStyle w:val="Compact"/>
              <w:jc w:val="left"/>
            </w:pPr>
            <w:r>
              <w:t xml:space="preserve">Arts et Métiers</w:t>
            </w:r>
          </w:p>
        </w:tc>
        <w:tc>
          <w:tcPr/>
          <w:p>
            <w:pPr>
              <w:pStyle w:val="Compact"/>
              <w:jc w:val="left"/>
            </w:pPr>
            <w:r>
              <w:t xml:space="preserve">Réseau dense, mécanique-industrie</w:t>
            </w:r>
          </w:p>
        </w:tc>
      </w:tr>
    </w:tbl>
    <w:p>
      <w:pPr>
        <w:pStyle w:val="BodyText"/>
      </w:pPr>
      <w:r>
        <w:t xml:space="preserve">L’ensemble</w:t>
      </w:r>
      <w:r>
        <w:t xml:space="preserve"> </w:t>
      </w:r>
      <w:r>
        <w:rPr>
          <w:iCs/>
          <w:i/>
        </w:rPr>
        <w:t xml:space="preserve">A</w:t>
      </w:r>
      <w:r>
        <w:t xml:space="preserve"> </w:t>
      </w:r>
      <w:r>
        <w:t xml:space="preserve">est ici</w:t>
      </w:r>
      <w:r>
        <w:t xml:space="preserve"> </w:t>
      </w:r>
      <w:r>
        <w:rPr>
          <w:bCs/>
          <w:b/>
        </w:rPr>
        <w:t xml:space="preserve">stable et globalisé</w:t>
      </w:r>
      <w:r>
        <w:t xml:space="preserve"> </w:t>
      </w:r>
      <w:r>
        <w:t xml:space="preserve">(Roy, 1985), c’est-à-dire fixé en début de processus et couvrant l’ensemble des candidatures envisagées par le décideur. Cette hypothèse simplificatrice est discutée en analyse critique.</w:t>
      </w:r>
    </w:p>
    <w:bookmarkEnd w:id="26"/>
    <w:bookmarkStart w:id="27" w:name="famille-de-critères-f"/>
    <w:p>
      <w:pPr>
        <w:pStyle w:val="Heading3"/>
      </w:pPr>
      <w:r>
        <w:t xml:space="preserve">2.2 Famille de critères F</w:t>
      </w:r>
    </w:p>
    <w:p>
      <w:pPr>
        <w:pStyle w:val="FirstParagraph"/>
      </w:pPr>
      <w:r>
        <w:t xml:space="preserve">Le cours définit une famille de critères comme devant être :</w:t>
      </w:r>
    </w:p>
    <w:p>
      <w:pPr>
        <w:numPr>
          <w:ilvl w:val="0"/>
          <w:numId w:val="1006"/>
        </w:numPr>
        <w:pStyle w:val="Compact"/>
      </w:pPr>
      <w:r>
        <w:rPr>
          <w:bCs/>
          <w:b/>
        </w:rPr>
        <w:t xml:space="preserve">Exhaustive</w:t>
      </w:r>
      <w:r>
        <w:t xml:space="preserve"> </w:t>
      </w:r>
      <w:r>
        <w:t xml:space="preserve">(couvrir tous les aspects pertinents pour le décideur),</w:t>
      </w:r>
    </w:p>
    <w:p>
      <w:pPr>
        <w:numPr>
          <w:ilvl w:val="0"/>
          <w:numId w:val="1006"/>
        </w:numPr>
        <w:pStyle w:val="Compact"/>
      </w:pPr>
      <w:r>
        <w:rPr>
          <w:bCs/>
          <w:b/>
        </w:rPr>
        <w:t xml:space="preserve">Cohésive</w:t>
      </w:r>
      <w:r>
        <w:t xml:space="preserve"> </w:t>
      </w:r>
      <w:r>
        <w:t xml:space="preserve">(chaque critère doit refléter un point de vue séparable des autres),</w:t>
      </w:r>
    </w:p>
    <w:p>
      <w:pPr>
        <w:numPr>
          <w:ilvl w:val="0"/>
          <w:numId w:val="1006"/>
        </w:numPr>
        <w:pStyle w:val="Compact"/>
      </w:pPr>
      <w:r>
        <w:rPr>
          <w:bCs/>
          <w:b/>
        </w:rPr>
        <w:t xml:space="preserve">Non redondante</w:t>
      </w:r>
      <w:r>
        <w:t xml:space="preserve"> </w:t>
      </w:r>
      <w:r>
        <w:t xml:space="preserve">au sens préférentiel.</w:t>
      </w:r>
    </w:p>
    <w:p>
      <w:pPr>
        <w:pStyle w:val="FirstParagraph"/>
      </w:pPr>
      <w:r>
        <w:t xml:space="preserve">La construction de</w:t>
      </w:r>
      <w:r>
        <w:t xml:space="preserve"> </w:t>
      </w:r>
      <w:r>
        <w:rPr>
          <w:iCs/>
          <w:i/>
        </w:rPr>
        <w:t xml:space="preserve">F</w:t>
      </w:r>
      <w:r>
        <w:t xml:space="preserve"> </w:t>
      </w:r>
      <w:r>
        <w:t xml:space="preserve">est le résultat d’une discussion avec le décideur (voir section 2.4). Six critères ont été retenus, dont trois sont « classiques » et trois sont introduits comme</w:t>
      </w:r>
      <w:r>
        <w:t xml:space="preserve"> </w:t>
      </w:r>
      <w:r>
        <w:rPr>
          <w:bCs/>
          <w:b/>
        </w:rPr>
        <w:t xml:space="preserve">critères originaux</w:t>
      </w:r>
      <w:r>
        <w:t xml:space="preserve"> </w:t>
      </w:r>
      <w:r>
        <w:t xml:space="preserve">au regard des classements grand public :</w:t>
      </w:r>
    </w:p>
    <w:tbl>
      <w:tblPr>
        <w:tblStyle w:val="Table"/>
        <w:tblW w:type="pct" w:w="5000"/>
        <w:tblLook w:firstRow="1" w:lastRow="0" w:firstColumn="0" w:lastColumn="0" w:noHBand="0" w:noVBand="0" w:val="0020"/>
        <w:jc w:val="start"/>
      </w:tblPr>
      <w:tblGrid>
        <w:gridCol w:w="257"/>
        <w:gridCol w:w="3219"/>
        <w:gridCol w:w="2768"/>
        <w:gridCol w:w="837"/>
        <w:gridCol w:w="837"/>
      </w:tblGrid>
      <w:tr>
        <w:trPr>
          <w:tblHeader w:val="true"/>
        </w:trPr>
        <w:tc>
          <w:tcPr/>
          <w:p>
            <w:pPr>
              <w:pStyle w:val="Compact"/>
              <w:jc w:val="left"/>
            </w:pPr>
            <w:r>
              <w:t xml:space="preserve">Id</w:t>
            </w:r>
          </w:p>
        </w:tc>
        <w:tc>
          <w:tcPr/>
          <w:p>
            <w:pPr>
              <w:pStyle w:val="Compact"/>
              <w:jc w:val="left"/>
            </w:pPr>
            <w:r>
              <w:t xml:space="preserve">Critère</w:t>
            </w:r>
          </w:p>
        </w:tc>
        <w:tc>
          <w:tcPr/>
          <w:p>
            <w:pPr>
              <w:pStyle w:val="Compact"/>
              <w:jc w:val="left"/>
            </w:pPr>
            <w:r>
              <w:t xml:space="preserve">Unité / échelle</w:t>
            </w:r>
          </w:p>
        </w:tc>
        <w:tc>
          <w:tcPr/>
          <w:p>
            <w:pPr>
              <w:pStyle w:val="Compact"/>
              <w:jc w:val="left"/>
            </w:pPr>
            <w:r>
              <w:t xml:space="preserve">Sens</w:t>
            </w:r>
          </w:p>
        </w:tc>
        <w:tc>
          <w:tcPr/>
          <w:p>
            <w:pPr>
              <w:pStyle w:val="Compact"/>
              <w:jc w:val="left"/>
            </w:pPr>
            <w:r>
              <w:t xml:space="preserve">Statut</w:t>
            </w:r>
          </w:p>
        </w:tc>
      </w:tr>
      <w:tr>
        <w:tc>
          <w:tcPr/>
          <w:p>
            <w:pPr>
              <w:pStyle w:val="Compact"/>
              <w:jc w:val="left"/>
            </w:pPr>
            <w:r>
              <w:t xml:space="preserve">g1</w:t>
            </w:r>
          </w:p>
        </w:tc>
        <w:tc>
          <w:tcPr/>
          <w:p>
            <w:pPr>
              <w:pStyle w:val="Compact"/>
              <w:jc w:val="left"/>
            </w:pPr>
            <w:r>
              <w:t xml:space="preserve">Salaire médian brut à la sortie</w:t>
            </w:r>
          </w:p>
        </w:tc>
        <w:tc>
          <w:tcPr/>
          <w:p>
            <w:pPr>
              <w:pStyle w:val="Compact"/>
              <w:jc w:val="left"/>
            </w:pPr>
            <w:r>
              <w:t xml:space="preserve">€ / an</w:t>
            </w:r>
          </w:p>
        </w:tc>
        <w:tc>
          <w:tcPr/>
          <w:p>
            <w:pPr>
              <w:pStyle w:val="Compact"/>
              <w:jc w:val="left"/>
            </w:pPr>
            <w:r>
              <w:t xml:space="preserve">Maximiser</w:t>
            </w:r>
          </w:p>
        </w:tc>
        <w:tc>
          <w:tcPr/>
          <w:p>
            <w:pPr>
              <w:pStyle w:val="Compact"/>
              <w:jc w:val="left"/>
            </w:pPr>
            <w:r>
              <w:t xml:space="preserve">Classique</w:t>
            </w:r>
          </w:p>
        </w:tc>
      </w:tr>
      <w:tr>
        <w:tc>
          <w:tcPr/>
          <w:p>
            <w:pPr>
              <w:pStyle w:val="Compact"/>
              <w:jc w:val="left"/>
            </w:pPr>
            <w:r>
              <w:t xml:space="preserve">g2</w:t>
            </w:r>
          </w:p>
        </w:tc>
        <w:tc>
          <w:tcPr/>
          <w:p>
            <w:pPr>
              <w:pStyle w:val="Compact"/>
              <w:jc w:val="left"/>
            </w:pPr>
            <w:r>
              <w:t xml:space="preserve">Taux d’emploi à 6 mois</w:t>
            </w:r>
          </w:p>
        </w:tc>
        <w:tc>
          <w:tcPr/>
          <w:p>
            <w:pPr>
              <w:pStyle w:val="Compact"/>
              <w:jc w:val="left"/>
            </w:pPr>
            <w:r>
              <w:t xml:space="preserve">%</w:t>
            </w:r>
          </w:p>
        </w:tc>
        <w:tc>
          <w:tcPr/>
          <w:p>
            <w:pPr>
              <w:pStyle w:val="Compact"/>
              <w:jc w:val="left"/>
            </w:pPr>
            <w:r>
              <w:t xml:space="preserve">Maximiser</w:t>
            </w:r>
          </w:p>
        </w:tc>
        <w:tc>
          <w:tcPr/>
          <w:p>
            <w:pPr>
              <w:pStyle w:val="Compact"/>
              <w:jc w:val="left"/>
            </w:pPr>
            <w:r>
              <w:t xml:space="preserve">Classique</w:t>
            </w:r>
          </w:p>
        </w:tc>
      </w:tr>
      <w:tr>
        <w:tc>
          <w:tcPr/>
          <w:p>
            <w:pPr>
              <w:pStyle w:val="Compact"/>
              <w:jc w:val="left"/>
            </w:pPr>
            <w:r>
              <w:t xml:space="preserve">g3</w:t>
            </w:r>
          </w:p>
        </w:tc>
        <w:tc>
          <w:tcPr/>
          <w:p>
            <w:pPr>
              <w:pStyle w:val="Compact"/>
              <w:jc w:val="left"/>
            </w:pPr>
            <w:r>
              <w:rPr>
                <w:bCs/>
                <w:b/>
              </w:rPr>
              <w:t xml:space="preserve">Coût total étendu</w:t>
            </w:r>
            <w:r>
              <w:t xml:space="preserve"> </w:t>
            </w:r>
            <w:r>
              <w:t xml:space="preserve">(scolarité + vie sur place)</w:t>
            </w:r>
          </w:p>
        </w:tc>
        <w:tc>
          <w:tcPr/>
          <w:p>
            <w:pPr>
              <w:pStyle w:val="Compact"/>
              <w:jc w:val="left"/>
            </w:pPr>
            <w:r>
              <w:t xml:space="preserve">€ sur 3 ans</w:t>
            </w:r>
          </w:p>
        </w:tc>
        <w:tc>
          <w:tcPr/>
          <w:p>
            <w:pPr>
              <w:pStyle w:val="Compact"/>
              <w:jc w:val="left"/>
            </w:pPr>
            <w:r>
              <w:t xml:space="preserve">Minimiser</w:t>
            </w:r>
          </w:p>
        </w:tc>
        <w:tc>
          <w:tcPr/>
          <w:p>
            <w:pPr>
              <w:pStyle w:val="Compact"/>
              <w:jc w:val="left"/>
            </w:pPr>
            <w:r>
              <w:rPr>
                <w:bCs/>
                <w:b/>
              </w:rPr>
              <w:t xml:space="preserve">Original</w:t>
            </w:r>
          </w:p>
        </w:tc>
      </w:tr>
      <w:tr>
        <w:tc>
          <w:tcPr/>
          <w:p>
            <w:pPr>
              <w:pStyle w:val="Compact"/>
              <w:jc w:val="left"/>
            </w:pPr>
            <w:r>
              <w:t xml:space="preserve">g4</w:t>
            </w:r>
          </w:p>
        </w:tc>
        <w:tc>
          <w:tcPr/>
          <w:p>
            <w:pPr>
              <w:pStyle w:val="Compact"/>
              <w:jc w:val="left"/>
            </w:pPr>
            <w:r>
              <w:rPr>
                <w:bCs/>
                <w:b/>
              </w:rPr>
              <w:t xml:space="preserve">Diversité sociale</w:t>
            </w:r>
            <w:r>
              <w:t xml:space="preserve"> </w:t>
            </w:r>
            <w:r>
              <w:t xml:space="preserve">(% boursiers cycle ingé)</w:t>
            </w:r>
          </w:p>
        </w:tc>
        <w:tc>
          <w:tcPr/>
          <w:p>
            <w:pPr>
              <w:pStyle w:val="Compact"/>
              <w:jc w:val="left"/>
            </w:pPr>
            <w:r>
              <w:t xml:space="preserve">%</w:t>
            </w:r>
          </w:p>
        </w:tc>
        <w:tc>
          <w:tcPr/>
          <w:p>
            <w:pPr>
              <w:pStyle w:val="Compact"/>
              <w:jc w:val="left"/>
            </w:pPr>
            <w:r>
              <w:t xml:space="preserve">Maximiser</w:t>
            </w:r>
          </w:p>
        </w:tc>
        <w:tc>
          <w:tcPr/>
          <w:p>
            <w:pPr>
              <w:pStyle w:val="Compact"/>
              <w:jc w:val="left"/>
            </w:pPr>
            <w:r>
              <w:rPr>
                <w:bCs/>
                <w:b/>
              </w:rPr>
              <w:t xml:space="preserve">Original</w:t>
            </w:r>
          </w:p>
        </w:tc>
      </w:tr>
      <w:tr>
        <w:tc>
          <w:tcPr/>
          <w:p>
            <w:pPr>
              <w:pStyle w:val="Compact"/>
              <w:jc w:val="left"/>
            </w:pPr>
            <w:r>
              <w:t xml:space="preserve">g5</w:t>
            </w:r>
          </w:p>
        </w:tc>
        <w:tc>
          <w:tcPr/>
          <w:p>
            <w:pPr>
              <w:pStyle w:val="Compact"/>
              <w:jc w:val="left"/>
            </w:pPr>
            <w:r>
              <w:rPr>
                <w:bCs/>
                <w:b/>
              </w:rPr>
              <w:t xml:space="preserve">Engagement DD&amp;RS</w:t>
            </w:r>
          </w:p>
        </w:tc>
        <w:tc>
          <w:tcPr/>
          <w:p>
            <w:pPr>
              <w:pStyle w:val="Compact"/>
              <w:jc w:val="left"/>
            </w:pPr>
            <w:r>
              <w:t xml:space="preserve">Note label /5</w:t>
            </w:r>
          </w:p>
        </w:tc>
        <w:tc>
          <w:tcPr/>
          <w:p>
            <w:pPr>
              <w:pStyle w:val="Compact"/>
              <w:jc w:val="left"/>
            </w:pPr>
            <w:r>
              <w:t xml:space="preserve">Maximiser</w:t>
            </w:r>
          </w:p>
        </w:tc>
        <w:tc>
          <w:tcPr/>
          <w:p>
            <w:pPr>
              <w:pStyle w:val="Compact"/>
              <w:jc w:val="left"/>
            </w:pPr>
            <w:r>
              <w:rPr>
                <w:bCs/>
                <w:b/>
              </w:rPr>
              <w:t xml:space="preserve">Original</w:t>
            </w:r>
          </w:p>
        </w:tc>
      </w:tr>
      <w:tr>
        <w:tc>
          <w:tcPr/>
          <w:p>
            <w:pPr>
              <w:pStyle w:val="Compact"/>
              <w:jc w:val="left"/>
            </w:pPr>
            <w:r>
              <w:t xml:space="preserve">g6</w:t>
            </w:r>
          </w:p>
        </w:tc>
        <w:tc>
          <w:tcPr/>
          <w:p>
            <w:pPr>
              <w:pStyle w:val="Compact"/>
              <w:jc w:val="left"/>
            </w:pPr>
            <w:r>
              <w:t xml:space="preserve">Vie associative et bien-être étudiant</w:t>
            </w:r>
          </w:p>
        </w:tc>
        <w:tc>
          <w:tcPr/>
          <w:p>
            <w:pPr>
              <w:pStyle w:val="Compact"/>
              <w:jc w:val="left"/>
            </w:pPr>
            <w:r>
              <w:t xml:space="preserve">Note /10 (estimation à partir L’Étudiant)</w:t>
            </w:r>
          </w:p>
        </w:tc>
        <w:tc>
          <w:tcPr/>
          <w:p>
            <w:pPr>
              <w:pStyle w:val="Compact"/>
              <w:jc w:val="left"/>
            </w:pPr>
            <w:r>
              <w:t xml:space="preserve">Maximiser</w:t>
            </w:r>
          </w:p>
        </w:tc>
        <w:tc>
          <w:tcPr/>
          <w:p>
            <w:pPr>
              <w:pStyle w:val="Compact"/>
              <w:jc w:val="left"/>
            </w:pPr>
            <w:r>
              <w:t xml:space="preserve">Classique</w:t>
            </w:r>
          </w:p>
        </w:tc>
      </w:tr>
    </w:tbl>
    <w:p>
      <w:pPr>
        <w:pStyle w:val="BodyText"/>
      </w:pPr>
      <w:r>
        <w:rPr>
          <w:bCs/>
          <w:b/>
        </w:rPr>
        <w:t xml:space="preserve">Pourquoi pas la sélectivité ?</w:t>
      </w:r>
      <w:r>
        <w:t xml:space="preserve"> </w:t>
      </w:r>
      <w:r>
        <w:t xml:space="preserve">Nous avons explicitement écarté le critère de sélectivité (taux d’admission), pour deux raisons :</w:t>
      </w:r>
    </w:p>
    <w:p>
      <w:pPr>
        <w:numPr>
          <w:ilvl w:val="0"/>
          <w:numId w:val="1007"/>
        </w:numPr>
        <w:pStyle w:val="Compact"/>
      </w:pPr>
      <w:r>
        <w:t xml:space="preserve">Il est</w:t>
      </w:r>
      <w:r>
        <w:t xml:space="preserve"> </w:t>
      </w:r>
      <w:r>
        <w:rPr>
          <w:bCs/>
          <w:b/>
        </w:rPr>
        <w:t xml:space="preserve">fortement corrélé</w:t>
      </w:r>
      <w:r>
        <w:t xml:space="preserve"> </w:t>
      </w:r>
      <w:r>
        <w:t xml:space="preserve">au salaire de sortie (les écoles très sélectives paient mieux) → redondance informationnelle évidente.</w:t>
      </w:r>
    </w:p>
    <w:p>
      <w:pPr>
        <w:numPr>
          <w:ilvl w:val="0"/>
          <w:numId w:val="1007"/>
        </w:numPr>
        <w:pStyle w:val="Compact"/>
      </w:pPr>
      <w:r>
        <w:t xml:space="preserve">Pour notre décideur, la sélectivité relève</w:t>
      </w:r>
      <w:r>
        <w:t xml:space="preserve"> </w:t>
      </w:r>
      <w:r>
        <w:rPr>
          <w:bCs/>
          <w:b/>
        </w:rPr>
        <w:t xml:space="preserve">moins d’un critère que d’une contrainte d’éligibilité</w:t>
      </w:r>
      <w:r>
        <w:t xml:space="preserve"> </w:t>
      </w:r>
      <w:r>
        <w:t xml:space="preserve">: il a explicité « je vise large », c’est-à-dire qu’il candidate à toutes les écoles dont il a une chance, sans en faire un objectif à maximiser ou minimiser.</w:t>
      </w:r>
    </w:p>
    <w:p>
      <w:pPr>
        <w:pStyle w:val="FirstParagraph"/>
      </w:pPr>
      <w:r>
        <w:rPr>
          <w:bCs/>
          <w:b/>
        </w:rPr>
        <w:t xml:space="preserve">Pourquoi pas l’international ?</w:t>
      </w:r>
      <w:r>
        <w:t xml:space="preserve"> </w:t>
      </w:r>
      <w:r>
        <w:t xml:space="preserve">Initialement envisagé, il a été abandonné parce que les indicateurs publics (taux de mobilité, nombre de partenariats) sont</w:t>
      </w:r>
      <w:r>
        <w:t xml:space="preserve"> </w:t>
      </w:r>
      <w:r>
        <w:rPr>
          <w:bCs/>
          <w:b/>
        </w:rPr>
        <w:t xml:space="preserve">très hétérogènes selon les sources</w:t>
      </w:r>
      <w:r>
        <w:t xml:space="preserve"> </w:t>
      </w:r>
      <w:r>
        <w:t xml:space="preserve">et que le décideur l’a placé au même rang que l’engagement DD&amp;RS dans ses priorités — il n’apportait donc pas d’information préférentielle supplémentaire dans son cas particulier.</w:t>
      </w:r>
    </w:p>
    <w:p>
      <w:pPr>
        <w:pStyle w:val="BodyText"/>
      </w:pPr>
      <w:r>
        <w:rPr>
          <w:bCs/>
          <w:b/>
        </w:rPr>
        <w:t xml:space="preserve">Remarque sur la non-redondance préférentielle.</w:t>
      </w:r>
      <w:r>
        <w:t xml:space="preserve"> </w:t>
      </w:r>
      <w:r>
        <w:t xml:space="preserve">Au sens strict du cours (Galand, c2), deux critères sont préférentiellement dépendants lorsque la préférence sur l’un dépend du niveau atteint sur l’autre. Ici, deux paires de critères posent une question d’</w:t>
      </w:r>
      <w:r>
        <w:rPr>
          <w:bCs/>
          <w:b/>
        </w:rPr>
        <w:t xml:space="preserve">interaction</w:t>
      </w:r>
      <w:r>
        <w:t xml:space="preserve"> </w:t>
      </w:r>
      <w:r>
        <w:t xml:space="preserve">(au sens de Grabisch) :</w:t>
      </w:r>
    </w:p>
    <w:p>
      <w:pPr>
        <w:numPr>
          <w:ilvl w:val="0"/>
          <w:numId w:val="1008"/>
        </w:numPr>
        <w:pStyle w:val="Compact"/>
      </w:pPr>
      <w:r>
        <w:rPr>
          <w:bCs/>
          <w:b/>
        </w:rPr>
        <w:t xml:space="preserve">g1 (salaire) et g2 (emploi)</w:t>
      </w:r>
      <w:r>
        <w:t xml:space="preserve"> </w:t>
      </w:r>
      <w:r>
        <w:t xml:space="preserve">sont fortement corrélés statistiquement et mesurent tous deux la dimension d’insertion professionnelle. Pour un décideur, gagner un point sur g2 quand g1 est déjà élevé apporte moins qu’un point sur g2 quand g1 est faible : il y a</w:t>
      </w:r>
      <w:r>
        <w:t xml:space="preserve"> </w:t>
      </w:r>
      <w:r>
        <w:rPr>
          <w:bCs/>
          <w:b/>
        </w:rPr>
        <w:t xml:space="preserve">redondance préférentielle</w:t>
      </w:r>
      <w:r>
        <w:t xml:space="preserve">.</w:t>
      </w:r>
    </w:p>
    <w:p>
      <w:pPr>
        <w:numPr>
          <w:ilvl w:val="0"/>
          <w:numId w:val="1008"/>
        </w:numPr>
        <w:pStyle w:val="Compact"/>
      </w:pPr>
      <w:r>
        <w:rPr>
          <w:bCs/>
          <w:b/>
        </w:rPr>
        <w:t xml:space="preserve">g4 (diversité sociale) et g6 (vie asso)</w:t>
      </w:r>
      <w:r>
        <w:t xml:space="preserve"> </w:t>
      </w:r>
      <w:r>
        <w:t xml:space="preserve">constituent ensemble une dimension d’« expérience étudiante riche ». Le décideur a indiqué qu’avoir simultanément un environnement social diversifié</w:t>
      </w:r>
      <w:r>
        <w:t xml:space="preserve"> </w:t>
      </w:r>
      <w:r>
        <w:rPr>
          <w:iCs/>
          <w:i/>
        </w:rPr>
        <w:t xml:space="preserve">et</w:t>
      </w:r>
      <w:r>
        <w:t xml:space="preserve"> </w:t>
      </w:r>
      <w:r>
        <w:t xml:space="preserve">une vie associative dynamique apporte plus que la somme : il y a</w:t>
      </w:r>
      <w:r>
        <w:t xml:space="preserve"> </w:t>
      </w:r>
      <w:r>
        <w:rPr>
          <w:bCs/>
          <w:b/>
        </w:rPr>
        <w:t xml:space="preserve">synergie</w:t>
      </w:r>
      <w:r>
        <w:t xml:space="preserve">.</w:t>
      </w:r>
    </w:p>
    <w:p>
      <w:pPr>
        <w:pStyle w:val="FirstParagraph"/>
      </w:pPr>
      <w:r>
        <w:t xml:space="preserve">La somme pondérée ne sait pas modéliser ces interactions (elle suppose l’indépendance préférentielle additive). C’est précisément l’intérêt de mobiliser l’intégrale de Choquet (section 3.3), qui les capture explicitement.</w:t>
      </w:r>
    </w:p>
    <w:bookmarkEnd w:id="27"/>
    <w:bookmarkStart w:id="28" w:name="performances-brutes-et-sources"/>
    <w:p>
      <w:pPr>
        <w:pStyle w:val="Heading3"/>
      </w:pPr>
      <w:r>
        <w:t xml:space="preserve">2.3 Performances brutes et sources</w:t>
      </w:r>
    </w:p>
    <w:p>
      <w:pPr>
        <w:pStyle w:val="FirstParagraph"/>
      </w:pPr>
      <w:r>
        <w:t xml:space="preserve">Les évaluations</w:t>
      </w:r>
      <w:r>
        <w:t xml:space="preserve"> </w:t>
      </w:r>
      <w:r>
        <w:rPr>
          <w:iCs/>
          <w:i/>
        </w:rPr>
        <w:t xml:space="preserve">gj(a)</w:t>
      </w:r>
      <w:r>
        <w:t xml:space="preserve"> </w:t>
      </w:r>
      <w:r>
        <w:t xml:space="preserve">ont été reconstituées à partir de sources publiques 2025. Pour les critères chiffrés (g1, g2, g3, g4), nous nous appuyons sur des données officielles. Pour les critères avec part de jugement (g5, g6), nous proposons une</w:t>
      </w:r>
      <w:r>
        <w:t xml:space="preserve"> </w:t>
      </w:r>
      <w:r>
        <w:rPr>
          <w:bCs/>
          <w:b/>
        </w:rPr>
        <w:t xml:space="preserve">estimation explicitement libellée comme telle</w:t>
      </w:r>
      <w:r>
        <w:t xml:space="preserve">, accompagnée d’une analyse de sensibilité en section 4.</w:t>
      </w:r>
    </w:p>
    <w:tbl>
      <w:tblPr>
        <w:tblStyle w:val="Table"/>
        <w:tblW w:type="pct" w:w="5000"/>
        <w:tblLook w:firstRow="1" w:lastRow="0" w:firstColumn="0" w:lastColumn="0" w:noHBand="0" w:noVBand="0" w:val="0020"/>
        <w:jc w:val="start"/>
      </w:tblPr>
      <w:tblGrid>
        <w:gridCol w:w="2262"/>
        <w:gridCol w:w="1131"/>
        <w:gridCol w:w="822"/>
        <w:gridCol w:w="925"/>
        <w:gridCol w:w="822"/>
        <w:gridCol w:w="925"/>
        <w:gridCol w:w="1028"/>
      </w:tblGrid>
      <w:tr>
        <w:trPr>
          <w:tblHeader w:val="true"/>
        </w:trPr>
        <w:tc>
          <w:tcPr/>
          <w:p>
            <w:pPr>
              <w:pStyle w:val="Compact"/>
              <w:jc w:val="left"/>
            </w:pPr>
            <w:r>
              <w:t xml:space="preserve">École</w:t>
            </w:r>
          </w:p>
        </w:tc>
        <w:tc>
          <w:tcPr/>
          <w:p>
            <w:pPr>
              <w:pStyle w:val="Compact"/>
              <w:jc w:val="left"/>
            </w:pPr>
            <w:r>
              <w:t xml:space="preserve">g1 (€/an)</w:t>
            </w:r>
          </w:p>
        </w:tc>
        <w:tc>
          <w:tcPr/>
          <w:p>
            <w:pPr>
              <w:pStyle w:val="Compact"/>
              <w:jc w:val="left"/>
            </w:pPr>
            <w:r>
              <w:t xml:space="preserve">g2 (%)</w:t>
            </w:r>
          </w:p>
        </w:tc>
        <w:tc>
          <w:tcPr/>
          <w:p>
            <w:pPr>
              <w:pStyle w:val="Compact"/>
              <w:jc w:val="left"/>
            </w:pPr>
            <w:r>
              <w:t xml:space="preserve">g3 (€)</w:t>
            </w:r>
          </w:p>
        </w:tc>
        <w:tc>
          <w:tcPr/>
          <w:p>
            <w:pPr>
              <w:pStyle w:val="Compact"/>
              <w:jc w:val="left"/>
            </w:pPr>
            <w:r>
              <w:t xml:space="preserve">g4 (%)</w:t>
            </w:r>
          </w:p>
        </w:tc>
        <w:tc>
          <w:tcPr/>
          <w:p>
            <w:pPr>
              <w:pStyle w:val="Compact"/>
              <w:jc w:val="left"/>
            </w:pPr>
            <w:r>
              <w:t xml:space="preserve">g5 (/5)</w:t>
            </w:r>
          </w:p>
        </w:tc>
        <w:tc>
          <w:tcPr/>
          <w:p>
            <w:pPr>
              <w:pStyle w:val="Compact"/>
              <w:jc w:val="left"/>
            </w:pPr>
            <w:r>
              <w:t xml:space="preserve">g6 (/10)</w:t>
            </w:r>
          </w:p>
        </w:tc>
      </w:tr>
      <w:tr>
        <w:tc>
          <w:tcPr/>
          <w:p>
            <w:pPr>
              <w:pStyle w:val="Compact"/>
              <w:jc w:val="left"/>
            </w:pPr>
            <w:r>
              <w:t xml:space="preserve">A1 Polytechnique</w:t>
            </w:r>
          </w:p>
        </w:tc>
        <w:tc>
          <w:tcPr/>
          <w:p>
            <w:pPr>
              <w:pStyle w:val="Compact"/>
              <w:jc w:val="left"/>
            </w:pPr>
            <w:r>
              <w:t xml:space="preserve">58 000</w:t>
            </w:r>
          </w:p>
        </w:tc>
        <w:tc>
          <w:tcPr/>
          <w:p>
            <w:pPr>
              <w:pStyle w:val="Compact"/>
              <w:jc w:val="left"/>
            </w:pPr>
            <w:r>
              <w:t xml:space="preserve">99</w:t>
            </w:r>
          </w:p>
        </w:tc>
        <w:tc>
          <w:tcPr/>
          <w:p>
            <w:pPr>
              <w:pStyle w:val="Compact"/>
              <w:jc w:val="left"/>
            </w:pPr>
            <w:r>
              <w:t xml:space="preserve">0</w:t>
            </w:r>
          </w:p>
        </w:tc>
        <w:tc>
          <w:tcPr/>
          <w:p>
            <w:pPr>
              <w:pStyle w:val="Compact"/>
              <w:jc w:val="left"/>
            </w:pPr>
            <w:r>
              <w:t xml:space="preserve">12</w:t>
            </w:r>
          </w:p>
        </w:tc>
        <w:tc>
          <w:tcPr/>
          <w:p>
            <w:pPr>
              <w:pStyle w:val="Compact"/>
              <w:jc w:val="left"/>
            </w:pPr>
            <w:r>
              <w:t xml:space="preserve">4</w:t>
            </w:r>
          </w:p>
        </w:tc>
        <w:tc>
          <w:tcPr/>
          <w:p>
            <w:pPr>
              <w:pStyle w:val="Compact"/>
              <w:jc w:val="left"/>
            </w:pPr>
            <w:r>
              <w:t xml:space="preserve">7,5</w:t>
            </w:r>
          </w:p>
        </w:tc>
      </w:tr>
      <w:tr>
        <w:tc>
          <w:tcPr/>
          <w:p>
            <w:pPr>
              <w:pStyle w:val="Compact"/>
              <w:jc w:val="left"/>
            </w:pPr>
            <w:r>
              <w:t xml:space="preserve">A2 CentraleSupélec</w:t>
            </w:r>
          </w:p>
        </w:tc>
        <w:tc>
          <w:tcPr/>
          <w:p>
            <w:pPr>
              <w:pStyle w:val="Compact"/>
              <w:jc w:val="left"/>
            </w:pPr>
            <w:r>
              <w:t xml:space="preserve">46 000</w:t>
            </w:r>
          </w:p>
        </w:tc>
        <w:tc>
          <w:tcPr/>
          <w:p>
            <w:pPr>
              <w:pStyle w:val="Compact"/>
              <w:jc w:val="left"/>
            </w:pPr>
            <w:r>
              <w:t xml:space="preserve">97</w:t>
            </w:r>
          </w:p>
        </w:tc>
        <w:tc>
          <w:tcPr/>
          <w:p>
            <w:pPr>
              <w:pStyle w:val="Compact"/>
              <w:jc w:val="left"/>
            </w:pPr>
            <w:r>
              <w:t xml:space="preserve">10 500</w:t>
            </w:r>
          </w:p>
        </w:tc>
        <w:tc>
          <w:tcPr/>
          <w:p>
            <w:pPr>
              <w:pStyle w:val="Compact"/>
              <w:jc w:val="left"/>
            </w:pPr>
            <w:r>
              <w:t xml:space="preserve">18</w:t>
            </w:r>
          </w:p>
        </w:tc>
        <w:tc>
          <w:tcPr/>
          <w:p>
            <w:pPr>
              <w:pStyle w:val="Compact"/>
              <w:jc w:val="left"/>
            </w:pPr>
            <w:r>
              <w:t xml:space="preserve">5</w:t>
            </w:r>
          </w:p>
        </w:tc>
        <w:tc>
          <w:tcPr/>
          <w:p>
            <w:pPr>
              <w:pStyle w:val="Compact"/>
              <w:jc w:val="left"/>
            </w:pPr>
            <w:r>
              <w:t xml:space="preserve">8,5</w:t>
            </w:r>
          </w:p>
        </w:tc>
      </w:tr>
      <w:tr>
        <w:tc>
          <w:tcPr/>
          <w:p>
            <w:pPr>
              <w:pStyle w:val="Compact"/>
              <w:jc w:val="left"/>
            </w:pPr>
            <w:r>
              <w:t xml:space="preserve">A3 Mines Paris</w:t>
            </w:r>
          </w:p>
        </w:tc>
        <w:tc>
          <w:tcPr/>
          <w:p>
            <w:pPr>
              <w:pStyle w:val="Compact"/>
              <w:jc w:val="left"/>
            </w:pPr>
            <w:r>
              <w:t xml:space="preserve">49 800</w:t>
            </w:r>
          </w:p>
        </w:tc>
        <w:tc>
          <w:tcPr/>
          <w:p>
            <w:pPr>
              <w:pStyle w:val="Compact"/>
              <w:jc w:val="left"/>
            </w:pPr>
            <w:r>
              <w:t xml:space="preserve">95</w:t>
            </w:r>
          </w:p>
        </w:tc>
        <w:tc>
          <w:tcPr/>
          <w:p>
            <w:pPr>
              <w:pStyle w:val="Compact"/>
              <w:jc w:val="left"/>
            </w:pPr>
            <w:r>
              <w:t xml:space="preserve">11 550</w:t>
            </w:r>
          </w:p>
        </w:tc>
        <w:tc>
          <w:tcPr/>
          <w:p>
            <w:pPr>
              <w:pStyle w:val="Compact"/>
              <w:jc w:val="left"/>
            </w:pPr>
            <w:r>
              <w:t xml:space="preserve">15</w:t>
            </w:r>
          </w:p>
        </w:tc>
        <w:tc>
          <w:tcPr/>
          <w:p>
            <w:pPr>
              <w:pStyle w:val="Compact"/>
              <w:jc w:val="left"/>
            </w:pPr>
            <w:r>
              <w:t xml:space="preserve">4</w:t>
            </w:r>
          </w:p>
        </w:tc>
        <w:tc>
          <w:tcPr/>
          <w:p>
            <w:pPr>
              <w:pStyle w:val="Compact"/>
              <w:jc w:val="left"/>
            </w:pPr>
            <w:r>
              <w:t xml:space="preserve">7,0</w:t>
            </w:r>
          </w:p>
        </w:tc>
      </w:tr>
      <w:tr>
        <w:tc>
          <w:tcPr/>
          <w:p>
            <w:pPr>
              <w:pStyle w:val="Compact"/>
              <w:jc w:val="left"/>
            </w:pPr>
            <w:r>
              <w:t xml:space="preserve">A4 ENSTA Paris</w:t>
            </w:r>
          </w:p>
        </w:tc>
        <w:tc>
          <w:tcPr/>
          <w:p>
            <w:pPr>
              <w:pStyle w:val="Compact"/>
              <w:jc w:val="left"/>
            </w:pPr>
            <w:r>
              <w:t xml:space="preserve">44 500</w:t>
            </w:r>
          </w:p>
        </w:tc>
        <w:tc>
          <w:tcPr/>
          <w:p>
            <w:pPr>
              <w:pStyle w:val="Compact"/>
              <w:jc w:val="left"/>
            </w:pPr>
            <w:r>
              <w:t xml:space="preserve">96</w:t>
            </w:r>
          </w:p>
        </w:tc>
        <w:tc>
          <w:tcPr/>
          <w:p>
            <w:pPr>
              <w:pStyle w:val="Compact"/>
              <w:jc w:val="left"/>
            </w:pPr>
            <w:r>
              <w:t xml:space="preserve">8 400</w:t>
            </w:r>
          </w:p>
        </w:tc>
        <w:tc>
          <w:tcPr/>
          <w:p>
            <w:pPr>
              <w:pStyle w:val="Compact"/>
              <w:jc w:val="left"/>
            </w:pPr>
            <w:r>
              <w:t xml:space="preserve">22</w:t>
            </w:r>
          </w:p>
        </w:tc>
        <w:tc>
          <w:tcPr/>
          <w:p>
            <w:pPr>
              <w:pStyle w:val="Compact"/>
              <w:jc w:val="left"/>
            </w:pPr>
            <w:r>
              <w:t xml:space="preserve">3</w:t>
            </w:r>
          </w:p>
        </w:tc>
        <w:tc>
          <w:tcPr/>
          <w:p>
            <w:pPr>
              <w:pStyle w:val="Compact"/>
              <w:jc w:val="left"/>
            </w:pPr>
            <w:r>
              <w:t xml:space="preserve">7,5</w:t>
            </w:r>
          </w:p>
        </w:tc>
      </w:tr>
      <w:tr>
        <w:tc>
          <w:tcPr/>
          <w:p>
            <w:pPr>
              <w:pStyle w:val="Compact"/>
              <w:jc w:val="left"/>
            </w:pPr>
            <w:r>
              <w:t xml:space="preserve">A5 Télécom Paris</w:t>
            </w:r>
          </w:p>
        </w:tc>
        <w:tc>
          <w:tcPr/>
          <w:p>
            <w:pPr>
              <w:pStyle w:val="Compact"/>
              <w:jc w:val="left"/>
            </w:pPr>
            <w:r>
              <w:t xml:space="preserve">47 500</w:t>
            </w:r>
          </w:p>
        </w:tc>
        <w:tc>
          <w:tcPr/>
          <w:p>
            <w:pPr>
              <w:pStyle w:val="Compact"/>
              <w:jc w:val="left"/>
            </w:pPr>
            <w:r>
              <w:t xml:space="preserve">96</w:t>
            </w:r>
          </w:p>
        </w:tc>
        <w:tc>
          <w:tcPr/>
          <w:p>
            <w:pPr>
              <w:pStyle w:val="Compact"/>
              <w:jc w:val="left"/>
            </w:pPr>
            <w:r>
              <w:t xml:space="preserve">9 600</w:t>
            </w:r>
          </w:p>
        </w:tc>
        <w:tc>
          <w:tcPr/>
          <w:p>
            <w:pPr>
              <w:pStyle w:val="Compact"/>
              <w:jc w:val="left"/>
            </w:pPr>
            <w:r>
              <w:t xml:space="preserve">20</w:t>
            </w:r>
          </w:p>
        </w:tc>
        <w:tc>
          <w:tcPr/>
          <w:p>
            <w:pPr>
              <w:pStyle w:val="Compact"/>
              <w:jc w:val="left"/>
            </w:pPr>
            <w:r>
              <w:t xml:space="preserve">4</w:t>
            </w:r>
          </w:p>
        </w:tc>
        <w:tc>
          <w:tcPr/>
          <w:p>
            <w:pPr>
              <w:pStyle w:val="Compact"/>
              <w:jc w:val="left"/>
            </w:pPr>
            <w:r>
              <w:t xml:space="preserve">7,5</w:t>
            </w:r>
          </w:p>
        </w:tc>
      </w:tr>
      <w:tr>
        <w:tc>
          <w:tcPr/>
          <w:p>
            <w:pPr>
              <w:pStyle w:val="Compact"/>
              <w:jc w:val="left"/>
            </w:pPr>
            <w:r>
              <w:t xml:space="preserve">A6 ENPC</w:t>
            </w:r>
          </w:p>
        </w:tc>
        <w:tc>
          <w:tcPr/>
          <w:p>
            <w:pPr>
              <w:pStyle w:val="Compact"/>
              <w:jc w:val="left"/>
            </w:pPr>
            <w:r>
              <w:t xml:space="preserve">45 300</w:t>
            </w:r>
          </w:p>
        </w:tc>
        <w:tc>
          <w:tcPr/>
          <w:p>
            <w:pPr>
              <w:pStyle w:val="Compact"/>
              <w:jc w:val="left"/>
            </w:pPr>
            <w:r>
              <w:t xml:space="preserve">94</w:t>
            </w:r>
          </w:p>
        </w:tc>
        <w:tc>
          <w:tcPr/>
          <w:p>
            <w:pPr>
              <w:pStyle w:val="Compact"/>
              <w:jc w:val="left"/>
            </w:pPr>
            <w:r>
              <w:t xml:space="preserve">7 710</w:t>
            </w:r>
          </w:p>
        </w:tc>
        <w:tc>
          <w:tcPr/>
          <w:p>
            <w:pPr>
              <w:pStyle w:val="Compact"/>
              <w:jc w:val="left"/>
            </w:pPr>
            <w:r>
              <w:t xml:space="preserve">17</w:t>
            </w:r>
          </w:p>
        </w:tc>
        <w:tc>
          <w:tcPr/>
          <w:p>
            <w:pPr>
              <w:pStyle w:val="Compact"/>
              <w:jc w:val="left"/>
            </w:pPr>
            <w:r>
              <w:t xml:space="preserve">3</w:t>
            </w:r>
          </w:p>
        </w:tc>
        <w:tc>
          <w:tcPr/>
          <w:p>
            <w:pPr>
              <w:pStyle w:val="Compact"/>
              <w:jc w:val="left"/>
            </w:pPr>
            <w:r>
              <w:t xml:space="preserve">7,0</w:t>
            </w:r>
          </w:p>
        </w:tc>
      </w:tr>
      <w:tr>
        <w:tc>
          <w:tcPr/>
          <w:p>
            <w:pPr>
              <w:pStyle w:val="Compact"/>
              <w:jc w:val="left"/>
            </w:pPr>
            <w:r>
              <w:t xml:space="preserve">A7 INSA Lyon</w:t>
            </w:r>
          </w:p>
        </w:tc>
        <w:tc>
          <w:tcPr/>
          <w:p>
            <w:pPr>
              <w:pStyle w:val="Compact"/>
              <w:jc w:val="left"/>
            </w:pPr>
            <w:r>
              <w:t xml:space="preserve">38 000</w:t>
            </w:r>
          </w:p>
        </w:tc>
        <w:tc>
          <w:tcPr/>
          <w:p>
            <w:pPr>
              <w:pStyle w:val="Compact"/>
              <w:jc w:val="left"/>
            </w:pPr>
            <w:r>
              <w:t xml:space="preserve">92</w:t>
            </w:r>
          </w:p>
        </w:tc>
        <w:tc>
          <w:tcPr/>
          <w:p>
            <w:pPr>
              <w:pStyle w:val="Compact"/>
              <w:jc w:val="left"/>
            </w:pPr>
            <w:r>
              <w:t xml:space="preserve">2 100</w:t>
            </w:r>
          </w:p>
        </w:tc>
        <w:tc>
          <w:tcPr/>
          <w:p>
            <w:pPr>
              <w:pStyle w:val="Compact"/>
              <w:jc w:val="left"/>
            </w:pPr>
            <w:r>
              <w:t xml:space="preserve">33</w:t>
            </w:r>
          </w:p>
        </w:tc>
        <w:tc>
          <w:tcPr/>
          <w:p>
            <w:pPr>
              <w:pStyle w:val="Compact"/>
              <w:jc w:val="left"/>
            </w:pPr>
            <w:r>
              <w:t xml:space="preserve">5</w:t>
            </w:r>
          </w:p>
        </w:tc>
        <w:tc>
          <w:tcPr/>
          <w:p>
            <w:pPr>
              <w:pStyle w:val="Compact"/>
              <w:jc w:val="left"/>
            </w:pPr>
            <w:r>
              <w:t xml:space="preserve">9,0</w:t>
            </w:r>
          </w:p>
        </w:tc>
      </w:tr>
      <w:tr>
        <w:tc>
          <w:tcPr/>
          <w:p>
            <w:pPr>
              <w:pStyle w:val="Compact"/>
              <w:jc w:val="left"/>
            </w:pPr>
            <w:r>
              <w:t xml:space="preserve">A8 UTC Compiègne</w:t>
            </w:r>
          </w:p>
        </w:tc>
        <w:tc>
          <w:tcPr/>
          <w:p>
            <w:pPr>
              <w:pStyle w:val="Compact"/>
              <w:jc w:val="left"/>
            </w:pPr>
            <w:r>
              <w:t xml:space="preserve">38 250</w:t>
            </w:r>
          </w:p>
        </w:tc>
        <w:tc>
          <w:tcPr/>
          <w:p>
            <w:pPr>
              <w:pStyle w:val="Compact"/>
              <w:jc w:val="left"/>
            </w:pPr>
            <w:r>
              <w:t xml:space="preserve">93</w:t>
            </w:r>
          </w:p>
        </w:tc>
        <w:tc>
          <w:tcPr/>
          <w:p>
            <w:pPr>
              <w:pStyle w:val="Compact"/>
              <w:jc w:val="left"/>
            </w:pPr>
            <w:r>
              <w:t xml:space="preserve">2 100</w:t>
            </w:r>
          </w:p>
        </w:tc>
        <w:tc>
          <w:tcPr/>
          <w:p>
            <w:pPr>
              <w:pStyle w:val="Compact"/>
              <w:jc w:val="left"/>
            </w:pPr>
            <w:r>
              <w:t xml:space="preserve">30</w:t>
            </w:r>
          </w:p>
        </w:tc>
        <w:tc>
          <w:tcPr/>
          <w:p>
            <w:pPr>
              <w:pStyle w:val="Compact"/>
              <w:jc w:val="left"/>
            </w:pPr>
            <w:r>
              <w:t xml:space="preserve">3</w:t>
            </w:r>
          </w:p>
        </w:tc>
        <w:tc>
          <w:tcPr/>
          <w:p>
            <w:pPr>
              <w:pStyle w:val="Compact"/>
              <w:jc w:val="left"/>
            </w:pPr>
            <w:r>
              <w:t xml:space="preserve">9,0</w:t>
            </w:r>
          </w:p>
        </w:tc>
      </w:tr>
      <w:tr>
        <w:tc>
          <w:tcPr/>
          <w:p>
            <w:pPr>
              <w:pStyle w:val="Compact"/>
              <w:jc w:val="left"/>
            </w:pPr>
            <w:r>
              <w:t xml:space="preserve">A9 IMT Atlantique</w:t>
            </w:r>
          </w:p>
        </w:tc>
        <w:tc>
          <w:tcPr/>
          <w:p>
            <w:pPr>
              <w:pStyle w:val="Compact"/>
              <w:jc w:val="left"/>
            </w:pPr>
            <w:r>
              <w:t xml:space="preserve">41 000</w:t>
            </w:r>
          </w:p>
        </w:tc>
        <w:tc>
          <w:tcPr/>
          <w:p>
            <w:pPr>
              <w:pStyle w:val="Compact"/>
              <w:jc w:val="left"/>
            </w:pPr>
            <w:r>
              <w:t xml:space="preserve">94</w:t>
            </w:r>
          </w:p>
        </w:tc>
        <w:tc>
          <w:tcPr/>
          <w:p>
            <w:pPr>
              <w:pStyle w:val="Compact"/>
              <w:jc w:val="left"/>
            </w:pPr>
            <w:r>
              <w:t xml:space="preserve">9 600</w:t>
            </w:r>
          </w:p>
        </w:tc>
        <w:tc>
          <w:tcPr/>
          <w:p>
            <w:pPr>
              <w:pStyle w:val="Compact"/>
              <w:jc w:val="left"/>
            </w:pPr>
            <w:r>
              <w:t xml:space="preserve">28</w:t>
            </w:r>
          </w:p>
        </w:tc>
        <w:tc>
          <w:tcPr/>
          <w:p>
            <w:pPr>
              <w:pStyle w:val="Compact"/>
              <w:jc w:val="left"/>
            </w:pPr>
            <w:r>
              <w:t xml:space="preserve">4</w:t>
            </w:r>
          </w:p>
        </w:tc>
        <w:tc>
          <w:tcPr/>
          <w:p>
            <w:pPr>
              <w:pStyle w:val="Compact"/>
              <w:jc w:val="left"/>
            </w:pPr>
            <w:r>
              <w:t xml:space="preserve">8,0</w:t>
            </w:r>
          </w:p>
        </w:tc>
      </w:tr>
      <w:tr>
        <w:tc>
          <w:tcPr/>
          <w:p>
            <w:pPr>
              <w:pStyle w:val="Compact"/>
              <w:jc w:val="left"/>
            </w:pPr>
            <w:r>
              <w:t xml:space="preserve">A10 Arts et Métiers</w:t>
            </w:r>
          </w:p>
        </w:tc>
        <w:tc>
          <w:tcPr/>
          <w:p>
            <w:pPr>
              <w:pStyle w:val="Compact"/>
              <w:jc w:val="left"/>
            </w:pPr>
            <w:r>
              <w:t xml:space="preserve">40 500</w:t>
            </w:r>
          </w:p>
        </w:tc>
        <w:tc>
          <w:tcPr/>
          <w:p>
            <w:pPr>
              <w:pStyle w:val="Compact"/>
              <w:jc w:val="left"/>
            </w:pPr>
            <w:r>
              <w:t xml:space="preserve">95</w:t>
            </w:r>
          </w:p>
        </w:tc>
        <w:tc>
          <w:tcPr/>
          <w:p>
            <w:pPr>
              <w:pStyle w:val="Compact"/>
              <w:jc w:val="left"/>
            </w:pPr>
            <w:r>
              <w:t xml:space="preserve">2 100</w:t>
            </w:r>
          </w:p>
        </w:tc>
        <w:tc>
          <w:tcPr/>
          <w:p>
            <w:pPr>
              <w:pStyle w:val="Compact"/>
              <w:jc w:val="left"/>
            </w:pPr>
            <w:r>
              <w:t xml:space="preserve">25</w:t>
            </w:r>
          </w:p>
        </w:tc>
        <w:tc>
          <w:tcPr/>
          <w:p>
            <w:pPr>
              <w:pStyle w:val="Compact"/>
              <w:jc w:val="left"/>
            </w:pPr>
            <w:r>
              <w:t xml:space="preserve">3</w:t>
            </w:r>
          </w:p>
        </w:tc>
        <w:tc>
          <w:tcPr/>
          <w:p>
            <w:pPr>
              <w:pStyle w:val="Compact"/>
              <w:jc w:val="left"/>
            </w:pPr>
            <w:r>
              <w:t xml:space="preserve">8,5</w:t>
            </w:r>
          </w:p>
        </w:tc>
      </w:tr>
    </w:tbl>
    <w:p>
      <w:pPr>
        <w:pStyle w:val="BodyText"/>
      </w:pPr>
      <w:r>
        <w:rPr>
          <w:bCs/>
          <w:b/>
        </w:rPr>
        <w:t xml:space="preserve">Sources et précisions méthodologiques :</w:t>
      </w:r>
    </w:p>
    <w:p>
      <w:pPr>
        <w:numPr>
          <w:ilvl w:val="0"/>
          <w:numId w:val="1009"/>
        </w:numPr>
      </w:pPr>
      <w:r>
        <w:rPr>
          <w:bCs/>
          <w:b/>
        </w:rPr>
        <w:t xml:space="preserve">g1 — Salaires médians bruts à la sortie</w:t>
      </w:r>
      <w:r>
        <w:t xml:space="preserve"> </w:t>
      </w:r>
      <w:r>
        <w:t xml:space="preserve">: enquête</w:t>
      </w:r>
      <w:r>
        <w:t xml:space="preserve"> </w:t>
      </w:r>
      <w:r>
        <w:rPr>
          <w:iCs/>
          <w:i/>
        </w:rPr>
        <w:t xml:space="preserve">L’Usine Nouvelle</w:t>
      </w:r>
      <w:r>
        <w:t xml:space="preserve"> </w:t>
      </w:r>
      <w:r>
        <w:t xml:space="preserve">2025 (données CGE 2024) et classement Diploméo 2026 selon les données du Ministère de l’Enseignement supérieur et de la Recherche (promotion 2023, mesurée à 18 mois). Valeurs précises pour Polytechnique (58 000 €), CentraleSupélec (46 000 €), Mines Paris (≈ 49 800 €), ENPC (45 300 €), INSA Lyon (38 000 €), UTC (38 250 €). Pour les autres écoles, valeurs alignées sur les fourchettes sectorielles CGE et la cohérence interne du panel.</w:t>
      </w:r>
    </w:p>
    <w:p>
      <w:pPr>
        <w:numPr>
          <w:ilvl w:val="0"/>
          <w:numId w:val="1009"/>
        </w:numPr>
      </w:pPr>
      <w:r>
        <w:rPr>
          <w:bCs/>
          <w:b/>
        </w:rPr>
        <w:t xml:space="preserve">g2 — Taux d’emploi à 6 mois</w:t>
      </w:r>
      <w:r>
        <w:t xml:space="preserve"> </w:t>
      </w:r>
      <w:r>
        <w:t xml:space="preserve">: Enquête CGE 2024 (Conférence des Grandes Écoles).</w:t>
      </w:r>
    </w:p>
    <w:p>
      <w:pPr>
        <w:numPr>
          <w:ilvl w:val="0"/>
          <w:numId w:val="1009"/>
        </w:numPr>
      </w:pPr>
      <w:r>
        <w:rPr>
          <w:bCs/>
          <w:b/>
        </w:rPr>
        <w:t xml:space="preserve">g3 — Coût total étendu</w:t>
      </w:r>
      <w:r>
        <w:t xml:space="preserve"> </w:t>
      </w:r>
      <w:r>
        <w:t xml:space="preserve">: ce critère est notre première proposition originale. Il combine :</w:t>
      </w:r>
    </w:p>
    <w:p>
      <w:pPr>
        <w:numPr>
          <w:ilvl w:val="1"/>
          <w:numId w:val="1010"/>
        </w:numPr>
        <w:pStyle w:val="Compact"/>
      </w:pPr>
      <w:r>
        <w:t xml:space="preserve">les</w:t>
      </w:r>
      <w:r>
        <w:t xml:space="preserve"> </w:t>
      </w:r>
      <w:r>
        <w:rPr>
          <w:bCs/>
          <w:b/>
        </w:rPr>
        <w:t xml:space="preserve">frais de scolarité</w:t>
      </w:r>
      <w:r>
        <w:t xml:space="preserve"> </w:t>
      </w:r>
      <w:r>
        <w:t xml:space="preserve">officiels (Polytechnique : 0 € pour élèves français — statut militaire ; INSA Lyon, UTC, Arts et Métiers : 601 € + CVEC ≈ 700 €/an × 3 ans ≈ 2 100 € ; CentraleSupélec : 3 500 €/an ; Mines Paris : 3 850 €/an ; Télécom Paris, IMT Atlantique : 3 200 €/an ; ENSTA : 2 800 €/an ; ENPC : 2 570 €/an. Source : synthèse AEF-Info 2024)</w:t>
      </w:r>
    </w:p>
    <w:p>
      <w:pPr>
        <w:numPr>
          <w:ilvl w:val="1"/>
          <w:numId w:val="1010"/>
        </w:numPr>
        <w:pStyle w:val="Compact"/>
      </w:pPr>
      <w:r>
        <w:t xml:space="preserve">une</w:t>
      </w:r>
      <w:r>
        <w:t xml:space="preserve"> </w:t>
      </w:r>
      <w:r>
        <w:rPr>
          <w:bCs/>
          <w:b/>
        </w:rPr>
        <w:t xml:space="preserve">estimation du surcoût géographique du logement</w:t>
      </w:r>
      <w:r>
        <w:t xml:space="preserve"> </w:t>
      </w:r>
      <w:r>
        <w:t xml:space="preserve">sur 3 ans (Paris ≈ +800 €/mois, Lyon ≈ +200 €/mois, villes moyennes ≈ +0 €/mois par rapport à un coût de référence familial).</w:t>
      </w:r>
    </w:p>
    <w:p>
      <w:pPr>
        <w:numPr>
          <w:ilvl w:val="0"/>
          <w:numId w:val="1009"/>
        </w:numPr>
      </w:pPr>
      <w:r>
        <w:rPr>
          <w:bCs/>
          <w:b/>
        </w:rPr>
        <w:t xml:space="preserve">g4 — % de boursiers en cycle ingénieur</w:t>
      </w:r>
      <w:r>
        <w:t xml:space="preserve"> </w:t>
      </w:r>
      <w:r>
        <w:t xml:space="preserve">: seconde proposition originale. Sources : Rapport Diversités Groupe INSA 2025 (INSA Lyon ≈ 33 %), Institut Gaston Berger (CentraleSupélec ≈ 7,2 % au baromètre 2014, depuis remonté à ≈ 18 % avec les politiques d’égalité des chances), publications CTI / CDEFI 2024. Pour les écoles sans donnée publique récente, valeur estimée à partir de la moyenne du segment (post-bac à fort réseau d’égalité des chances : 25–35 % ; grandes écoles parisiennes : 10–22 %).</w:t>
      </w:r>
    </w:p>
    <w:p>
      <w:pPr>
        <w:numPr>
          <w:ilvl w:val="0"/>
          <w:numId w:val="1009"/>
        </w:numPr>
      </w:pPr>
      <w:r>
        <w:rPr>
          <w:bCs/>
          <w:b/>
        </w:rPr>
        <w:t xml:space="preserve">g5 — Engagement DD&amp;RS</w:t>
      </w:r>
      <w:r>
        <w:t xml:space="preserve"> </w:t>
      </w:r>
      <w:r>
        <w:t xml:space="preserve">: troisième proposition originale. Le label DD&amp;RS, attribué par le CIRSES, note de 1 à 5 sur 18 variables stratégiques (formation, recherche, gouvernance, gestion environnementale, politique sociale) ; un établissement doit atteindre au moins 3 sur 9 variables pour être labellisé. En 2025, 22 écoles d’ingénieurs sont labellisées. Sources : communiqués officiels CIRSES,</w:t>
      </w:r>
      <w:r>
        <w:t xml:space="preserve"> </w:t>
      </w:r>
      <w:r>
        <w:rPr>
          <w:iCs/>
          <w:i/>
        </w:rPr>
        <w:t xml:space="preserve">L’Usine Nouvelle</w:t>
      </w:r>
      <w:r>
        <w:t xml:space="preserve"> </w:t>
      </w:r>
      <w:r>
        <w:t xml:space="preserve">avril 2025. Pour notre rapport, nous attribuons :</w:t>
      </w:r>
    </w:p>
    <w:p>
      <w:pPr>
        <w:numPr>
          <w:ilvl w:val="1"/>
          <w:numId w:val="1011"/>
        </w:numPr>
        <w:pStyle w:val="Compact"/>
      </w:pPr>
      <w:r>
        <w:rPr>
          <w:bCs/>
          <w:b/>
        </w:rPr>
        <w:t xml:space="preserve">5</w:t>
      </w:r>
      <w:r>
        <w:t xml:space="preserve"> </w:t>
      </w:r>
      <w:r>
        <w:t xml:space="preserve">= labellisé avec dossier d’excellence (CentraleSupélec, INSA Lyon)</w:t>
      </w:r>
    </w:p>
    <w:p>
      <w:pPr>
        <w:numPr>
          <w:ilvl w:val="1"/>
          <w:numId w:val="1011"/>
        </w:numPr>
        <w:pStyle w:val="Compact"/>
      </w:pPr>
      <w:r>
        <w:rPr>
          <w:bCs/>
          <w:b/>
        </w:rPr>
        <w:t xml:space="preserve">4</w:t>
      </w:r>
      <w:r>
        <w:t xml:space="preserve"> </w:t>
      </w:r>
      <w:r>
        <w:t xml:space="preserve">= labellisé récemment ou en renouvellement (Polytechnique labellisée en janvier 2025, Mines Paris, Télécom Paris, IMT Atlantique)</w:t>
      </w:r>
    </w:p>
    <w:p>
      <w:pPr>
        <w:numPr>
          <w:ilvl w:val="1"/>
          <w:numId w:val="1011"/>
        </w:numPr>
        <w:pStyle w:val="Compact"/>
      </w:pPr>
      <w:r>
        <w:rPr>
          <w:bCs/>
          <w:b/>
        </w:rPr>
        <w:t xml:space="preserve">3</w:t>
      </w:r>
      <w:r>
        <w:t xml:space="preserve"> </w:t>
      </w:r>
      <w:r>
        <w:t xml:space="preserve">= engagé mais pas (encore) labellisé (ENSTA, ENPC, UTC, Arts et Métiers)</w:t>
      </w:r>
    </w:p>
    <w:p>
      <w:pPr>
        <w:numPr>
          <w:ilvl w:val="0"/>
          <w:numId w:val="1009"/>
        </w:numPr>
      </w:pPr>
      <w:r>
        <w:rPr>
          <w:bCs/>
          <w:b/>
        </w:rPr>
        <w:t xml:space="preserve">g6 — Vie associative et bien-être</w:t>
      </w:r>
      <w:r>
        <w:t xml:space="preserve"> </w:t>
      </w:r>
      <w:r>
        <w:t xml:space="preserve">: reconstruit à partir du critère « vie de campus » du classement</w:t>
      </w:r>
      <w:r>
        <w:t xml:space="preserve"> </w:t>
      </w:r>
      <w:r>
        <w:rPr>
          <w:iCs/>
          <w:i/>
        </w:rPr>
        <w:t xml:space="preserve">L’Étudiant 2026</w:t>
      </w:r>
      <w:r>
        <w:t xml:space="preserve"> </w:t>
      </w:r>
      <w:r>
        <w:t xml:space="preserve">et de la composante associative du classement</w:t>
      </w:r>
      <w:r>
        <w:t xml:space="preserve"> </w:t>
      </w:r>
      <w:r>
        <w:rPr>
          <w:iCs/>
          <w:i/>
        </w:rPr>
        <w:t xml:space="preserve">Le Figaro Étudiant</w:t>
      </w:r>
      <w:r>
        <w:t xml:space="preserve">. Estimation assumée.</w:t>
      </w:r>
    </w:p>
    <w:bookmarkEnd w:id="28"/>
    <w:bookmarkStart w:id="29" w:name="Xb84528e2ae2541fe3d8973c3c77cfd8121f8ea9"/>
    <w:p>
      <w:pPr>
        <w:pStyle w:val="Heading3"/>
      </w:pPr>
      <w:r>
        <w:t xml:space="preserve">2.4 Profil du décideur et élicitation des paramètres</w:t>
      </w:r>
    </w:p>
    <w:p>
      <w:pPr>
        <w:pStyle w:val="FirstParagraph"/>
      </w:pPr>
      <w:r>
        <w:rPr>
          <w:bCs/>
          <w:b/>
        </w:rPr>
        <w:t xml:space="preserve">Profil retenu</w:t>
      </w:r>
    </w:p>
    <w:p>
      <w:pPr>
        <w:pStyle w:val="BodyText"/>
      </w:pPr>
      <w:r>
        <w:t xml:space="preserve">Le décideur est un étudiant fictif présentant le profil suivant, élicité lors d’un entretien semi-directif simulé :</w:t>
      </w:r>
    </w:p>
    <w:p>
      <w:pPr>
        <w:pStyle w:val="BlockText"/>
      </w:pPr>
      <w:r>
        <w:t xml:space="preserve">« Je termine ma prépa, je vais passer les concours SCEI. Mes parents peuvent payer une partie mais pas n’importe quoi — au-delà de 12 000 € sur la scolarité ça devient compliqué pour eux. Je veux d’abord une école qui m’ouvre des portes côté boulot et un bon salaire à la sortie, mais je sais déjà que je ne supporterais pas trois ans dans une école sans vie. Et puis, je ne veux pas me retrouver dans une école où je serais le seul étudiant boursier — l’environnement social compte pour moi. Enfin, l’engagement écologique de mon école est un vrai sujet : avec les enjeux climatiques, j’ai envie d’aller dans un établissement qui prend ça au sérieux. »</w:t>
      </w:r>
    </w:p>
    <w:p>
      <w:pPr>
        <w:pStyle w:val="FirstParagraph"/>
      </w:pPr>
      <w:r>
        <w:t xml:space="preserve">Ce profil traduit quatre caractéristiques préférentielles :</w:t>
      </w:r>
    </w:p>
    <w:p>
      <w:pPr>
        <w:numPr>
          <w:ilvl w:val="0"/>
          <w:numId w:val="1012"/>
        </w:numPr>
        <w:pStyle w:val="Compact"/>
      </w:pPr>
      <w:r>
        <w:rPr>
          <w:bCs/>
          <w:b/>
        </w:rPr>
        <w:t xml:space="preserve">Forte importance accordée au couple salaire / coût</w:t>
      </w:r>
      <w:r>
        <w:t xml:space="preserve"> </w:t>
      </w:r>
      <w:r>
        <w:t xml:space="preserve">(axe carrière + budget),</w:t>
      </w:r>
    </w:p>
    <w:p>
      <w:pPr>
        <w:numPr>
          <w:ilvl w:val="0"/>
          <w:numId w:val="1012"/>
        </w:numPr>
        <w:pStyle w:val="Compact"/>
      </w:pPr>
      <w:r>
        <w:rPr>
          <w:bCs/>
          <w:b/>
        </w:rPr>
        <w:t xml:space="preserve">Garde-fou explicite sur la vie associative</w:t>
      </w:r>
      <w:r>
        <w:t xml:space="preserve"> </w:t>
      </w:r>
      <w:r>
        <w:t xml:space="preserve">: un déficit sévère sur ce critère est rédhibitoire — c’est le profil que le mécanisme de</w:t>
      </w:r>
      <w:r>
        <w:t xml:space="preserve"> </w:t>
      </w:r>
      <w:r>
        <w:rPr>
          <w:bCs/>
          <w:b/>
        </w:rPr>
        <w:t xml:space="preserve">veto</w:t>
      </w:r>
      <w:r>
        <w:t xml:space="preserve"> </w:t>
      </w:r>
      <w:r>
        <w:t xml:space="preserve">d’ELECTRE est conçu pour modéliser,</w:t>
      </w:r>
    </w:p>
    <w:p>
      <w:pPr>
        <w:numPr>
          <w:ilvl w:val="0"/>
          <w:numId w:val="1012"/>
        </w:numPr>
        <w:pStyle w:val="Compact"/>
      </w:pPr>
      <w:r>
        <w:rPr>
          <w:bCs/>
          <w:b/>
        </w:rPr>
        <w:t xml:space="preserve">Contrainte budgétaire dure</w:t>
      </w:r>
      <w:r>
        <w:t xml:space="preserve"> </w:t>
      </w:r>
      <w:r>
        <w:t xml:space="preserve">sur le coût (12 000 € est une limite supérieure) — second veto naturel,</w:t>
      </w:r>
    </w:p>
    <w:p>
      <w:pPr>
        <w:numPr>
          <w:ilvl w:val="0"/>
          <w:numId w:val="1012"/>
        </w:numPr>
        <w:pStyle w:val="Compact"/>
      </w:pPr>
      <w:r>
        <w:rPr>
          <w:bCs/>
          <w:b/>
        </w:rPr>
        <w:t xml:space="preserve">Sensibilité à la diversité sociale et à l’engagement DD&amp;RS</w:t>
      </w:r>
      <w:r>
        <w:t xml:space="preserve">, traduisant des préoccupations contemporaines fortes.</w:t>
      </w:r>
    </w:p>
    <w:p>
      <w:pPr>
        <w:pStyle w:val="FirstParagraph"/>
      </w:pPr>
      <w:r>
        <w:rPr>
          <w:bCs/>
          <w:b/>
        </w:rPr>
        <w:t xml:space="preserve">Poids des critères</w:t>
      </w:r>
      <w:r>
        <w:t xml:space="preserve"> </w:t>
      </w:r>
      <w:r>
        <w:t xml:space="preserve">(utilisés pour la somme pondérée, l’intégrale de Choquet, ELECTRE)</w:t>
      </w:r>
    </w:p>
    <w:p>
      <w:pPr>
        <w:pStyle w:val="BodyText"/>
      </w:pPr>
      <w:r>
        <w:t xml:space="preserve">L’élicitation des poids a été simulée par la méthode</w:t>
      </w:r>
      <w:r>
        <w:t xml:space="preserve"> </w:t>
      </w:r>
      <w:r>
        <w:rPr>
          <w:bCs/>
          <w:b/>
        </w:rPr>
        <w:t xml:space="preserve">SWING</w:t>
      </w:r>
      <w:r>
        <w:t xml:space="preserve"> </w:t>
      </w:r>
      <w:r>
        <w:t xml:space="preserve">: on demande au décideur, partant d’une alternative fictive au pire niveau sur tous les critères, lequel il améliorerait en priorité s’il pouvait n’en améliorer qu’un seul. Le critère choisi reçoit le poids le plus élevé ; les autres sont pondérés par comparaison successive.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Critère</w:t>
            </w:r>
          </w:p>
        </w:tc>
        <w:tc>
          <w:tcPr/>
          <w:p>
            <w:pPr>
              <w:pStyle w:val="Compact"/>
              <w:jc w:val="left"/>
            </w:pPr>
            <w:r>
              <w:t xml:space="preserve">Poids w</w:t>
            </w:r>
          </w:p>
        </w:tc>
      </w:tr>
      <w:tr>
        <w:tc>
          <w:tcPr/>
          <w:p>
            <w:pPr>
              <w:pStyle w:val="Compact"/>
              <w:jc w:val="left"/>
            </w:pPr>
            <w:r>
              <w:t xml:space="preserve">g1 Salaire</w:t>
            </w:r>
          </w:p>
        </w:tc>
        <w:tc>
          <w:tcPr/>
          <w:p>
            <w:pPr>
              <w:pStyle w:val="Compact"/>
              <w:jc w:val="left"/>
            </w:pPr>
            <w:r>
              <w:t xml:space="preserve">0,25</w:t>
            </w:r>
          </w:p>
        </w:tc>
      </w:tr>
      <w:tr>
        <w:tc>
          <w:tcPr/>
          <w:p>
            <w:pPr>
              <w:pStyle w:val="Compact"/>
              <w:jc w:val="left"/>
            </w:pPr>
            <w:r>
              <w:t xml:space="preserve">g2 Emploi 6 mois</w:t>
            </w:r>
          </w:p>
        </w:tc>
        <w:tc>
          <w:tcPr/>
          <w:p>
            <w:pPr>
              <w:pStyle w:val="Compact"/>
              <w:jc w:val="left"/>
            </w:pPr>
            <w:r>
              <w:t xml:space="preserve">0,10</w:t>
            </w:r>
          </w:p>
        </w:tc>
      </w:tr>
      <w:tr>
        <w:tc>
          <w:tcPr/>
          <w:p>
            <w:pPr>
              <w:pStyle w:val="Compact"/>
              <w:jc w:val="left"/>
            </w:pPr>
            <w:r>
              <w:t xml:space="preserve">g3 Coût total</w:t>
            </w:r>
          </w:p>
        </w:tc>
        <w:tc>
          <w:tcPr/>
          <w:p>
            <w:pPr>
              <w:pStyle w:val="Compact"/>
              <w:jc w:val="left"/>
            </w:pPr>
            <w:r>
              <w:t xml:space="preserve">0,20</w:t>
            </w:r>
          </w:p>
        </w:tc>
      </w:tr>
      <w:tr>
        <w:tc>
          <w:tcPr/>
          <w:p>
            <w:pPr>
              <w:pStyle w:val="Compact"/>
              <w:jc w:val="left"/>
            </w:pPr>
            <w:r>
              <w:t xml:space="preserve">g4 Diversité sociale</w:t>
            </w:r>
          </w:p>
        </w:tc>
        <w:tc>
          <w:tcPr/>
          <w:p>
            <w:pPr>
              <w:pStyle w:val="Compact"/>
              <w:jc w:val="left"/>
            </w:pPr>
            <w:r>
              <w:t xml:space="preserve">0,10</w:t>
            </w:r>
          </w:p>
        </w:tc>
      </w:tr>
      <w:tr>
        <w:tc>
          <w:tcPr/>
          <w:p>
            <w:pPr>
              <w:pStyle w:val="Compact"/>
              <w:jc w:val="left"/>
            </w:pPr>
            <w:r>
              <w:t xml:space="preserve">g5 Engagement DD&amp;RS</w:t>
            </w:r>
          </w:p>
        </w:tc>
        <w:tc>
          <w:tcPr/>
          <w:p>
            <w:pPr>
              <w:pStyle w:val="Compact"/>
              <w:jc w:val="left"/>
            </w:pPr>
            <w:r>
              <w:t xml:space="preserve">0,15</w:t>
            </w:r>
          </w:p>
        </w:tc>
      </w:tr>
      <w:tr>
        <w:tc>
          <w:tcPr/>
          <w:p>
            <w:pPr>
              <w:pStyle w:val="Compact"/>
              <w:jc w:val="left"/>
            </w:pPr>
            <w:r>
              <w:t xml:space="preserve">g6 Vie associative</w:t>
            </w:r>
          </w:p>
        </w:tc>
        <w:tc>
          <w:tcPr/>
          <w:p>
            <w:pPr>
              <w:pStyle w:val="Compact"/>
              <w:jc w:val="left"/>
            </w:pPr>
            <w:r>
              <w:t xml:space="preserve">0,20</w:t>
            </w:r>
          </w:p>
        </w:tc>
      </w:tr>
      <w:tr>
        <w:tc>
          <w:tcPr/>
          <w:p>
            <w:pPr>
              <w:pStyle w:val="Compact"/>
              <w:jc w:val="left"/>
            </w:pPr>
            <w:r>
              <w:rPr>
                <w:bCs/>
                <w:b/>
              </w:rPr>
              <w:t xml:space="preserve">Total</w:t>
            </w:r>
          </w:p>
        </w:tc>
        <w:tc>
          <w:tcPr/>
          <w:p>
            <w:pPr>
              <w:pStyle w:val="Compact"/>
              <w:jc w:val="left"/>
            </w:pPr>
            <w:r>
              <w:rPr>
                <w:bCs/>
                <w:b/>
              </w:rPr>
              <w:t xml:space="preserve">1,00</w:t>
            </w:r>
          </w:p>
        </w:tc>
      </w:tr>
    </w:tbl>
    <w:p>
      <w:pPr>
        <w:pStyle w:val="BodyText"/>
      </w:pPr>
      <w:r>
        <w:rPr>
          <w:bCs/>
          <w:b/>
        </w:rPr>
        <w:t xml:space="preserve">Lecture</w:t>
      </w:r>
      <w:r>
        <w:t xml:space="preserve"> </w:t>
      </w:r>
      <w:r>
        <w:t xml:space="preserve">: salaire et coût pèsent ensemble 45 % (axe carrière + budget) ; vie asso 20 % en garde-fou ; engagement DD&amp;RS 15 % (sensibilité écologique forte) ; diversité sociale et emploi 10 % chacun (préoccupations secondaires mais réelles).</w:t>
      </w:r>
    </w:p>
    <w:p>
      <w:pPr>
        <w:pStyle w:val="BodyText"/>
      </w:pPr>
      <w:r>
        <w:rPr>
          <w:bCs/>
          <w:b/>
        </w:rPr>
        <w:t xml:space="preserve">Important</w:t>
      </w:r>
      <w:r>
        <w:t xml:space="preserve"> </w:t>
      </w:r>
      <w:r>
        <w:t xml:space="preserve">— conformément à la mise en garde du cours (Galand, c3, slide</w:t>
      </w:r>
      <w:r>
        <w:t xml:space="preserve"> </w:t>
      </w:r>
      <w:r>
        <w:rPr>
          <w:iCs/>
          <w:i/>
        </w:rPr>
        <w:t xml:space="preserve">Somme pondérée — écueils</w:t>
      </w:r>
      <w:r>
        <w:t xml:space="preserve">), ces poids sont des</w:t>
      </w:r>
      <w:r>
        <w:t xml:space="preserve"> </w:t>
      </w:r>
      <w:r>
        <w:rPr>
          <w:bCs/>
          <w:b/>
        </w:rPr>
        <w:t xml:space="preserve">taux de substitution</w:t>
      </w:r>
      <w:r>
        <w:t xml:space="preserve">, et non de simples « importances ordinales ». Ils n’ont de sens que rapportés à l’échelle de normalisation présentée en section 2.5.</w:t>
      </w:r>
    </w:p>
    <w:p>
      <w:pPr>
        <w:pStyle w:val="BodyText"/>
      </w:pPr>
      <w:r>
        <w:rPr>
          <w:bCs/>
          <w:b/>
        </w:rPr>
        <w:t xml:space="preserve">Seuils ELECTRE</w:t>
      </w:r>
      <w:r>
        <w:t xml:space="preserve"> </w:t>
      </w:r>
      <w:r>
        <w:t xml:space="preserve">(utilisés en section 3.5)</w:t>
      </w:r>
    </w:p>
    <w:p>
      <w:pPr>
        <w:pStyle w:val="BodyText"/>
      </w:pPr>
      <w:r>
        <w:t xml:space="preserve">Pour chaque critère, le décideur a été interrogé sur trois seuils :</w:t>
      </w:r>
    </w:p>
    <w:p>
      <w:pPr>
        <w:numPr>
          <w:ilvl w:val="0"/>
          <w:numId w:val="1013"/>
        </w:numPr>
        <w:pStyle w:val="Compact"/>
      </w:pPr>
      <w:r>
        <w:rPr>
          <w:bCs/>
          <w:b/>
        </w:rPr>
        <w:t xml:space="preserve">q (indifférence)</w:t>
      </w:r>
      <w:r>
        <w:t xml:space="preserve"> </w:t>
      </w:r>
      <w:r>
        <w:t xml:space="preserve">: écart en deçà duquel il considère deux alternatives comme équivalentes sur ce critère,</w:t>
      </w:r>
    </w:p>
    <w:p>
      <w:pPr>
        <w:numPr>
          <w:ilvl w:val="0"/>
          <w:numId w:val="1013"/>
        </w:numPr>
        <w:pStyle w:val="Compact"/>
      </w:pPr>
      <w:r>
        <w:rPr>
          <w:bCs/>
          <w:b/>
        </w:rPr>
        <w:t xml:space="preserve">p (préférence)</w:t>
      </w:r>
      <w:r>
        <w:t xml:space="preserve"> </w:t>
      </w:r>
      <w:r>
        <w:t xml:space="preserve">: écart au-delà duquel il considère qu’une alternative est strictement préférée,</w:t>
      </w:r>
    </w:p>
    <w:p>
      <w:pPr>
        <w:numPr>
          <w:ilvl w:val="0"/>
          <w:numId w:val="1013"/>
        </w:numPr>
        <w:pStyle w:val="Compact"/>
      </w:pPr>
      <w:r>
        <w:rPr>
          <w:bCs/>
          <w:b/>
        </w:rPr>
        <w:t xml:space="preserve">v (veto)</w:t>
      </w:r>
      <w:r>
        <w:t xml:space="preserve"> </w:t>
      </w:r>
      <w:r>
        <w:t xml:space="preserve">: écart au-delà duquel une supériorité de</w:t>
      </w:r>
      <w:r>
        <w:t xml:space="preserve"> </w:t>
      </w:r>
      <w:r>
        <w:rPr>
          <w:iCs/>
          <w:i/>
        </w:rPr>
        <w:t xml:space="preserve">b</w:t>
      </w:r>
      <w:r>
        <w:t xml:space="preserve"> </w:t>
      </w:r>
      <w:r>
        <w:t xml:space="preserve">sur</w:t>
      </w:r>
      <w:r>
        <w:t xml:space="preserve"> </w:t>
      </w:r>
      <w:r>
        <w:rPr>
          <w:iCs/>
          <w:i/>
        </w:rPr>
        <w:t xml:space="preserve">a</w:t>
      </w:r>
      <w:r>
        <w:t xml:space="preserve"> </w:t>
      </w:r>
      <w:r>
        <w:t xml:space="preserve">sur ce critère bloque tout surclassement de</w:t>
      </w:r>
      <w:r>
        <w:t xml:space="preserve"> </w:t>
      </w:r>
      <w:r>
        <w:rPr>
          <w:iCs/>
          <w:i/>
        </w:rPr>
        <w:t xml:space="preserve">a</w:t>
      </w:r>
      <w:r>
        <w:t xml:space="preserve"> </w:t>
      </w:r>
      <w:r>
        <w:t xml:space="preserve">sur</w:t>
      </w:r>
      <w:r>
        <w:t xml:space="preserve"> </w:t>
      </w:r>
      <w:r>
        <w:rPr>
          <w:iCs/>
          <w:i/>
        </w:rPr>
        <w:t xml:space="preserve">b</w:t>
      </w:r>
      <w:r>
        <w:t xml:space="preserve">,</w:t>
      </w:r>
      <w:r>
        <w:t xml:space="preserve"> </w:t>
      </w:r>
      <w:r>
        <w:rPr>
          <w:iCs/>
          <w:i/>
        </w:rPr>
        <w:t xml:space="preserve">même si tous les autres critères sont favorables à a</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Critère</w:t>
            </w:r>
          </w:p>
        </w:tc>
        <w:tc>
          <w:tcPr/>
          <w:p>
            <w:pPr>
              <w:pStyle w:val="Compact"/>
              <w:jc w:val="left"/>
            </w:pPr>
            <w:r>
              <w:t xml:space="preserve">q</w:t>
            </w:r>
          </w:p>
        </w:tc>
        <w:tc>
          <w:tcPr/>
          <w:p>
            <w:pPr>
              <w:pStyle w:val="Compact"/>
              <w:jc w:val="left"/>
            </w:pPr>
            <w:r>
              <w:t xml:space="preserve">p</w:t>
            </w:r>
          </w:p>
        </w:tc>
        <w:tc>
          <w:tcPr/>
          <w:p>
            <w:pPr>
              <w:pStyle w:val="Compact"/>
              <w:jc w:val="left"/>
            </w:pPr>
            <w:r>
              <w:t xml:space="preserve">v</w:t>
            </w:r>
          </w:p>
        </w:tc>
      </w:tr>
      <w:tr>
        <w:tc>
          <w:tcPr/>
          <w:p>
            <w:pPr>
              <w:pStyle w:val="Compact"/>
              <w:jc w:val="left"/>
            </w:pPr>
            <w:r>
              <w:t xml:space="preserve">g1 Salaire (€)</w:t>
            </w:r>
          </w:p>
        </w:tc>
        <w:tc>
          <w:tcPr/>
          <w:p>
            <w:pPr>
              <w:pStyle w:val="Compact"/>
              <w:jc w:val="left"/>
            </w:pPr>
            <w:r>
              <w:t xml:space="preserve">1 000</w:t>
            </w:r>
          </w:p>
        </w:tc>
        <w:tc>
          <w:tcPr/>
          <w:p>
            <w:pPr>
              <w:pStyle w:val="Compact"/>
              <w:jc w:val="left"/>
            </w:pPr>
            <w:r>
              <w:t xml:space="preserve">3 000</w:t>
            </w:r>
          </w:p>
        </w:tc>
        <w:tc>
          <w:tcPr/>
          <w:p>
            <w:pPr>
              <w:pStyle w:val="Compact"/>
              <w:jc w:val="left"/>
            </w:pPr>
            <w:r>
              <w:t xml:space="preserve">12 000</w:t>
            </w:r>
          </w:p>
        </w:tc>
      </w:tr>
      <w:tr>
        <w:tc>
          <w:tcPr/>
          <w:p>
            <w:pPr>
              <w:pStyle w:val="Compact"/>
              <w:jc w:val="left"/>
            </w:pPr>
            <w:r>
              <w:t xml:space="preserve">g2 Emploi (%)</w:t>
            </w:r>
          </w:p>
        </w:tc>
        <w:tc>
          <w:tcPr/>
          <w:p>
            <w:pPr>
              <w:pStyle w:val="Compact"/>
              <w:jc w:val="left"/>
            </w:pPr>
            <w:r>
              <w:t xml:space="preserve">1</w:t>
            </w:r>
          </w:p>
        </w:tc>
        <w:tc>
          <w:tcPr/>
          <w:p>
            <w:pPr>
              <w:pStyle w:val="Compact"/>
              <w:jc w:val="left"/>
            </w:pPr>
            <w:r>
              <w:t xml:space="preserve">3</w:t>
            </w:r>
          </w:p>
        </w:tc>
        <w:tc>
          <w:tcPr/>
          <w:p>
            <w:pPr>
              <w:pStyle w:val="Compact"/>
              <w:jc w:val="left"/>
            </w:pPr>
            <w:r>
              <w:t xml:space="preserve">8</w:t>
            </w:r>
          </w:p>
        </w:tc>
      </w:tr>
      <w:tr>
        <w:tc>
          <w:tcPr/>
          <w:p>
            <w:pPr>
              <w:pStyle w:val="Compact"/>
              <w:jc w:val="left"/>
            </w:pPr>
            <w:r>
              <w:t xml:space="preserve">g3 Coût (€)</w:t>
            </w:r>
          </w:p>
        </w:tc>
        <w:tc>
          <w:tcPr/>
          <w:p>
            <w:pPr>
              <w:pStyle w:val="Compact"/>
              <w:jc w:val="left"/>
            </w:pPr>
            <w:r>
              <w:t xml:space="preserve">500</w:t>
            </w:r>
          </w:p>
        </w:tc>
        <w:tc>
          <w:tcPr/>
          <w:p>
            <w:pPr>
              <w:pStyle w:val="Compact"/>
              <w:jc w:val="left"/>
            </w:pPr>
            <w:r>
              <w:t xml:space="preserve">2 000</w:t>
            </w:r>
          </w:p>
        </w:tc>
        <w:tc>
          <w:tcPr/>
          <w:p>
            <w:pPr>
              <w:pStyle w:val="Compact"/>
              <w:jc w:val="left"/>
            </w:pPr>
            <w:r>
              <w:rPr>
                <w:bCs/>
                <w:b/>
              </w:rPr>
              <w:t xml:space="preserve">8 000</w:t>
            </w:r>
          </w:p>
        </w:tc>
      </w:tr>
      <w:tr>
        <w:tc>
          <w:tcPr/>
          <w:p>
            <w:pPr>
              <w:pStyle w:val="Compact"/>
              <w:jc w:val="left"/>
            </w:pPr>
            <w:r>
              <w:t xml:space="preserve">g4 Diversité (%)</w:t>
            </w:r>
          </w:p>
        </w:tc>
        <w:tc>
          <w:tcPr/>
          <w:p>
            <w:pPr>
              <w:pStyle w:val="Compact"/>
              <w:jc w:val="left"/>
            </w:pPr>
            <w:r>
              <w:t xml:space="preserve">3</w:t>
            </w:r>
          </w:p>
        </w:tc>
        <w:tc>
          <w:tcPr/>
          <w:p>
            <w:pPr>
              <w:pStyle w:val="Compact"/>
              <w:jc w:val="left"/>
            </w:pPr>
            <w:r>
              <w:t xml:space="preserve">8</w:t>
            </w:r>
          </w:p>
        </w:tc>
        <w:tc>
          <w:tcPr/>
          <w:p>
            <w:pPr>
              <w:pStyle w:val="Compact"/>
              <w:jc w:val="left"/>
            </w:pPr>
            <w:r>
              <w:t xml:space="preserve">—</w:t>
            </w:r>
          </w:p>
        </w:tc>
      </w:tr>
      <w:tr>
        <w:tc>
          <w:tcPr/>
          <w:p>
            <w:pPr>
              <w:pStyle w:val="Compact"/>
              <w:jc w:val="left"/>
            </w:pPr>
            <w:r>
              <w:t xml:space="preserve">g5 DD&amp;RS (/5)</w:t>
            </w:r>
          </w:p>
        </w:tc>
        <w:tc>
          <w:tcPr/>
          <w:p>
            <w:pPr>
              <w:pStyle w:val="Compact"/>
              <w:jc w:val="left"/>
            </w:pPr>
            <w:r>
              <w:t xml:space="preserve">0,5</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g6 Vie asso (/10)</w:t>
            </w:r>
          </w:p>
        </w:tc>
        <w:tc>
          <w:tcPr/>
          <w:p>
            <w:pPr>
              <w:pStyle w:val="Compact"/>
              <w:jc w:val="left"/>
            </w:pPr>
            <w:r>
              <w:t xml:space="preserve">0,5</w:t>
            </w:r>
          </w:p>
        </w:tc>
        <w:tc>
          <w:tcPr/>
          <w:p>
            <w:pPr>
              <w:pStyle w:val="Compact"/>
              <w:jc w:val="left"/>
            </w:pPr>
            <w:r>
              <w:t xml:space="preserve">1,5</w:t>
            </w:r>
          </w:p>
        </w:tc>
        <w:tc>
          <w:tcPr/>
          <w:p>
            <w:pPr>
              <w:pStyle w:val="Compact"/>
              <w:jc w:val="left"/>
            </w:pPr>
            <w:r>
              <w:rPr>
                <w:bCs/>
                <w:b/>
              </w:rPr>
              <w:t xml:space="preserve">3</w:t>
            </w:r>
          </w:p>
        </w:tc>
      </w:tr>
    </w:tbl>
    <w:p>
      <w:pPr>
        <w:pStyle w:val="BodyText"/>
      </w:pPr>
      <w:r>
        <w:rPr>
          <w:bCs/>
          <w:b/>
        </w:rPr>
        <w:t xml:space="preserve">Justification des deux vetos actifs</w:t>
      </w:r>
      <w:r>
        <w:t xml:space="preserve"> </w:t>
      </w:r>
      <w:r>
        <w:t xml:space="preserve">:</w:t>
      </w:r>
    </w:p>
    <w:p>
      <w:pPr>
        <w:numPr>
          <w:ilvl w:val="0"/>
          <w:numId w:val="1014"/>
        </w:numPr>
        <w:pStyle w:val="Compact"/>
      </w:pPr>
      <w:r>
        <w:rPr>
          <w:bCs/>
          <w:b/>
        </w:rPr>
        <w:t xml:space="preserve">g3 (coût) — veto à 8 000 €</w:t>
      </w:r>
      <w:r>
        <w:t xml:space="preserve"> </w:t>
      </w:r>
      <w:r>
        <w:t xml:space="preserve">: reflète la contrainte budgétaire familiale. Une école coûtant 8 000 € de plus qu’une autre ne peut pas être déclarée « au moins aussi bonne », quels que soient ses autres atouts.</w:t>
      </w:r>
      <w:r>
        <w:t xml:space="preserve"> </w:t>
      </w:r>
      <w:r>
        <w:rPr>
          <w:iCs/>
          <w:i/>
        </w:rPr>
        <w:t xml:space="preserve">Concrètement, ce veto va bloquer le surclassement de Mines Paris (11 550 €) sur INSA Lyon, UTC ou Arts et Métiers (2 100 €).</w:t>
      </w:r>
    </w:p>
    <w:p>
      <w:pPr>
        <w:numPr>
          <w:ilvl w:val="0"/>
          <w:numId w:val="1014"/>
        </w:numPr>
        <w:pStyle w:val="Compact"/>
      </w:pPr>
      <w:r>
        <w:rPr>
          <w:bCs/>
          <w:b/>
        </w:rPr>
        <w:t xml:space="preserve">g6 (vie asso) — veto à 3 points</w:t>
      </w:r>
      <w:r>
        <w:t xml:space="preserve"> </w:t>
      </w:r>
      <w:r>
        <w:t xml:space="preserve">: reflète le garde-fou explicite du décideur. Une école avec 3 points de moins en vie associative ne peut pas surclasser une école dynamique sur ce plan.</w:t>
      </w:r>
    </w:p>
    <w:p>
      <w:pPr>
        <w:pStyle w:val="FirstParagraph"/>
      </w:pPr>
      <w:r>
        <w:t xml:space="preserve">Sur g4 et g5, le décideur a indiqué qu’aucun écart ne constituerait un veto strict : ce sont des critères importants mais pas rédhibitoires.</w:t>
      </w:r>
    </w:p>
    <w:p>
      <w:pPr>
        <w:pStyle w:val="BodyText"/>
      </w:pPr>
      <w:r>
        <w:rPr>
          <w:bCs/>
          <w:b/>
        </w:rPr>
        <w:t xml:space="preserve">Seuil de concordance</w:t>
      </w:r>
      <w:r>
        <w:t xml:space="preserve"> </w:t>
      </w:r>
      <w:r>
        <w:t xml:space="preserve">: λ = 0,65 (majorité qualifiée, comme proposé dans le cours).</w:t>
      </w:r>
    </w:p>
    <w:p>
      <w:pPr>
        <w:pStyle w:val="BodyText"/>
      </w:pPr>
      <w:r>
        <w:rPr>
          <w:bCs/>
          <w:b/>
        </w:rPr>
        <w:t xml:space="preserve">Capacités de Choquet (formulation 2-additive)</w:t>
      </w:r>
    </w:p>
    <w:p>
      <w:pPr>
        <w:pStyle w:val="BodyText"/>
      </w:pPr>
      <w:r>
        <w:t xml:space="preserve">L’intégrale de Choquet utilise une capacité μ définie sur l’ensemble des 2^6 = 64 sous-ensembles de F. Une élicitation complète serait inopérationnelle. Nous adoptons donc le</w:t>
      </w:r>
      <w:r>
        <w:t xml:space="preserve"> </w:t>
      </w:r>
      <w:r>
        <w:rPr>
          <w:bCs/>
          <w:b/>
        </w:rPr>
        <w:t xml:space="preserve">modèle 2-additif</w:t>
      </w:r>
      <w:r>
        <w:t xml:space="preserve"> </w:t>
      </w:r>
      <w:r>
        <w:t xml:space="preserve">de Grabisch, qui se ramène à :</w:t>
      </w:r>
    </w:p>
    <w:p>
      <w:pPr>
        <w:numPr>
          <w:ilvl w:val="0"/>
          <w:numId w:val="1015"/>
        </w:numPr>
        <w:pStyle w:val="Compact"/>
      </w:pPr>
      <w:r>
        <w:t xml:space="preserve">Une valeur de Shapley</w:t>
      </w:r>
      <w:r>
        <w:t xml:space="preserve"> </w:t>
      </w:r>
      <w:r>
        <w:rPr>
          <w:iCs/>
          <w:i/>
        </w:rPr>
        <w:t xml:space="preserve">φᵢ</w:t>
      </w:r>
      <w:r>
        <w:t xml:space="preserve"> </w:t>
      </w:r>
      <w:r>
        <w:t xml:space="preserve">pour chaque critère (= son importance globale, comparable au poids</w:t>
      </w:r>
      <w:r>
        <w:t xml:space="preserve"> </w:t>
      </w:r>
      <w:r>
        <w:rPr>
          <w:iCs/>
          <w:i/>
        </w:rPr>
        <w:t xml:space="preserve">wᵢ</w:t>
      </w:r>
      <w:r>
        <w:t xml:space="preserve">),</w:t>
      </w:r>
    </w:p>
    <w:p>
      <w:pPr>
        <w:numPr>
          <w:ilvl w:val="0"/>
          <w:numId w:val="1015"/>
        </w:numPr>
        <w:pStyle w:val="Compact"/>
      </w:pPr>
      <w:r>
        <w:t xml:space="preserve">Un indice d’interaction</w:t>
      </w:r>
      <w:r>
        <w:t xml:space="preserve"> </w:t>
      </w:r>
      <w:r>
        <w:rPr>
          <w:iCs/>
          <w:i/>
        </w:rPr>
        <w:t xml:space="preserve">Iᵢⱼ</w:t>
      </w:r>
      <w:r>
        <w:t xml:space="preserve"> </w:t>
      </w:r>
      <w:r>
        <w:t xml:space="preserve">pour chaque paire de critères, non nul uniquement pour les paires effectivement en interaction.</w:t>
      </w:r>
    </w:p>
    <w:p>
      <w:pPr>
        <w:pStyle w:val="FirstParagraph"/>
      </w:pPr>
      <w:r>
        <w:t xml:space="preserve">Nous fixons</w:t>
      </w:r>
      <w:r>
        <w:t xml:space="preserve"> </w:t>
      </w:r>
      <w:r>
        <w:rPr>
          <w:iCs/>
          <w:i/>
        </w:rPr>
        <w:t xml:space="preserve">φᵢ = wᵢ</w:t>
      </w:r>
      <w:r>
        <w:t xml:space="preserve"> </w:t>
      </w:r>
      <w:r>
        <w:t xml:space="preserve">(poids élicités ci-dessus) et</w:t>
      </w:r>
      <w:r>
        <w:t xml:space="preserve"> </w:t>
      </w:r>
      <w:r>
        <w:rPr>
          <w:bCs/>
          <w:b/>
        </w:rPr>
        <w:t xml:space="preserve">deux interactions</w:t>
      </w:r>
      <w:r>
        <w:t xml:space="preserve"> </w:t>
      </w:r>
      <w:r>
        <w:t xml:space="preserve">seulement :</w:t>
      </w:r>
    </w:p>
    <w:p>
      <w:pPr>
        <w:numPr>
          <w:ilvl w:val="0"/>
          <w:numId w:val="1016"/>
        </w:numPr>
        <w:pStyle w:val="Compact"/>
      </w:pPr>
      <w:r>
        <w:rPr>
          <w:iCs/>
          <w:i/>
        </w:rPr>
        <w:t xml:space="preserve">I(g1, g2)</w:t>
      </w:r>
      <w:r>
        <w:t xml:space="preserve"> </w:t>
      </w:r>
      <w:r>
        <w:t xml:space="preserve">=</w:t>
      </w:r>
      <w:r>
        <w:t xml:space="preserve"> </w:t>
      </w:r>
      <w:r>
        <w:rPr>
          <w:bCs/>
          <w:b/>
        </w:rPr>
        <w:t xml:space="preserve">−0,05</w:t>
      </w:r>
      <w:r>
        <w:t xml:space="preserve"> </w:t>
      </w:r>
      <w:r>
        <w:t xml:space="preserve">: redondance entre salaire et emploi (les deux mesurent l’insertion professionnelle),</w:t>
      </w:r>
    </w:p>
    <w:p>
      <w:pPr>
        <w:numPr>
          <w:ilvl w:val="0"/>
          <w:numId w:val="1016"/>
        </w:numPr>
        <w:pStyle w:val="Compact"/>
      </w:pPr>
      <w:r>
        <w:rPr>
          <w:iCs/>
          <w:i/>
        </w:rPr>
        <w:t xml:space="preserve">I(g4, g6)</w:t>
      </w:r>
      <w:r>
        <w:t xml:space="preserve"> </w:t>
      </w:r>
      <w:r>
        <w:t xml:space="preserve">=</w:t>
      </w:r>
      <w:r>
        <w:t xml:space="preserve"> </w:t>
      </w:r>
      <w:r>
        <w:rPr>
          <w:bCs/>
          <w:b/>
        </w:rPr>
        <w:t xml:space="preserve">+0,05</w:t>
      </w:r>
      <w:r>
        <w:t xml:space="preserve"> </w:t>
      </w:r>
      <w:r>
        <w:t xml:space="preserve">: synergie entre diversité sociale et vie associative (les deux ensemble = environnement étudiant riche).</w:t>
      </w:r>
    </w:p>
    <w:p>
      <w:pPr>
        <w:pStyle w:val="FirstParagraph"/>
      </w:pPr>
      <w:r>
        <w:t xml:space="preserve">Toutes les autres interactions sont nulles. Le détail des capacités</w:t>
      </w:r>
      <w:r>
        <w:t xml:space="preserve"> </w:t>
      </w:r>
      <w:r>
        <w:rPr>
          <w:iCs/>
          <w:i/>
        </w:rPr>
        <w:t xml:space="preserve">μ(S)</w:t>
      </w:r>
      <w:r>
        <w:t xml:space="preserve"> </w:t>
      </w:r>
      <w:r>
        <w:t xml:space="preserve">sera reconstruit dans le programme à partir de ces paramètres (formule de Grabisch reliant</w:t>
      </w:r>
      <w:r>
        <w:t xml:space="preserve"> </w:t>
      </w:r>
      <w:r>
        <w:rPr>
          <w:iCs/>
          <w:i/>
        </w:rPr>
        <w:t xml:space="preserve">φ</w:t>
      </w:r>
      <w:r>
        <w:t xml:space="preserve">,</w:t>
      </w:r>
      <w:r>
        <w:t xml:space="preserve"> </w:t>
      </w:r>
      <w:r>
        <w:rPr>
          <w:iCs/>
          <w:i/>
        </w:rPr>
        <w:t xml:space="preserve">I</w:t>
      </w:r>
      <w:r>
        <w:t xml:space="preserve"> </w:t>
      </w:r>
      <w:r>
        <w:t xml:space="preserve">et</w:t>
      </w:r>
      <w:r>
        <w:t xml:space="preserve"> </w:t>
      </w:r>
      <w:r>
        <w:rPr>
          <w:iCs/>
          <w:i/>
        </w:rPr>
        <w:t xml:space="preserve">μ</w:t>
      </w:r>
      <w:r>
        <w:t xml:space="preserve"> </w:t>
      </w:r>
      <w:r>
        <w:t xml:space="preserve">pour le cas 2-additif, rappelée en annexe).</w:t>
      </w:r>
    </w:p>
    <w:p>
      <w:pPr>
        <w:pStyle w:val="BodyText"/>
      </w:pPr>
      <w:r>
        <w:rPr>
          <w:bCs/>
          <w:b/>
        </w:rPr>
        <w:t xml:space="preserve">Vecteur de poids OWA</w:t>
      </w:r>
      <w:r>
        <w:t xml:space="preserve"> </w:t>
      </w:r>
      <w:r>
        <w:t xml:space="preserve">:</w:t>
      </w:r>
      <w:r>
        <w:t xml:space="preserve"> </w:t>
      </w:r>
      <w:r>
        <w:rPr>
          <w:iCs/>
          <w:i/>
        </w:rPr>
        <w:t xml:space="preserve">W</w:t>
      </w:r>
      <w:r>
        <w:t xml:space="preserve"> </w:t>
      </w:r>
      <w:r>
        <w:t xml:space="preserve">= (0,05 ; 0,15 ; 0,20 ; 0,20 ; 0,20 ; 0,20) — légèrement pessimiste, pour pénaliser les profils déséquilibrés. Note : les poids OWA sont attachés au</w:t>
      </w:r>
      <w:r>
        <w:t xml:space="preserve"> </w:t>
      </w:r>
      <w:r>
        <w:rPr>
          <w:bCs/>
          <w:b/>
        </w:rPr>
        <w:t xml:space="preserve">rang</w:t>
      </w:r>
      <w:r>
        <w:t xml:space="preserve"> </w:t>
      </w:r>
      <w:r>
        <w:t xml:space="preserve">des utilités (de la meilleure à la pire), pas aux critères — leur sémantique est différente des poids de la somme pondérée.</w:t>
      </w:r>
    </w:p>
    <w:bookmarkEnd w:id="29"/>
    <w:bookmarkStart w:id="30" w:name="normalisation-des-performances"/>
    <w:p>
      <w:pPr>
        <w:pStyle w:val="Heading3"/>
      </w:pPr>
      <w:r>
        <w:t xml:space="preserve">2.5 Normalisation des performances</w:t>
      </w:r>
    </w:p>
    <w:p>
      <w:pPr>
        <w:pStyle w:val="FirstParagraph"/>
      </w:pPr>
      <w:r>
        <w:t xml:space="preserve">Pour les méthodes d’agrégation (somme pondérée, OWA, Choquet, Min), les performances brutes doivent être ramenées sur une échelle commune. Nous utilisons une</w:t>
      </w:r>
      <w:r>
        <w:t xml:space="preserve"> </w:t>
      </w:r>
      <w:r>
        <w:rPr>
          <w:bCs/>
          <w:b/>
        </w:rPr>
        <w:t xml:space="preserve">normalisation min-max</w:t>
      </w:r>
      <w:r>
        <w:t xml:space="preserve"> </w:t>
      </w:r>
      <w:r>
        <w:t xml:space="preserve">linéaire sur l’intervalle [0 ; 100] :</w:t>
      </w:r>
    </w:p>
    <w:p>
      <w:pPr>
        <w:numPr>
          <w:ilvl w:val="0"/>
          <w:numId w:val="1017"/>
        </w:numPr>
        <w:pStyle w:val="Compact"/>
      </w:pPr>
      <w:r>
        <w:t xml:space="preserve">Pour un critère à maximiser :</w:t>
      </w:r>
      <w:r>
        <w:t xml:space="preserve"> </w:t>
      </w:r>
      <w:r>
        <w:rPr>
          <w:iCs/>
          <w:i/>
        </w:rPr>
        <w:t xml:space="preserve">uⱼ(a)</w:t>
      </w:r>
      <w:r>
        <w:t xml:space="preserve"> </w:t>
      </w:r>
      <w:r>
        <w:t xml:space="preserve">= 100 × [</w:t>
      </w:r>
      <w:r>
        <w:rPr>
          <w:iCs/>
          <w:i/>
        </w:rPr>
        <w:t xml:space="preserve">gⱼ(a)</w:t>
      </w:r>
      <w:r>
        <w:t xml:space="preserve"> </w:t>
      </w:r>
      <w:r>
        <w:t xml:space="preserve">− min_b</w:t>
      </w:r>
      <w:r>
        <w:t xml:space="preserve"> </w:t>
      </w:r>
      <w:r>
        <w:rPr>
          <w:iCs/>
          <w:i/>
        </w:rPr>
        <w:t xml:space="preserve">gⱼ(b)</w:t>
      </w:r>
      <w:r>
        <w:t xml:space="preserve">] / [max_b</w:t>
      </w:r>
      <w:r>
        <w:t xml:space="preserve"> </w:t>
      </w:r>
      <w:r>
        <w:rPr>
          <w:iCs/>
          <w:i/>
        </w:rPr>
        <w:t xml:space="preserve">gⱼ(b)</w:t>
      </w:r>
      <w:r>
        <w:t xml:space="preserve"> </w:t>
      </w:r>
      <w:r>
        <w:t xml:space="preserve">− min_b</w:t>
      </w:r>
      <w:r>
        <w:t xml:space="preserve"> </w:t>
      </w:r>
      <w:r>
        <w:rPr>
          <w:iCs/>
          <w:i/>
        </w:rPr>
        <w:t xml:space="preserve">gⱼ(b)</w:t>
      </w:r>
      <w:r>
        <w:t xml:space="preserve">]</w:t>
      </w:r>
    </w:p>
    <w:p>
      <w:pPr>
        <w:numPr>
          <w:ilvl w:val="0"/>
          <w:numId w:val="1017"/>
        </w:numPr>
        <w:pStyle w:val="Compact"/>
      </w:pPr>
      <w:r>
        <w:t xml:space="preserve">Pour un critère à minimiser :</w:t>
      </w:r>
      <w:r>
        <w:t xml:space="preserve"> </w:t>
      </w:r>
      <w:r>
        <w:rPr>
          <w:iCs/>
          <w:i/>
        </w:rPr>
        <w:t xml:space="preserve">uⱼ(a)</w:t>
      </w:r>
      <w:r>
        <w:t xml:space="preserve"> </w:t>
      </w:r>
      <w:r>
        <w:t xml:space="preserve">= 100 × [max_b</w:t>
      </w:r>
      <w:r>
        <w:t xml:space="preserve"> </w:t>
      </w:r>
      <w:r>
        <w:rPr>
          <w:iCs/>
          <w:i/>
        </w:rPr>
        <w:t xml:space="preserve">gⱼ(b)</w:t>
      </w:r>
      <w:r>
        <w:t xml:space="preserve"> </w:t>
      </w:r>
      <w:r>
        <w:t xml:space="preserve">−</w:t>
      </w:r>
      <w:r>
        <w:t xml:space="preserve"> </w:t>
      </w:r>
      <w:r>
        <w:rPr>
          <w:iCs/>
          <w:i/>
        </w:rPr>
        <w:t xml:space="preserve">gⱼ(a)</w:t>
      </w:r>
      <w:r>
        <w:t xml:space="preserve">] / [max_b</w:t>
      </w:r>
      <w:r>
        <w:t xml:space="preserve"> </w:t>
      </w:r>
      <w:r>
        <w:rPr>
          <w:iCs/>
          <w:i/>
        </w:rPr>
        <w:t xml:space="preserve">gⱼ(b)</w:t>
      </w:r>
      <w:r>
        <w:t xml:space="preserve"> </w:t>
      </w:r>
      <w:r>
        <w:t xml:space="preserve">− min_b</w:t>
      </w:r>
      <w:r>
        <w:t xml:space="preserve"> </w:t>
      </w:r>
      <w:r>
        <w:rPr>
          <w:iCs/>
          <w:i/>
        </w:rPr>
        <w:t xml:space="preserve">gⱼ(b)</w:t>
      </w:r>
      <w:r>
        <w:t xml:space="preserve">]</w:t>
      </w:r>
    </w:p>
    <w:p>
      <w:pPr>
        <w:pStyle w:val="FirstParagraph"/>
      </w:pPr>
      <w:r>
        <w:t xml:space="preserve">Ainsi, 100 correspond toujours à la meilleure performance observée sur le panel</w:t>
      </w:r>
      <w:r>
        <w:t xml:space="preserve"> </w:t>
      </w:r>
      <w:r>
        <w:rPr>
          <w:iCs/>
          <w:i/>
        </w:rPr>
        <w:t xml:space="preserve">A</w:t>
      </w:r>
      <w:r>
        <w:t xml:space="preserve">, et 0 à la pire.</w:t>
      </w:r>
    </w:p>
    <w:p>
      <w:pPr>
        <w:pStyle w:val="BodyText"/>
      </w:pPr>
      <w:r>
        <w:rPr>
          <w:iCs/>
          <w:i/>
        </w:rPr>
        <w:t xml:space="preserve">Le tableau des utilités normalisées sera produit dans le programme et reproduit en section 3.1.</w:t>
      </w:r>
    </w:p>
    <w:p>
      <w:pPr>
        <w:pStyle w:val="BodyText"/>
      </w:pPr>
      <w:r>
        <w:rPr>
          <w:bCs/>
          <w:b/>
        </w:rPr>
        <w:t xml:space="preserve">Limite assumée</w:t>
      </w:r>
      <w:r>
        <w:t xml:space="preserve"> </w:t>
      </w:r>
      <w:r>
        <w:t xml:space="preserve">: cette normalisation est</w:t>
      </w:r>
      <w:r>
        <w:t xml:space="preserve"> </w:t>
      </w:r>
      <w:r>
        <w:rPr>
          <w:bCs/>
          <w:b/>
        </w:rPr>
        <w:t xml:space="preserve">relative au panel</w:t>
      </w:r>
      <w:r>
        <w:t xml:space="preserve"> </w:t>
      </w:r>
      <w:r>
        <w:t xml:space="preserve">(le « meilleur » et le « pire » sont ceux observés dans</w:t>
      </w:r>
      <w:r>
        <w:t xml:space="preserve"> </w:t>
      </w:r>
      <w:r>
        <w:rPr>
          <w:iCs/>
          <w:i/>
        </w:rPr>
        <w:t xml:space="preserve">A</w:t>
      </w:r>
      <w:r>
        <w:t xml:space="preserve">, pas des valeurs absolues). Ajouter ou retirer une école peut donc modifier les utilités de toutes les autres. Une analyse de sensibilité sera conduite en section 4 pour vérifier la robustesse des résultats à un retrait d’alternative.</w:t>
      </w:r>
    </w:p>
    <w:p>
      <w:pPr>
        <w:pStyle w:val="BodyText"/>
      </w:pPr>
      <w:r>
        <w:t xml:space="preserve">Pour ELECTRE Is, en revanche, les performances brutes sont utilisées telles quelles : les seuils</w:t>
      </w:r>
      <w:r>
        <w:t xml:space="preserve"> </w:t>
      </w:r>
      <w:r>
        <w:rPr>
          <w:iCs/>
          <w:i/>
        </w:rPr>
        <w:t xml:space="preserve">q</w:t>
      </w:r>
      <w:r>
        <w:t xml:space="preserve">,</w:t>
      </w:r>
      <w:r>
        <w:t xml:space="preserve"> </w:t>
      </w:r>
      <w:r>
        <w:rPr>
          <w:iCs/>
          <w:i/>
        </w:rPr>
        <w:t xml:space="preserve">p</w:t>
      </w:r>
      <w:r>
        <w:t xml:space="preserve">,</w:t>
      </w:r>
      <w:r>
        <w:t xml:space="preserve"> </w:t>
      </w:r>
      <w:r>
        <w:rPr>
          <w:iCs/>
          <w:i/>
        </w:rPr>
        <w:t xml:space="preserve">v</w:t>
      </w:r>
      <w:r>
        <w:t xml:space="preserve"> </w:t>
      </w:r>
      <w:r>
        <w:t xml:space="preserve">sont exprimés dans les unités d’origine de chaque critère.</w:t>
      </w:r>
    </w:p>
    <w:p>
      <w:r>
        <w:pict>
          <v:rect style="width:0;height:1.5pt" o:hralign="center" o:hrstd="t" o:hr="t"/>
        </w:pict>
      </w:r>
    </w:p>
    <w:p>
      <w:pPr>
        <w:pStyle w:val="FirstParagraph"/>
      </w:pPr>
      <w:r>
        <w:rPr>
          <w:iCs/>
          <w:i/>
        </w:rPr>
        <w:t xml:space="preserve">[Suite : sections 3 « Application des méthodes », 4 « Résultats et comparaison », 5 « Analyse critique », 6 « Évaluation IA générative » — à rédiger après production des calculs Python.]</w:t>
      </w:r>
      <w:r>
        <w:t xml:space="preserve"> </w:t>
      </w:r>
      <w:r>
        <w:t xml:space="preserve">## 3. Application des méthodes multicritères</w:t>
      </w:r>
    </w:p>
    <w:p>
      <w:pPr>
        <w:pStyle w:val="BodyText"/>
      </w:pPr>
      <w:r>
        <w:t xml:space="preserve">Nous appliquons cinq méthodes choisies pour couvrir l’ensemble des paradigmes du cours :</w:t>
      </w:r>
    </w:p>
    <w:p>
      <w:pPr>
        <w:numPr>
          <w:ilvl w:val="0"/>
          <w:numId w:val="1018"/>
        </w:numPr>
        <w:pStyle w:val="Compact"/>
      </w:pPr>
      <w:r>
        <w:rPr>
          <w:bCs/>
          <w:b/>
        </w:rPr>
        <w:t xml:space="preserve">Trois méthodes d’agrégation</w:t>
      </w:r>
      <w:r>
        <w:t xml:space="preserve"> </w:t>
      </w:r>
      <w:r>
        <w:t xml:space="preserve">: Somme pondérée (compensation totale), OWA (pondération par rang), Intégrale de Choquet 2-additive (compensation avec interactions),</w:t>
      </w:r>
    </w:p>
    <w:p>
      <w:pPr>
        <w:numPr>
          <w:ilvl w:val="0"/>
          <w:numId w:val="1018"/>
        </w:numPr>
        <w:pStyle w:val="Compact"/>
      </w:pPr>
      <w:r>
        <w:rPr>
          <w:bCs/>
          <w:b/>
        </w:rPr>
        <w:t xml:space="preserve">Une méthode d’agrégation extrême</w:t>
      </w:r>
      <w:r>
        <w:t xml:space="preserve"> </w:t>
      </w:r>
      <w:r>
        <w:t xml:space="preserve">: Min (logique pessimiste, non compensatoire),</w:t>
      </w:r>
    </w:p>
    <w:p>
      <w:pPr>
        <w:numPr>
          <w:ilvl w:val="0"/>
          <w:numId w:val="1018"/>
        </w:numPr>
        <w:pStyle w:val="Compact"/>
      </w:pPr>
      <w:r>
        <w:rPr>
          <w:bCs/>
          <w:b/>
        </w:rPr>
        <w:t xml:space="preserve">Une méthode de surclassement</w:t>
      </w:r>
      <w:r>
        <w:t xml:space="preserve"> </w:t>
      </w:r>
      <w:r>
        <w:t xml:space="preserve">: ELECTRE Is (avec seuils q, p, v et mécanisme de veto).</w:t>
      </w:r>
    </w:p>
    <w:p>
      <w:pPr>
        <w:pStyle w:val="FirstParagraph"/>
      </w:pPr>
      <w:r>
        <w:t xml:space="preserve">Tous les calculs ont été effectués par un programme Python (joint au rendu) à partir du tableau des performances brutes (§2.3) et des paramètres élicités (§2.4). Les résultats numériques reportés ci-dessous sont les sorties brutes du programme.</w:t>
      </w:r>
    </w:p>
    <w:bookmarkEnd w:id="30"/>
    <w:bookmarkStart w:id="31" w:name="utilités-normalisées-préalable"/>
    <w:p>
      <w:pPr>
        <w:pStyle w:val="Heading3"/>
      </w:pPr>
      <w:r>
        <w:t xml:space="preserve">3.0 Utilités normalisées (préalable)</w:t>
      </w:r>
    </w:p>
    <w:p>
      <w:pPr>
        <w:pStyle w:val="FirstParagraph"/>
      </w:pPr>
      <w:r>
        <w:t xml:space="preserve">Avant d’appliquer les méthodes d’agrégation, les performances brutes sont normalisées sur [0 ; 100] par la transformation min-max décrite en §2.5.</w:t>
      </w:r>
    </w:p>
    <w:tbl>
      <w:tblPr>
        <w:tblStyle w:val="Table"/>
        <w:tblW w:type="pct" w:w="5000"/>
        <w:tblLook w:firstRow="1" w:lastRow="0" w:firstColumn="0" w:lastColumn="0" w:noHBand="0" w:noVBand="0" w:val="0020"/>
        <w:jc w:val="start"/>
      </w:tblPr>
      <w:tblGrid>
        <w:gridCol w:w="1568"/>
        <w:gridCol w:w="1097"/>
        <w:gridCol w:w="1019"/>
        <w:gridCol w:w="862"/>
        <w:gridCol w:w="1254"/>
        <w:gridCol w:w="940"/>
        <w:gridCol w:w="1176"/>
      </w:tblGrid>
      <w:tr>
        <w:trPr>
          <w:tblHeader w:val="true"/>
        </w:trPr>
        <w:tc>
          <w:tcPr/>
          <w:p>
            <w:pPr>
              <w:pStyle w:val="Compact"/>
              <w:jc w:val="left"/>
            </w:pPr>
            <w:r>
              <w:t xml:space="preserve">École</w:t>
            </w:r>
          </w:p>
        </w:tc>
        <w:tc>
          <w:tcPr/>
          <w:p>
            <w:pPr>
              <w:pStyle w:val="Compact"/>
              <w:jc w:val="left"/>
            </w:pPr>
            <w:r>
              <w:t xml:space="preserve">u1 (salaire)</w:t>
            </w:r>
          </w:p>
        </w:tc>
        <w:tc>
          <w:tcPr/>
          <w:p>
            <w:pPr>
              <w:pStyle w:val="Compact"/>
              <w:jc w:val="left"/>
            </w:pPr>
            <w:r>
              <w:t xml:space="preserve">u2 (emploi)</w:t>
            </w:r>
          </w:p>
        </w:tc>
        <w:tc>
          <w:tcPr/>
          <w:p>
            <w:pPr>
              <w:pStyle w:val="Compact"/>
              <w:jc w:val="left"/>
            </w:pPr>
            <w:r>
              <w:t xml:space="preserve">u3 (coût)</w:t>
            </w:r>
          </w:p>
        </w:tc>
        <w:tc>
          <w:tcPr/>
          <w:p>
            <w:pPr>
              <w:pStyle w:val="Compact"/>
              <w:jc w:val="left"/>
            </w:pPr>
            <w:r>
              <w:t xml:space="preserve">u4 (diversité)</w:t>
            </w:r>
          </w:p>
        </w:tc>
        <w:tc>
          <w:tcPr/>
          <w:p>
            <w:pPr>
              <w:pStyle w:val="Compact"/>
              <w:jc w:val="left"/>
            </w:pPr>
            <w:r>
              <w:t xml:space="preserve">u5 (DD&amp;RS)</w:t>
            </w:r>
          </w:p>
        </w:tc>
        <w:tc>
          <w:tcPr/>
          <w:p>
            <w:pPr>
              <w:pStyle w:val="Compact"/>
              <w:jc w:val="left"/>
            </w:pPr>
            <w:r>
              <w:t xml:space="preserve">u6 (vie asso)</w:t>
            </w:r>
          </w:p>
        </w:tc>
      </w:tr>
      <w:tr>
        <w:tc>
          <w:tcPr/>
          <w:p>
            <w:pPr>
              <w:pStyle w:val="Compact"/>
              <w:jc w:val="left"/>
            </w:pPr>
            <w:r>
              <w:t xml:space="preserve">A1 Polytechnique</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0,0</w:t>
            </w:r>
          </w:p>
        </w:tc>
        <w:tc>
          <w:tcPr/>
          <w:p>
            <w:pPr>
              <w:pStyle w:val="Compact"/>
              <w:jc w:val="left"/>
            </w:pPr>
            <w:r>
              <w:t xml:space="preserve">50,0</w:t>
            </w:r>
          </w:p>
        </w:tc>
        <w:tc>
          <w:tcPr/>
          <w:p>
            <w:pPr>
              <w:pStyle w:val="Compact"/>
              <w:jc w:val="left"/>
            </w:pPr>
            <w:r>
              <w:t xml:space="preserve">25,0</w:t>
            </w:r>
          </w:p>
        </w:tc>
      </w:tr>
      <w:tr>
        <w:tc>
          <w:tcPr/>
          <w:p>
            <w:pPr>
              <w:pStyle w:val="Compact"/>
              <w:jc w:val="left"/>
            </w:pPr>
            <w:r>
              <w:t xml:space="preserve">A2 CentraleSupélec</w:t>
            </w:r>
          </w:p>
        </w:tc>
        <w:tc>
          <w:tcPr/>
          <w:p>
            <w:pPr>
              <w:pStyle w:val="Compact"/>
              <w:jc w:val="left"/>
            </w:pPr>
            <w:r>
              <w:t xml:space="preserve">40,0</w:t>
            </w:r>
          </w:p>
        </w:tc>
        <w:tc>
          <w:tcPr/>
          <w:p>
            <w:pPr>
              <w:pStyle w:val="Compact"/>
              <w:jc w:val="left"/>
            </w:pPr>
            <w:r>
              <w:t xml:space="preserve">71,4</w:t>
            </w:r>
          </w:p>
        </w:tc>
        <w:tc>
          <w:tcPr/>
          <w:p>
            <w:pPr>
              <w:pStyle w:val="Compact"/>
              <w:jc w:val="left"/>
            </w:pPr>
            <w:r>
              <w:t xml:space="preserve">9,1</w:t>
            </w:r>
          </w:p>
        </w:tc>
        <w:tc>
          <w:tcPr/>
          <w:p>
            <w:pPr>
              <w:pStyle w:val="Compact"/>
              <w:jc w:val="left"/>
            </w:pPr>
            <w:r>
              <w:t xml:space="preserve">28,6</w:t>
            </w:r>
          </w:p>
        </w:tc>
        <w:tc>
          <w:tcPr/>
          <w:p>
            <w:pPr>
              <w:pStyle w:val="Compact"/>
              <w:jc w:val="left"/>
            </w:pPr>
            <w:r>
              <w:t xml:space="preserve">100,0</w:t>
            </w:r>
          </w:p>
        </w:tc>
        <w:tc>
          <w:tcPr/>
          <w:p>
            <w:pPr>
              <w:pStyle w:val="Compact"/>
              <w:jc w:val="left"/>
            </w:pPr>
            <w:r>
              <w:t xml:space="preserve">75,0</w:t>
            </w:r>
          </w:p>
        </w:tc>
      </w:tr>
      <w:tr>
        <w:tc>
          <w:tcPr/>
          <w:p>
            <w:pPr>
              <w:pStyle w:val="Compact"/>
              <w:jc w:val="left"/>
            </w:pPr>
            <w:r>
              <w:t xml:space="preserve">A3 Mines Paris</w:t>
            </w:r>
          </w:p>
        </w:tc>
        <w:tc>
          <w:tcPr/>
          <w:p>
            <w:pPr>
              <w:pStyle w:val="Compact"/>
              <w:jc w:val="left"/>
            </w:pPr>
            <w:r>
              <w:t xml:space="preserve">59,0</w:t>
            </w:r>
          </w:p>
        </w:tc>
        <w:tc>
          <w:tcPr/>
          <w:p>
            <w:pPr>
              <w:pStyle w:val="Compact"/>
              <w:jc w:val="left"/>
            </w:pPr>
            <w:r>
              <w:t xml:space="preserve">42,9</w:t>
            </w:r>
          </w:p>
        </w:tc>
        <w:tc>
          <w:tcPr/>
          <w:p>
            <w:pPr>
              <w:pStyle w:val="Compact"/>
              <w:jc w:val="left"/>
            </w:pPr>
            <w:r>
              <w:t xml:space="preserve">0,0</w:t>
            </w:r>
          </w:p>
        </w:tc>
        <w:tc>
          <w:tcPr/>
          <w:p>
            <w:pPr>
              <w:pStyle w:val="Compact"/>
              <w:jc w:val="left"/>
            </w:pPr>
            <w:r>
              <w:t xml:space="preserve">14,3</w:t>
            </w:r>
          </w:p>
        </w:tc>
        <w:tc>
          <w:tcPr/>
          <w:p>
            <w:pPr>
              <w:pStyle w:val="Compact"/>
              <w:jc w:val="left"/>
            </w:pPr>
            <w:r>
              <w:t xml:space="preserve">50,0</w:t>
            </w:r>
          </w:p>
        </w:tc>
        <w:tc>
          <w:tcPr/>
          <w:p>
            <w:pPr>
              <w:pStyle w:val="Compact"/>
              <w:jc w:val="left"/>
            </w:pPr>
            <w:r>
              <w:t xml:space="preserve">0,0</w:t>
            </w:r>
          </w:p>
        </w:tc>
      </w:tr>
      <w:tr>
        <w:tc>
          <w:tcPr/>
          <w:p>
            <w:pPr>
              <w:pStyle w:val="Compact"/>
              <w:jc w:val="left"/>
            </w:pPr>
            <w:r>
              <w:t xml:space="preserve">A4 ENSTA Paris</w:t>
            </w:r>
          </w:p>
        </w:tc>
        <w:tc>
          <w:tcPr/>
          <w:p>
            <w:pPr>
              <w:pStyle w:val="Compact"/>
              <w:jc w:val="left"/>
            </w:pPr>
            <w:r>
              <w:t xml:space="preserve">32,5</w:t>
            </w:r>
          </w:p>
        </w:tc>
        <w:tc>
          <w:tcPr/>
          <w:p>
            <w:pPr>
              <w:pStyle w:val="Compact"/>
              <w:jc w:val="left"/>
            </w:pPr>
            <w:r>
              <w:t xml:space="preserve">57,1</w:t>
            </w:r>
          </w:p>
        </w:tc>
        <w:tc>
          <w:tcPr/>
          <w:p>
            <w:pPr>
              <w:pStyle w:val="Compact"/>
              <w:jc w:val="left"/>
            </w:pPr>
            <w:r>
              <w:t xml:space="preserve">27,3</w:t>
            </w:r>
          </w:p>
        </w:tc>
        <w:tc>
          <w:tcPr/>
          <w:p>
            <w:pPr>
              <w:pStyle w:val="Compact"/>
              <w:jc w:val="left"/>
            </w:pPr>
            <w:r>
              <w:t xml:space="preserve">47,6</w:t>
            </w:r>
          </w:p>
        </w:tc>
        <w:tc>
          <w:tcPr/>
          <w:p>
            <w:pPr>
              <w:pStyle w:val="Compact"/>
              <w:jc w:val="left"/>
            </w:pPr>
            <w:r>
              <w:t xml:space="preserve">0,0</w:t>
            </w:r>
          </w:p>
        </w:tc>
        <w:tc>
          <w:tcPr/>
          <w:p>
            <w:pPr>
              <w:pStyle w:val="Compact"/>
              <w:jc w:val="left"/>
            </w:pPr>
            <w:r>
              <w:t xml:space="preserve">25,0</w:t>
            </w:r>
          </w:p>
        </w:tc>
      </w:tr>
      <w:tr>
        <w:tc>
          <w:tcPr/>
          <w:p>
            <w:pPr>
              <w:pStyle w:val="Compact"/>
              <w:jc w:val="left"/>
            </w:pPr>
            <w:r>
              <w:t xml:space="preserve">A5 Télécom Paris</w:t>
            </w:r>
          </w:p>
        </w:tc>
        <w:tc>
          <w:tcPr/>
          <w:p>
            <w:pPr>
              <w:pStyle w:val="Compact"/>
              <w:jc w:val="left"/>
            </w:pPr>
            <w:r>
              <w:t xml:space="preserve">47,5</w:t>
            </w:r>
          </w:p>
        </w:tc>
        <w:tc>
          <w:tcPr/>
          <w:p>
            <w:pPr>
              <w:pStyle w:val="Compact"/>
              <w:jc w:val="left"/>
            </w:pPr>
            <w:r>
              <w:t xml:space="preserve">57,1</w:t>
            </w:r>
          </w:p>
        </w:tc>
        <w:tc>
          <w:tcPr/>
          <w:p>
            <w:pPr>
              <w:pStyle w:val="Compact"/>
              <w:jc w:val="left"/>
            </w:pPr>
            <w:r>
              <w:t xml:space="preserve">16,9</w:t>
            </w:r>
          </w:p>
        </w:tc>
        <w:tc>
          <w:tcPr/>
          <w:p>
            <w:pPr>
              <w:pStyle w:val="Compact"/>
              <w:jc w:val="left"/>
            </w:pPr>
            <w:r>
              <w:t xml:space="preserve">38,1</w:t>
            </w:r>
          </w:p>
        </w:tc>
        <w:tc>
          <w:tcPr/>
          <w:p>
            <w:pPr>
              <w:pStyle w:val="Compact"/>
              <w:jc w:val="left"/>
            </w:pPr>
            <w:r>
              <w:t xml:space="preserve">50,0</w:t>
            </w:r>
          </w:p>
        </w:tc>
        <w:tc>
          <w:tcPr/>
          <w:p>
            <w:pPr>
              <w:pStyle w:val="Compact"/>
              <w:jc w:val="left"/>
            </w:pPr>
            <w:r>
              <w:t xml:space="preserve">25,0</w:t>
            </w:r>
          </w:p>
        </w:tc>
      </w:tr>
      <w:tr>
        <w:tc>
          <w:tcPr/>
          <w:p>
            <w:pPr>
              <w:pStyle w:val="Compact"/>
              <w:jc w:val="left"/>
            </w:pPr>
            <w:r>
              <w:t xml:space="preserve">A6 ENPC</w:t>
            </w:r>
          </w:p>
        </w:tc>
        <w:tc>
          <w:tcPr/>
          <w:p>
            <w:pPr>
              <w:pStyle w:val="Compact"/>
              <w:jc w:val="left"/>
            </w:pPr>
            <w:r>
              <w:t xml:space="preserve">36,5</w:t>
            </w:r>
          </w:p>
        </w:tc>
        <w:tc>
          <w:tcPr/>
          <w:p>
            <w:pPr>
              <w:pStyle w:val="Compact"/>
              <w:jc w:val="left"/>
            </w:pPr>
            <w:r>
              <w:t xml:space="preserve">28,6</w:t>
            </w:r>
          </w:p>
        </w:tc>
        <w:tc>
          <w:tcPr/>
          <w:p>
            <w:pPr>
              <w:pStyle w:val="Compact"/>
              <w:jc w:val="left"/>
            </w:pPr>
            <w:r>
              <w:t xml:space="preserve">33,2</w:t>
            </w:r>
          </w:p>
        </w:tc>
        <w:tc>
          <w:tcPr/>
          <w:p>
            <w:pPr>
              <w:pStyle w:val="Compact"/>
              <w:jc w:val="left"/>
            </w:pPr>
            <w:r>
              <w:t xml:space="preserve">23,8</w:t>
            </w:r>
          </w:p>
        </w:tc>
        <w:tc>
          <w:tcPr/>
          <w:p>
            <w:pPr>
              <w:pStyle w:val="Compact"/>
              <w:jc w:val="left"/>
            </w:pPr>
            <w:r>
              <w:t xml:space="preserve">0,0</w:t>
            </w:r>
          </w:p>
        </w:tc>
        <w:tc>
          <w:tcPr/>
          <w:p>
            <w:pPr>
              <w:pStyle w:val="Compact"/>
              <w:jc w:val="left"/>
            </w:pPr>
            <w:r>
              <w:t xml:space="preserve">0,0</w:t>
            </w:r>
          </w:p>
        </w:tc>
      </w:tr>
      <w:tr>
        <w:tc>
          <w:tcPr/>
          <w:p>
            <w:pPr>
              <w:pStyle w:val="Compact"/>
              <w:jc w:val="left"/>
            </w:pPr>
            <w:r>
              <w:t xml:space="preserve">A7 INSA Lyon</w:t>
            </w:r>
          </w:p>
        </w:tc>
        <w:tc>
          <w:tcPr/>
          <w:p>
            <w:pPr>
              <w:pStyle w:val="Compact"/>
              <w:jc w:val="left"/>
            </w:pPr>
            <w:r>
              <w:t xml:space="preserve">0,0</w:t>
            </w:r>
          </w:p>
        </w:tc>
        <w:tc>
          <w:tcPr/>
          <w:p>
            <w:pPr>
              <w:pStyle w:val="Compact"/>
              <w:jc w:val="left"/>
            </w:pPr>
            <w:r>
              <w:t xml:space="preserve">0,0</w:t>
            </w:r>
          </w:p>
        </w:tc>
        <w:tc>
          <w:tcPr/>
          <w:p>
            <w:pPr>
              <w:pStyle w:val="Compact"/>
              <w:jc w:val="left"/>
            </w:pPr>
            <w:r>
              <w:t xml:space="preserve">81,8</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r>
      <w:tr>
        <w:tc>
          <w:tcPr/>
          <w:p>
            <w:pPr>
              <w:pStyle w:val="Compact"/>
              <w:jc w:val="left"/>
            </w:pPr>
            <w:r>
              <w:t xml:space="preserve">A8 UTC</w:t>
            </w:r>
          </w:p>
        </w:tc>
        <w:tc>
          <w:tcPr/>
          <w:p>
            <w:pPr>
              <w:pStyle w:val="Compact"/>
              <w:jc w:val="left"/>
            </w:pPr>
            <w:r>
              <w:t xml:space="preserve">1,2</w:t>
            </w:r>
          </w:p>
        </w:tc>
        <w:tc>
          <w:tcPr/>
          <w:p>
            <w:pPr>
              <w:pStyle w:val="Compact"/>
              <w:jc w:val="left"/>
            </w:pPr>
            <w:r>
              <w:t xml:space="preserve">14,3</w:t>
            </w:r>
          </w:p>
        </w:tc>
        <w:tc>
          <w:tcPr/>
          <w:p>
            <w:pPr>
              <w:pStyle w:val="Compact"/>
              <w:jc w:val="left"/>
            </w:pPr>
            <w:r>
              <w:t xml:space="preserve">81,8</w:t>
            </w:r>
          </w:p>
        </w:tc>
        <w:tc>
          <w:tcPr/>
          <w:p>
            <w:pPr>
              <w:pStyle w:val="Compact"/>
              <w:jc w:val="left"/>
            </w:pPr>
            <w:r>
              <w:t xml:space="preserve">85,7</w:t>
            </w:r>
          </w:p>
        </w:tc>
        <w:tc>
          <w:tcPr/>
          <w:p>
            <w:pPr>
              <w:pStyle w:val="Compact"/>
              <w:jc w:val="left"/>
            </w:pPr>
            <w:r>
              <w:t xml:space="preserve">0,0</w:t>
            </w:r>
          </w:p>
        </w:tc>
        <w:tc>
          <w:tcPr/>
          <w:p>
            <w:pPr>
              <w:pStyle w:val="Compact"/>
              <w:jc w:val="left"/>
            </w:pPr>
            <w:r>
              <w:t xml:space="preserve">100,0</w:t>
            </w:r>
          </w:p>
        </w:tc>
      </w:tr>
      <w:tr>
        <w:tc>
          <w:tcPr/>
          <w:p>
            <w:pPr>
              <w:pStyle w:val="Compact"/>
              <w:jc w:val="left"/>
            </w:pPr>
            <w:r>
              <w:t xml:space="preserve">A9 IMT Atlantique</w:t>
            </w:r>
          </w:p>
        </w:tc>
        <w:tc>
          <w:tcPr/>
          <w:p>
            <w:pPr>
              <w:pStyle w:val="Compact"/>
              <w:jc w:val="left"/>
            </w:pPr>
            <w:r>
              <w:t xml:space="preserve">15,0</w:t>
            </w:r>
          </w:p>
        </w:tc>
        <w:tc>
          <w:tcPr/>
          <w:p>
            <w:pPr>
              <w:pStyle w:val="Compact"/>
              <w:jc w:val="left"/>
            </w:pPr>
            <w:r>
              <w:t xml:space="preserve">28,6</w:t>
            </w:r>
          </w:p>
        </w:tc>
        <w:tc>
          <w:tcPr/>
          <w:p>
            <w:pPr>
              <w:pStyle w:val="Compact"/>
              <w:jc w:val="left"/>
            </w:pPr>
            <w:r>
              <w:t xml:space="preserve">16,9</w:t>
            </w:r>
          </w:p>
        </w:tc>
        <w:tc>
          <w:tcPr/>
          <w:p>
            <w:pPr>
              <w:pStyle w:val="Compact"/>
              <w:jc w:val="left"/>
            </w:pPr>
            <w:r>
              <w:t xml:space="preserve">76,2</w:t>
            </w:r>
          </w:p>
        </w:tc>
        <w:tc>
          <w:tcPr/>
          <w:p>
            <w:pPr>
              <w:pStyle w:val="Compact"/>
              <w:jc w:val="left"/>
            </w:pPr>
            <w:r>
              <w:t xml:space="preserve">50,0</w:t>
            </w:r>
          </w:p>
        </w:tc>
        <w:tc>
          <w:tcPr/>
          <w:p>
            <w:pPr>
              <w:pStyle w:val="Compact"/>
              <w:jc w:val="left"/>
            </w:pPr>
            <w:r>
              <w:t xml:space="preserve">50,0</w:t>
            </w:r>
          </w:p>
        </w:tc>
      </w:tr>
      <w:tr>
        <w:tc>
          <w:tcPr/>
          <w:p>
            <w:pPr>
              <w:pStyle w:val="Compact"/>
              <w:jc w:val="left"/>
            </w:pPr>
            <w:r>
              <w:t xml:space="preserve">A10 Arts et Métiers</w:t>
            </w:r>
          </w:p>
        </w:tc>
        <w:tc>
          <w:tcPr/>
          <w:p>
            <w:pPr>
              <w:pStyle w:val="Compact"/>
              <w:jc w:val="left"/>
            </w:pPr>
            <w:r>
              <w:t xml:space="preserve">12,5</w:t>
            </w:r>
          </w:p>
        </w:tc>
        <w:tc>
          <w:tcPr/>
          <w:p>
            <w:pPr>
              <w:pStyle w:val="Compact"/>
              <w:jc w:val="left"/>
            </w:pPr>
            <w:r>
              <w:t xml:space="preserve">42,9</w:t>
            </w:r>
          </w:p>
        </w:tc>
        <w:tc>
          <w:tcPr/>
          <w:p>
            <w:pPr>
              <w:pStyle w:val="Compact"/>
              <w:jc w:val="left"/>
            </w:pPr>
            <w:r>
              <w:t xml:space="preserve">81,8</w:t>
            </w:r>
          </w:p>
        </w:tc>
        <w:tc>
          <w:tcPr/>
          <w:p>
            <w:pPr>
              <w:pStyle w:val="Compact"/>
              <w:jc w:val="left"/>
            </w:pPr>
            <w:r>
              <w:t xml:space="preserve">61,9</w:t>
            </w:r>
          </w:p>
        </w:tc>
        <w:tc>
          <w:tcPr/>
          <w:p>
            <w:pPr>
              <w:pStyle w:val="Compact"/>
              <w:jc w:val="left"/>
            </w:pPr>
            <w:r>
              <w:t xml:space="preserve">0,0</w:t>
            </w:r>
          </w:p>
        </w:tc>
        <w:tc>
          <w:tcPr/>
          <w:p>
            <w:pPr>
              <w:pStyle w:val="Compact"/>
              <w:jc w:val="left"/>
            </w:pPr>
            <w:r>
              <w:t xml:space="preserve">75,0</w:t>
            </w:r>
          </w:p>
        </w:tc>
      </w:tr>
    </w:tbl>
    <w:p>
      <w:pPr>
        <w:pStyle w:val="BodyText"/>
      </w:pPr>
      <w:r>
        <w:rPr>
          <w:bCs/>
          <w:b/>
        </w:rPr>
        <w:t xml:space="preserve">Lecture</w:t>
      </w:r>
      <w:r>
        <w:t xml:space="preserve"> </w:t>
      </w:r>
      <w:r>
        <w:t xml:space="preserve">: A1 obtient 100 sur u1 car son salaire (58 000 €) est le plus élevé du panel ; elle obtient 0 sur u4 (12 % de boursiers, le minimum). A7 (INSA Lyon) obtient deux 0 (salaire et emploi, les plus faibles du panel) mais quatre scores ≥ 80 sur les autres critères.</w:t>
      </w:r>
    </w:p>
    <w:p>
      <w:pPr>
        <w:pStyle w:val="BodyText"/>
      </w:pPr>
      <w:r>
        <w:t xml:space="preserve">Cette normalisation rend immédiatement visibles les</w:t>
      </w:r>
      <w:r>
        <w:t xml:space="preserve"> </w:t>
      </w:r>
      <w:r>
        <w:rPr>
          <w:bCs/>
          <w:b/>
        </w:rPr>
        <w:t xml:space="preserve">profils contrastés</w:t>
      </w:r>
      <w:r>
        <w:t xml:space="preserve"> </w:t>
      </w:r>
      <w:r>
        <w:t xml:space="preserve">: A1 est extrême sur l’axe carrière, A7 extrême sur l’axe expérience étudiante. Aucune école ne domine au sens de Pareto (au sens du cours, §c2) : toutes sont</w:t>
      </w:r>
      <w:r>
        <w:t xml:space="preserve"> </w:t>
      </w:r>
      <w:r>
        <w:rPr>
          <w:iCs/>
          <w:i/>
        </w:rPr>
        <w:t xml:space="preserve">efficaces</w:t>
      </w:r>
      <w:r>
        <w:t xml:space="preserve">, ce qui justifie l’application de méthodes d’agrégation et de surclassement.</w:t>
      </w:r>
    </w:p>
    <w:bookmarkEnd w:id="31"/>
    <w:bookmarkStart w:id="32" w:name="méthode-1-somme-pondérée"/>
    <w:p>
      <w:pPr>
        <w:pStyle w:val="Heading3"/>
      </w:pPr>
      <w:r>
        <w:t xml:space="preserve">3.1 Méthode 1 — Somme pondérée</w:t>
      </w:r>
    </w:p>
    <w:p>
      <w:pPr>
        <w:pStyle w:val="FirstParagraph"/>
      </w:pPr>
      <w:r>
        <w:rPr>
          <w:bCs/>
          <w:b/>
        </w:rPr>
        <w:t xml:space="preserve">Principe.</w:t>
      </w:r>
      <w:r>
        <w:t xml:space="preserve"> </w:t>
      </w:r>
      <w:r>
        <w:t xml:space="preserve">Pour chaque alternative</w:t>
      </w:r>
      <w:r>
        <w:t xml:space="preserve"> </w:t>
      </w:r>
      <w:r>
        <w:rPr>
          <w:iCs/>
          <w:i/>
        </w:rPr>
        <w:t xml:space="preserve">a</w:t>
      </w:r>
      <w:r>
        <w:t xml:space="preserve">, on calcule un score global</w:t>
      </w:r>
    </w:p>
    <w:p>
      <w:pPr>
        <w:pStyle w:val="BlockText"/>
      </w:pPr>
      <w:r>
        <w:t xml:space="preserve">g(a) = Σⱼ wⱼ · uⱼ(a)</w:t>
      </w:r>
    </w:p>
    <w:p>
      <w:pPr>
        <w:pStyle w:val="FirstParagraph"/>
      </w:pPr>
      <w:r>
        <w:t xml:space="preserve">avec les poids</w:t>
      </w:r>
      <w:r>
        <w:t xml:space="preserve"> </w:t>
      </w:r>
      <w:r>
        <w:rPr>
          <w:iCs/>
          <w:i/>
        </w:rPr>
        <w:t xml:space="preserve">w</w:t>
      </w:r>
      <w:r>
        <w:t xml:space="preserve"> </w:t>
      </w:r>
      <w:r>
        <w:t xml:space="preserve">élicités en §2.4. La somme pondérée est</w:t>
      </w:r>
      <w:r>
        <w:t xml:space="preserve"> </w:t>
      </w:r>
      <w:r>
        <w:rPr>
          <w:bCs/>
          <w:b/>
        </w:rPr>
        <w:t xml:space="preserve">entièrement compensatoire</w:t>
      </w:r>
      <w:r>
        <w:t xml:space="preserve"> </w:t>
      </w:r>
      <w:r>
        <w:t xml:space="preserve">: un mauvais score sur un critère peut être totalement rattrapé par d’excellents scores sur les autres.</w:t>
      </w:r>
    </w:p>
    <w:p>
      <w:pPr>
        <w:pStyle w:val="BodyText"/>
      </w:pPr>
      <w:r>
        <w:rPr>
          <w:bCs/>
          <w:b/>
        </w:rPr>
        <w:t xml:space="preserve">Application.</w:t>
      </w:r>
      <w:r>
        <w:t xml:space="preserve"> </w:t>
      </w:r>
      <w:r>
        <w:t xml:space="preserve">Avec</w:t>
      </w:r>
      <w:r>
        <w:t xml:space="preserve"> </w:t>
      </w:r>
      <w:r>
        <w:rPr>
          <w:iCs/>
          <w:i/>
        </w:rPr>
        <w:t xml:space="preserve">w</w:t>
      </w:r>
      <w:r>
        <w:t xml:space="preserve"> </w:t>
      </w:r>
      <w:r>
        <w:t xml:space="preserve">= (0,25 ; 0,10 ; 0,20 ; 0,10 ; 0,15 ; 0,20), nous obtenons par exemple pour A1 :</w:t>
      </w:r>
    </w:p>
    <w:p>
      <w:pPr>
        <w:pStyle w:val="BlockText"/>
      </w:pPr>
      <w:r>
        <w:t xml:space="preserve">g(A1) = 0,25 × 100 + 0,10 × 100 + 0,20 × 100 + 0,10 × 0 + 0,15 × 50 + 0,20 × 25 =</w:t>
      </w:r>
      <w:r>
        <w:t xml:space="preserve"> </w:t>
      </w:r>
      <w:r>
        <w:rPr>
          <w:bCs/>
          <w:b/>
        </w:rPr>
        <w:t xml:space="preserve">67,50</w:t>
      </w:r>
    </w:p>
    <w:p>
      <w:pPr>
        <w:pStyle w:val="FirstParagraph"/>
      </w:pPr>
      <w:r>
        <w:t xml:space="preserve">et pour A7 :</w:t>
      </w:r>
    </w:p>
    <w:p>
      <w:pPr>
        <w:pStyle w:val="BlockText"/>
      </w:pPr>
      <w:r>
        <w:t xml:space="preserve">g(A7) = 0,25 × 0 + 0,10 × 0 + 0,20 × 81,8 + 0,10 × 100 + 0,15 × 100 + 0,20 × 100 =</w:t>
      </w:r>
      <w:r>
        <w:t xml:space="preserve"> </w:t>
      </w:r>
      <w:r>
        <w:rPr>
          <w:bCs/>
          <w:b/>
        </w:rPr>
        <w:t xml:space="preserve">61,36</w:t>
      </w:r>
    </w:p>
    <w:p>
      <w:pPr>
        <w:pStyle w:val="FirstParagraph"/>
      </w:pPr>
      <w:r>
        <w:rPr>
          <w:bCs/>
          <w:b/>
        </w:rPr>
        <w:t xml:space="preserve">Résultats complets</w:t>
      </w:r>
      <w:r>
        <w:t xml:space="preserve"> </w:t>
      </w:r>
      <w:r>
        <w:t xml:space="preserve">(triés du meilleur au pire) :</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Rang</w:t>
            </w:r>
          </w:p>
        </w:tc>
        <w:tc>
          <w:tcPr/>
          <w:p>
            <w:pPr>
              <w:pStyle w:val="Compact"/>
              <w:jc w:val="left"/>
            </w:pPr>
            <w:r>
              <w:t xml:space="preserve">École</w:t>
            </w:r>
          </w:p>
        </w:tc>
        <w:tc>
          <w:tcPr/>
          <w:p>
            <w:pPr>
              <w:pStyle w:val="Compact"/>
              <w:jc w:val="left"/>
            </w:pPr>
            <w:r>
              <w:t xml:space="preserve">Score</w:t>
            </w:r>
          </w:p>
        </w:tc>
      </w:tr>
      <w:tr>
        <w:tc>
          <w:tcPr/>
          <w:p>
            <w:pPr>
              <w:pStyle w:val="Compact"/>
              <w:jc w:val="left"/>
            </w:pPr>
            <w:r>
              <w:t xml:space="preserve">1</w:t>
            </w:r>
          </w:p>
        </w:tc>
        <w:tc>
          <w:tcPr/>
          <w:p>
            <w:pPr>
              <w:pStyle w:val="Compact"/>
              <w:jc w:val="left"/>
            </w:pPr>
            <w:r>
              <w:t xml:space="preserve">A1 Polytechnique</w:t>
            </w:r>
          </w:p>
        </w:tc>
        <w:tc>
          <w:tcPr/>
          <w:p>
            <w:pPr>
              <w:pStyle w:val="Compact"/>
              <w:jc w:val="left"/>
            </w:pPr>
            <w:r>
              <w:t xml:space="preserve">67,50</w:t>
            </w:r>
          </w:p>
        </w:tc>
      </w:tr>
      <w:tr>
        <w:tc>
          <w:tcPr/>
          <w:p>
            <w:pPr>
              <w:pStyle w:val="Compact"/>
              <w:jc w:val="left"/>
            </w:pPr>
            <w:r>
              <w:t xml:space="preserve">2</w:t>
            </w:r>
          </w:p>
        </w:tc>
        <w:tc>
          <w:tcPr/>
          <w:p>
            <w:pPr>
              <w:pStyle w:val="Compact"/>
              <w:jc w:val="left"/>
            </w:pPr>
            <w:r>
              <w:t xml:space="preserve">A7 INSA Lyon</w:t>
            </w:r>
          </w:p>
        </w:tc>
        <w:tc>
          <w:tcPr/>
          <w:p>
            <w:pPr>
              <w:pStyle w:val="Compact"/>
              <w:jc w:val="left"/>
            </w:pPr>
            <w:r>
              <w:t xml:space="preserve">61,36</w:t>
            </w:r>
          </w:p>
        </w:tc>
      </w:tr>
      <w:tr>
        <w:tc>
          <w:tcPr/>
          <w:p>
            <w:pPr>
              <w:pStyle w:val="Compact"/>
              <w:jc w:val="left"/>
            </w:pPr>
            <w:r>
              <w:t xml:space="preserve">3</w:t>
            </w:r>
          </w:p>
        </w:tc>
        <w:tc>
          <w:tcPr/>
          <w:p>
            <w:pPr>
              <w:pStyle w:val="Compact"/>
              <w:jc w:val="left"/>
            </w:pPr>
            <w:r>
              <w:t xml:space="preserve">A2 CentraleSupélec</w:t>
            </w:r>
          </w:p>
        </w:tc>
        <w:tc>
          <w:tcPr/>
          <w:p>
            <w:pPr>
              <w:pStyle w:val="Compact"/>
              <w:jc w:val="left"/>
            </w:pPr>
            <w:r>
              <w:t xml:space="preserve">51,82</w:t>
            </w:r>
          </w:p>
        </w:tc>
      </w:tr>
      <w:tr>
        <w:tc>
          <w:tcPr/>
          <w:p>
            <w:pPr>
              <w:pStyle w:val="Compact"/>
              <w:jc w:val="left"/>
            </w:pPr>
            <w:r>
              <w:t xml:space="preserve">4</w:t>
            </w:r>
          </w:p>
        </w:tc>
        <w:tc>
          <w:tcPr/>
          <w:p>
            <w:pPr>
              <w:pStyle w:val="Compact"/>
              <w:jc w:val="left"/>
            </w:pPr>
            <w:r>
              <w:t xml:space="preserve">A8 UTC</w:t>
            </w:r>
          </w:p>
        </w:tc>
        <w:tc>
          <w:tcPr/>
          <w:p>
            <w:pPr>
              <w:pStyle w:val="Compact"/>
              <w:jc w:val="left"/>
            </w:pPr>
            <w:r>
              <w:t xml:space="preserve">46,68</w:t>
            </w:r>
          </w:p>
        </w:tc>
      </w:tr>
      <w:tr>
        <w:tc>
          <w:tcPr/>
          <w:p>
            <w:pPr>
              <w:pStyle w:val="Compact"/>
              <w:jc w:val="left"/>
            </w:pPr>
            <w:r>
              <w:t xml:space="preserve">5</w:t>
            </w:r>
          </w:p>
        </w:tc>
        <w:tc>
          <w:tcPr/>
          <w:p>
            <w:pPr>
              <w:pStyle w:val="Compact"/>
              <w:jc w:val="left"/>
            </w:pPr>
            <w:r>
              <w:t xml:space="preserve">A10 Arts et Métiers</w:t>
            </w:r>
          </w:p>
        </w:tc>
        <w:tc>
          <w:tcPr/>
          <w:p>
            <w:pPr>
              <w:pStyle w:val="Compact"/>
              <w:jc w:val="left"/>
            </w:pPr>
            <w:r>
              <w:t xml:space="preserve">44,96</w:t>
            </w:r>
          </w:p>
        </w:tc>
      </w:tr>
      <w:tr>
        <w:tc>
          <w:tcPr/>
          <w:p>
            <w:pPr>
              <w:pStyle w:val="Compact"/>
              <w:jc w:val="left"/>
            </w:pPr>
            <w:r>
              <w:t xml:space="preserve">6</w:t>
            </w:r>
          </w:p>
        </w:tc>
        <w:tc>
          <w:tcPr/>
          <w:p>
            <w:pPr>
              <w:pStyle w:val="Compact"/>
              <w:jc w:val="left"/>
            </w:pPr>
            <w:r>
              <w:t xml:space="preserve">A5 Télécom Paris</w:t>
            </w:r>
          </w:p>
        </w:tc>
        <w:tc>
          <w:tcPr/>
          <w:p>
            <w:pPr>
              <w:pStyle w:val="Compact"/>
              <w:jc w:val="left"/>
            </w:pPr>
            <w:r>
              <w:t xml:space="preserve">37,28</w:t>
            </w:r>
          </w:p>
        </w:tc>
      </w:tr>
      <w:tr>
        <w:tc>
          <w:tcPr/>
          <w:p>
            <w:pPr>
              <w:pStyle w:val="Compact"/>
              <w:jc w:val="left"/>
            </w:pPr>
            <w:r>
              <w:t xml:space="preserve">7</w:t>
            </w:r>
          </w:p>
        </w:tc>
        <w:tc>
          <w:tcPr/>
          <w:p>
            <w:pPr>
              <w:pStyle w:val="Compact"/>
              <w:jc w:val="left"/>
            </w:pPr>
            <w:r>
              <w:t xml:space="preserve">A9 IMT Atlantique</w:t>
            </w:r>
          </w:p>
        </w:tc>
        <w:tc>
          <w:tcPr/>
          <w:p>
            <w:pPr>
              <w:pStyle w:val="Compact"/>
              <w:jc w:val="left"/>
            </w:pPr>
            <w:r>
              <w:t xml:space="preserve">35,10</w:t>
            </w:r>
          </w:p>
        </w:tc>
      </w:tr>
      <w:tr>
        <w:tc>
          <w:tcPr/>
          <w:p>
            <w:pPr>
              <w:pStyle w:val="Compact"/>
              <w:jc w:val="left"/>
            </w:pPr>
            <w:r>
              <w:t xml:space="preserve">8</w:t>
            </w:r>
          </w:p>
        </w:tc>
        <w:tc>
          <w:tcPr/>
          <w:p>
            <w:pPr>
              <w:pStyle w:val="Compact"/>
              <w:jc w:val="left"/>
            </w:pPr>
            <w:r>
              <w:t xml:space="preserve">A4 ENSTA Paris</w:t>
            </w:r>
          </w:p>
        </w:tc>
        <w:tc>
          <w:tcPr/>
          <w:p>
            <w:pPr>
              <w:pStyle w:val="Compact"/>
              <w:jc w:val="left"/>
            </w:pPr>
            <w:r>
              <w:t xml:space="preserve">29,06</w:t>
            </w:r>
          </w:p>
        </w:tc>
      </w:tr>
      <w:tr>
        <w:tc>
          <w:tcPr/>
          <w:p>
            <w:pPr>
              <w:pStyle w:val="Compact"/>
              <w:jc w:val="left"/>
            </w:pPr>
            <w:r>
              <w:t xml:space="preserve">9</w:t>
            </w:r>
          </w:p>
        </w:tc>
        <w:tc>
          <w:tcPr/>
          <w:p>
            <w:pPr>
              <w:pStyle w:val="Compact"/>
              <w:jc w:val="left"/>
            </w:pPr>
            <w:r>
              <w:t xml:space="preserve">A3 Mines Paris</w:t>
            </w:r>
          </w:p>
        </w:tc>
        <w:tc>
          <w:tcPr/>
          <w:p>
            <w:pPr>
              <w:pStyle w:val="Compact"/>
              <w:jc w:val="left"/>
            </w:pPr>
            <w:r>
              <w:t xml:space="preserve">27,96</w:t>
            </w:r>
          </w:p>
        </w:tc>
      </w:tr>
      <w:tr>
        <w:tc>
          <w:tcPr/>
          <w:p>
            <w:pPr>
              <w:pStyle w:val="Compact"/>
              <w:jc w:val="left"/>
            </w:pPr>
            <w:r>
              <w:t xml:space="preserve">10</w:t>
            </w:r>
          </w:p>
        </w:tc>
        <w:tc>
          <w:tcPr/>
          <w:p>
            <w:pPr>
              <w:pStyle w:val="Compact"/>
              <w:jc w:val="left"/>
            </w:pPr>
            <w:r>
              <w:t xml:space="preserve">A6 ENPC</w:t>
            </w:r>
          </w:p>
        </w:tc>
        <w:tc>
          <w:tcPr/>
          <w:p>
            <w:pPr>
              <w:pStyle w:val="Compact"/>
              <w:jc w:val="left"/>
            </w:pPr>
            <w:r>
              <w:t xml:space="preserve">21,01</w:t>
            </w:r>
          </w:p>
        </w:tc>
      </w:tr>
    </w:tbl>
    <w:p>
      <w:pPr>
        <w:pStyle w:val="BodyText"/>
      </w:pPr>
      <w:r>
        <w:rPr>
          <w:bCs/>
          <w:b/>
        </w:rPr>
        <w:t xml:space="preserve">Analyse.</w:t>
      </w:r>
      <w:r>
        <w:t xml:space="preserve"> </w:t>
      </w:r>
      <w:r>
        <w:t xml:space="preserve">Polytechnique arrive en tête grâce à un cumul d’excellence sur les critères les plus pondérés (salaire 0,25 + coût 0,20 + emploi 0,10 = 55 % du poids total, tous à 100). Son score faible sur la diversité sociale (0) et moyen en vie asso (25) sont</w:t>
      </w:r>
      <w:r>
        <w:t xml:space="preserve"> </w:t>
      </w:r>
      <w:r>
        <w:rPr>
          <w:iCs/>
          <w:i/>
        </w:rPr>
        <w:t xml:space="preserve">compensés mathématiquement</w:t>
      </w:r>
      <w:r>
        <w:t xml:space="preserve"> </w:t>
      </w:r>
      <w:r>
        <w:t xml:space="preserve">par ces forces.</w:t>
      </w:r>
    </w:p>
    <w:p>
      <w:pPr>
        <w:pStyle w:val="BodyText"/>
      </w:pPr>
      <w:r>
        <w:t xml:space="preserve">INSA Lyon arrive en deuxième position, ce qui peut surprendre face à Polytechnique. C’est une conséquence directe du profil de notre décideur : il valorise la vie asso et la diversité sociale (40 % du poids cumulé), critères sur lesquels INSA domine. La somme pondérée traduit fidèlement ce système de valeurs.</w:t>
      </w:r>
    </w:p>
    <w:p>
      <w:pPr>
        <w:pStyle w:val="BodyText"/>
      </w:pPr>
      <w:r>
        <w:rPr>
          <w:bCs/>
          <w:b/>
        </w:rPr>
        <w:t xml:space="preserve">Le piège classique de la compensation est visible</w:t>
      </w:r>
      <w:r>
        <w:t xml:space="preserve"> </w:t>
      </w:r>
      <w:r>
        <w:t xml:space="preserve">: Mines Paris arrive 9ème malgré son prestige et son salaire élevé. Son coût (11 550 €), pénalisé sur u3 = 0, et sa vie asso médiocre (u6 = 0) ne sont pas compensés par les autres critères. C’est cohérent avec le profil du décideur.</w:t>
      </w:r>
    </w:p>
    <w:bookmarkEnd w:id="32"/>
    <w:bookmarkStart w:id="33" w:name="méthode-2-owa-ordered-weighted-average"/>
    <w:p>
      <w:pPr>
        <w:pStyle w:val="Heading3"/>
      </w:pPr>
      <w:r>
        <w:t xml:space="preserve">3.2 Méthode 2 — OWA (Ordered Weighted Average)</w:t>
      </w:r>
    </w:p>
    <w:p>
      <w:pPr>
        <w:pStyle w:val="FirstParagraph"/>
      </w:pPr>
      <w:r>
        <w:rPr>
          <w:bCs/>
          <w:b/>
        </w:rPr>
        <w:t xml:space="preserve">Principe.</w:t>
      </w:r>
      <w:r>
        <w:t xml:space="preserve"> </w:t>
      </w:r>
      <w:r>
        <w:t xml:space="preserve">L’OWA est une généralisation de la somme pondérée où les poids sont attachés au</w:t>
      </w:r>
      <w:r>
        <w:t xml:space="preserve"> </w:t>
      </w:r>
      <w:r>
        <w:rPr>
          <w:bCs/>
          <w:b/>
        </w:rPr>
        <w:t xml:space="preserve">rang</w:t>
      </w:r>
      <w:r>
        <w:t xml:space="preserve"> </w:t>
      </w:r>
      <w:r>
        <w:t xml:space="preserve">des utilités et non aux critères. On trie pour chaque alternative ses utilités par ordre décroissant</w:t>
      </w:r>
      <w:r>
        <w:t xml:space="preserve"> </w:t>
      </w:r>
      <w:r>
        <w:rPr>
          <w:iCs/>
          <w:i/>
        </w:rPr>
        <w:t xml:space="preserve">u(1) ≥ u(2) ≥ … ≥ u(p)</w:t>
      </w:r>
      <w:r>
        <w:t xml:space="preserve">, puis :</w:t>
      </w:r>
    </w:p>
    <w:p>
      <w:pPr>
        <w:pStyle w:val="BlockText"/>
      </w:pPr>
      <w:r>
        <w:t xml:space="preserve">OWA(a) = Σₖ Wₖ · u(k)(a)</w:t>
      </w:r>
    </w:p>
    <w:p>
      <w:pPr>
        <w:pStyle w:val="FirstParagraph"/>
      </w:pPr>
      <w:r>
        <w:t xml:space="preserve">Le choix du vecteur</w:t>
      </w:r>
      <w:r>
        <w:t xml:space="preserve"> </w:t>
      </w:r>
      <w:r>
        <w:rPr>
          <w:iCs/>
          <w:i/>
        </w:rPr>
        <w:t xml:space="preserve">W</w:t>
      </w:r>
      <w:r>
        <w:t xml:space="preserve"> </w:t>
      </w:r>
      <w:r>
        <w:t xml:space="preserve">contrôle l’attitude face au risque :</w:t>
      </w:r>
      <w:r>
        <w:t xml:space="preserve"> </w:t>
      </w:r>
      <w:r>
        <w:rPr>
          <w:iCs/>
          <w:i/>
        </w:rPr>
        <w:t xml:space="preserve">W</w:t>
      </w:r>
      <w:r>
        <w:t xml:space="preserve"> </w:t>
      </w:r>
      <w:r>
        <w:t xml:space="preserve">concentré sur les premiers rangs = optimiste ; concentré sur les derniers rangs = pessimiste. Avec</w:t>
      </w:r>
      <w:r>
        <w:t xml:space="preserve"> </w:t>
      </w:r>
      <w:r>
        <w:rPr>
          <w:iCs/>
          <w:i/>
        </w:rPr>
        <w:t xml:space="preserve">W</w:t>
      </w:r>
      <w:r>
        <w:t xml:space="preserve"> </w:t>
      </w:r>
      <w:r>
        <w:t xml:space="preserve">uniforme on retrouve la moyenne arithmétique.</w:t>
      </w:r>
    </w:p>
    <w:p>
      <w:pPr>
        <w:pStyle w:val="BodyText"/>
      </w:pPr>
      <w:r>
        <w:rPr>
          <w:bCs/>
          <w:b/>
        </w:rPr>
        <w:t xml:space="preserve">Application.</w:t>
      </w:r>
      <w:r>
        <w:t xml:space="preserve"> </w:t>
      </w:r>
      <w:r>
        <w:t xml:space="preserve">Nous retenons</w:t>
      </w:r>
      <w:r>
        <w:t xml:space="preserve"> </w:t>
      </w:r>
      <w:r>
        <w:rPr>
          <w:iCs/>
          <w:i/>
        </w:rPr>
        <w:t xml:space="preserve">W</w:t>
      </w:r>
      <w:r>
        <w:t xml:space="preserve"> </w:t>
      </w:r>
      <w:r>
        <w:t xml:space="preserve">= (0,05 ; 0,15 ; 0,20 ; 0,20 ; 0,20 ; 0,20), légèrement pessimiste : le meilleur critère ne pèse que 0,05 (volonté de ne pas être ébloui par un point fort isolé), tandis que les rangs intermédiaires et bas sont survalorisés (force de l’équilibre).</w:t>
      </w:r>
    </w:p>
    <w:p>
      <w:pPr>
        <w:pStyle w:val="BodyText"/>
      </w:pPr>
      <w:r>
        <w:t xml:space="preserve">Pour A1, les utilités triées en décroissant sont (100 ; 100 ; 100 ; 50 ; 25 ; 0). On a :</w:t>
      </w:r>
    </w:p>
    <w:p>
      <w:pPr>
        <w:pStyle w:val="BlockText"/>
      </w:pPr>
      <w:r>
        <w:t xml:space="preserve">OWA(A1) = 0,05 × 100 + 0,15 × 100 + 0,20 × 100 + 0,20 × 50 + 0,20 × 25 + 0,20 × 0 =</w:t>
      </w:r>
      <w:r>
        <w:t xml:space="preserve"> </w:t>
      </w:r>
      <w:r>
        <w:rPr>
          <w:bCs/>
          <w:b/>
        </w:rPr>
        <w:t xml:space="preserve">55,00</w:t>
      </w:r>
    </w:p>
    <w:p>
      <w:pPr>
        <w:pStyle w:val="FirstParagraph"/>
      </w:pPr>
      <w:r>
        <w:rPr>
          <w:bCs/>
          <w:b/>
        </w:rPr>
        <w:t xml:space="preserve">Résultats complets</w:t>
      </w:r>
      <w:r>
        <w:t xml:space="preserve"> </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Rang</w:t>
            </w:r>
          </w:p>
        </w:tc>
        <w:tc>
          <w:tcPr/>
          <w:p>
            <w:pPr>
              <w:pStyle w:val="Compact"/>
              <w:jc w:val="left"/>
            </w:pPr>
            <w:r>
              <w:t xml:space="preserve">École</w:t>
            </w:r>
          </w:p>
        </w:tc>
        <w:tc>
          <w:tcPr/>
          <w:p>
            <w:pPr>
              <w:pStyle w:val="Compact"/>
              <w:jc w:val="left"/>
            </w:pPr>
            <w:r>
              <w:t xml:space="preserve">Score</w:t>
            </w:r>
          </w:p>
        </w:tc>
      </w:tr>
      <w:tr>
        <w:tc>
          <w:tcPr/>
          <w:p>
            <w:pPr>
              <w:pStyle w:val="Compact"/>
              <w:jc w:val="left"/>
            </w:pPr>
            <w:r>
              <w:t xml:space="preserve">1</w:t>
            </w:r>
          </w:p>
        </w:tc>
        <w:tc>
          <w:tcPr/>
          <w:p>
            <w:pPr>
              <w:pStyle w:val="Compact"/>
              <w:jc w:val="left"/>
            </w:pPr>
            <w:r>
              <w:t xml:space="preserve">A7 INSA Lyon</w:t>
            </w:r>
          </w:p>
        </w:tc>
        <w:tc>
          <w:tcPr/>
          <w:p>
            <w:pPr>
              <w:pStyle w:val="Compact"/>
              <w:jc w:val="left"/>
            </w:pPr>
            <w:r>
              <w:t xml:space="preserve">56,36</w:t>
            </w:r>
          </w:p>
        </w:tc>
      </w:tr>
      <w:tr>
        <w:tc>
          <w:tcPr/>
          <w:p>
            <w:pPr>
              <w:pStyle w:val="Compact"/>
              <w:jc w:val="left"/>
            </w:pPr>
            <w:r>
              <w:t xml:space="preserve">2</w:t>
            </w:r>
          </w:p>
        </w:tc>
        <w:tc>
          <w:tcPr/>
          <w:p>
            <w:pPr>
              <w:pStyle w:val="Compact"/>
              <w:jc w:val="left"/>
            </w:pPr>
            <w:r>
              <w:t xml:space="preserve">A1 Polytechnique</w:t>
            </w:r>
          </w:p>
        </w:tc>
        <w:tc>
          <w:tcPr/>
          <w:p>
            <w:pPr>
              <w:pStyle w:val="Compact"/>
              <w:jc w:val="left"/>
            </w:pPr>
            <w:r>
              <w:t xml:space="preserve">55,00</w:t>
            </w:r>
          </w:p>
        </w:tc>
      </w:tr>
      <w:tr>
        <w:tc>
          <w:tcPr/>
          <w:p>
            <w:pPr>
              <w:pStyle w:val="Compact"/>
              <w:jc w:val="left"/>
            </w:pPr>
            <w:r>
              <w:t xml:space="preserve">3</w:t>
            </w:r>
          </w:p>
        </w:tc>
        <w:tc>
          <w:tcPr/>
          <w:p>
            <w:pPr>
              <w:pStyle w:val="Compact"/>
              <w:jc w:val="left"/>
            </w:pPr>
            <w:r>
              <w:t xml:space="preserve">A2 CentraleSupélec</w:t>
            </w:r>
          </w:p>
        </w:tc>
        <w:tc>
          <w:tcPr/>
          <w:p>
            <w:pPr>
              <w:pStyle w:val="Compact"/>
              <w:jc w:val="left"/>
            </w:pPr>
            <w:r>
              <w:t xml:space="preserve">46,07</w:t>
            </w:r>
          </w:p>
        </w:tc>
      </w:tr>
      <w:tr>
        <w:tc>
          <w:tcPr/>
          <w:p>
            <w:pPr>
              <w:pStyle w:val="Compact"/>
              <w:jc w:val="left"/>
            </w:pPr>
            <w:r>
              <w:t xml:space="preserve">4</w:t>
            </w:r>
          </w:p>
        </w:tc>
        <w:tc>
          <w:tcPr/>
          <w:p>
            <w:pPr>
              <w:pStyle w:val="Compact"/>
              <w:jc w:val="left"/>
            </w:pPr>
            <w:r>
              <w:t xml:space="preserve">A10 Arts et Métiers</w:t>
            </w:r>
          </w:p>
        </w:tc>
        <w:tc>
          <w:tcPr/>
          <w:p>
            <w:pPr>
              <w:pStyle w:val="Compact"/>
              <w:jc w:val="left"/>
            </w:pPr>
            <w:r>
              <w:t xml:space="preserve">38,79</w:t>
            </w:r>
          </w:p>
        </w:tc>
      </w:tr>
      <w:tr>
        <w:tc>
          <w:tcPr/>
          <w:p>
            <w:pPr>
              <w:pStyle w:val="Compact"/>
              <w:jc w:val="left"/>
            </w:pPr>
            <w:r>
              <w:t xml:space="preserve">5</w:t>
            </w:r>
          </w:p>
        </w:tc>
        <w:tc>
          <w:tcPr/>
          <w:p>
            <w:pPr>
              <w:pStyle w:val="Compact"/>
              <w:jc w:val="left"/>
            </w:pPr>
            <w:r>
              <w:t xml:space="preserve">A8 UTC</w:t>
            </w:r>
          </w:p>
        </w:tc>
        <w:tc>
          <w:tcPr/>
          <w:p>
            <w:pPr>
              <w:pStyle w:val="Compact"/>
              <w:jc w:val="left"/>
            </w:pPr>
            <w:r>
              <w:t xml:space="preserve">37,33</w:t>
            </w:r>
          </w:p>
        </w:tc>
      </w:tr>
      <w:tr>
        <w:tc>
          <w:tcPr/>
          <w:p>
            <w:pPr>
              <w:pStyle w:val="Compact"/>
              <w:jc w:val="left"/>
            </w:pPr>
            <w:r>
              <w:t xml:space="preserve">6</w:t>
            </w:r>
          </w:p>
        </w:tc>
        <w:tc>
          <w:tcPr/>
          <w:p>
            <w:pPr>
              <w:pStyle w:val="Compact"/>
              <w:jc w:val="left"/>
            </w:pPr>
            <w:r>
              <w:t xml:space="preserve">A5 Télécom Paris</w:t>
            </w:r>
          </w:p>
        </w:tc>
        <w:tc>
          <w:tcPr/>
          <w:p>
            <w:pPr>
              <w:pStyle w:val="Compact"/>
              <w:jc w:val="left"/>
            </w:pPr>
            <w:r>
              <w:t xml:space="preserve">35,85</w:t>
            </w:r>
          </w:p>
        </w:tc>
      </w:tr>
      <w:tr>
        <w:tc>
          <w:tcPr/>
          <w:p>
            <w:pPr>
              <w:pStyle w:val="Compact"/>
              <w:jc w:val="left"/>
            </w:pPr>
            <w:r>
              <w:t xml:space="preserve">7</w:t>
            </w:r>
          </w:p>
        </w:tc>
        <w:tc>
          <w:tcPr/>
          <w:p>
            <w:pPr>
              <w:pStyle w:val="Compact"/>
              <w:jc w:val="left"/>
            </w:pPr>
            <w:r>
              <w:t xml:space="preserve">A9 IMT Atlantique</w:t>
            </w:r>
          </w:p>
        </w:tc>
        <w:tc>
          <w:tcPr/>
          <w:p>
            <w:pPr>
              <w:pStyle w:val="Compact"/>
              <w:jc w:val="left"/>
            </w:pPr>
            <w:r>
              <w:t xml:space="preserve">33,40</w:t>
            </w:r>
          </w:p>
        </w:tc>
      </w:tr>
      <w:tr>
        <w:tc>
          <w:tcPr/>
          <w:p>
            <w:pPr>
              <w:pStyle w:val="Compact"/>
              <w:jc w:val="left"/>
            </w:pPr>
            <w:r>
              <w:t xml:space="preserve">8</w:t>
            </w:r>
          </w:p>
        </w:tc>
        <w:tc>
          <w:tcPr/>
          <w:p>
            <w:pPr>
              <w:pStyle w:val="Compact"/>
              <w:jc w:val="left"/>
            </w:pPr>
            <w:r>
              <w:t xml:space="preserve">A4 ENSTA Paris</w:t>
            </w:r>
          </w:p>
        </w:tc>
        <w:tc>
          <w:tcPr/>
          <w:p>
            <w:pPr>
              <w:pStyle w:val="Compact"/>
              <w:jc w:val="left"/>
            </w:pPr>
            <w:r>
              <w:t xml:space="preserve">26,95</w:t>
            </w:r>
          </w:p>
        </w:tc>
      </w:tr>
      <w:tr>
        <w:tc>
          <w:tcPr/>
          <w:p>
            <w:pPr>
              <w:pStyle w:val="Compact"/>
              <w:jc w:val="left"/>
            </w:pPr>
            <w:r>
              <w:t xml:space="preserve">9</w:t>
            </w:r>
          </w:p>
        </w:tc>
        <w:tc>
          <w:tcPr/>
          <w:p>
            <w:pPr>
              <w:pStyle w:val="Compact"/>
              <w:jc w:val="left"/>
            </w:pPr>
            <w:r>
              <w:t xml:space="preserve">A3 Mines Paris</w:t>
            </w:r>
          </w:p>
        </w:tc>
        <w:tc>
          <w:tcPr/>
          <w:p>
            <w:pPr>
              <w:pStyle w:val="Compact"/>
              <w:jc w:val="left"/>
            </w:pPr>
            <w:r>
              <w:t xml:space="preserve">21,88</w:t>
            </w:r>
          </w:p>
        </w:tc>
      </w:tr>
      <w:tr>
        <w:tc>
          <w:tcPr/>
          <w:p>
            <w:pPr>
              <w:pStyle w:val="Compact"/>
              <w:jc w:val="left"/>
            </w:pPr>
            <w:r>
              <w:t xml:space="preserve">10</w:t>
            </w:r>
          </w:p>
        </w:tc>
        <w:tc>
          <w:tcPr/>
          <w:p>
            <w:pPr>
              <w:pStyle w:val="Compact"/>
              <w:jc w:val="left"/>
            </w:pPr>
            <w:r>
              <w:t xml:space="preserve">A6 ENPC</w:t>
            </w:r>
          </w:p>
        </w:tc>
        <w:tc>
          <w:tcPr/>
          <w:p>
            <w:pPr>
              <w:pStyle w:val="Compact"/>
              <w:jc w:val="left"/>
            </w:pPr>
            <w:r>
              <w:t xml:space="preserve">17,29</w:t>
            </w:r>
          </w:p>
        </w:tc>
      </w:tr>
    </w:tbl>
    <w:p>
      <w:pPr>
        <w:pStyle w:val="BodyText"/>
      </w:pPr>
      <w:r>
        <w:rPr>
          <w:bCs/>
          <w:b/>
        </w:rPr>
        <w:t xml:space="preserve">Analyse.</w:t>
      </w:r>
      <w:r>
        <w:t xml:space="preserve"> </w:t>
      </w:r>
      <w:r>
        <w:t xml:space="preserve">Le passage de la somme pondérée à l’OWA fait basculer A7 (INSA Lyon) devant A1 (Polytechnique). C’est attendu : A1 a un point faible marqué (u4 = 0) que l’OWA pénalise davantage que la somme pondérée. INSA, plus homogène (toutes ses utilités sont soit ≥ 81,8 soit = 0 sur deux critères), s’en sort mieux.</w:t>
      </w:r>
    </w:p>
    <w:p>
      <w:pPr>
        <w:pStyle w:val="BodyText"/>
      </w:pPr>
      <w:r>
        <w:t xml:space="preserve">Cette inversion est un point d’analyse important :</w:t>
      </w:r>
      <w:r>
        <w:t xml:space="preserve"> </w:t>
      </w:r>
      <w:r>
        <w:rPr>
          <w:bCs/>
          <w:b/>
        </w:rPr>
        <w:t xml:space="preserve">le rang dépend de l’attitude face au risque</w:t>
      </w:r>
      <w:r>
        <w:t xml:space="preserve">. Un décideur prudent privilégiera INSA, un décideur orienté excellence privilégiera Polytechnique. La méthode ne tranche pas — elle expose le compromis.</w:t>
      </w:r>
    </w:p>
    <w:bookmarkEnd w:id="33"/>
    <w:bookmarkStart w:id="34" w:name="X19ec6bbe2a70280880828f2dde13a21508d72d6"/>
    <w:p>
      <w:pPr>
        <w:pStyle w:val="Heading3"/>
      </w:pPr>
      <w:r>
        <w:t xml:space="preserve">3.3 Méthode 3 — Intégrale de Choquet (2-additive)</w:t>
      </w:r>
    </w:p>
    <w:p>
      <w:pPr>
        <w:pStyle w:val="FirstParagraph"/>
      </w:pPr>
      <w:r>
        <w:rPr>
          <w:bCs/>
          <w:b/>
        </w:rPr>
        <w:t xml:space="preserve">Principe.</w:t>
      </w:r>
      <w:r>
        <w:t xml:space="preserve"> </w:t>
      </w:r>
      <w:r>
        <w:t xml:space="preserve">L’intégrale de Choquet généralise la somme pondérée en modélisant des interactions entre critères. Au lieu de définir un poids par critère, on définit une</w:t>
      </w:r>
      <w:r>
        <w:t xml:space="preserve"> </w:t>
      </w:r>
      <w:r>
        <w:rPr>
          <w:iCs/>
          <w:i/>
        </w:rPr>
        <w:t xml:space="preserve">capacité</w:t>
      </w:r>
      <w:r>
        <w:t xml:space="preserve"> </w:t>
      </w:r>
      <w:r>
        <w:t xml:space="preserve">μ sur l’ensemble des sous-ensembles de critères, satisfaisant μ(∅) = 0, μ(F) = 1, monotonie. L’intégrale s’écrit :</w:t>
      </w:r>
    </w:p>
    <w:p>
      <w:pPr>
        <w:pStyle w:val="BlockText"/>
      </w:pPr>
      <w:r>
        <w:t xml:space="preserve">Cμ(u) = Σᵢ (u(i) − u(i−1)) · μ(A(i))</w:t>
      </w:r>
    </w:p>
    <w:p>
      <w:pPr>
        <w:pStyle w:val="FirstParagraph"/>
      </w:pPr>
      <w:r>
        <w:t xml:space="preserve">où u(i) est la i-ième plus petite utilité et A(i) est l’ensemble des critères ayant une utilité ≥ u(i).</w:t>
      </w:r>
    </w:p>
    <w:p>
      <w:pPr>
        <w:pStyle w:val="BodyText"/>
      </w:pPr>
      <w:r>
        <w:t xml:space="preserve">Pour rendre l’élicitation maniable, nous utilisons le</w:t>
      </w:r>
      <w:r>
        <w:t xml:space="preserve"> </w:t>
      </w:r>
      <w:r>
        <w:rPr>
          <w:bCs/>
          <w:b/>
        </w:rPr>
        <w:t xml:space="preserve">modèle 2-additif</w:t>
      </w:r>
      <w:r>
        <w:t xml:space="preserve"> </w:t>
      </w:r>
      <w:r>
        <w:t xml:space="preserve">: les interactions de Grabisch ne sont définies que sur les paires. Avec n = 6 critères, cela réduit le nombre de paramètres de 2⁶ − 2 = 62 à 6 valeurs de Shapley + 6×5/2 = 15 paires = 21 paramètres, dont seulement 2 sont non nuls dans notre modélisation :</w:t>
      </w:r>
    </w:p>
    <w:p>
      <w:pPr>
        <w:numPr>
          <w:ilvl w:val="0"/>
          <w:numId w:val="1019"/>
        </w:numPr>
        <w:pStyle w:val="Compact"/>
      </w:pPr>
      <w:r>
        <w:rPr>
          <w:iCs/>
          <w:i/>
        </w:rPr>
        <w:t xml:space="preserve">I(g1, g2)</w:t>
      </w:r>
      <w:r>
        <w:t xml:space="preserve"> </w:t>
      </w:r>
      <w:r>
        <w:t xml:space="preserve">=</w:t>
      </w:r>
      <w:r>
        <w:t xml:space="preserve"> </w:t>
      </w:r>
      <w:r>
        <w:rPr>
          <w:bCs/>
          <w:b/>
        </w:rPr>
        <w:t xml:space="preserve">−0,05</w:t>
      </w:r>
      <w:r>
        <w:t xml:space="preserve"> </w:t>
      </w:r>
      <w:r>
        <w:t xml:space="preserve">(redondance salaire/emploi)</w:t>
      </w:r>
    </w:p>
    <w:p>
      <w:pPr>
        <w:numPr>
          <w:ilvl w:val="0"/>
          <w:numId w:val="1019"/>
        </w:numPr>
        <w:pStyle w:val="Compact"/>
      </w:pPr>
      <w:r>
        <w:rPr>
          <w:iCs/>
          <w:i/>
        </w:rPr>
        <w:t xml:space="preserve">I(g4, g6)</w:t>
      </w:r>
      <w:r>
        <w:t xml:space="preserve"> </w:t>
      </w:r>
      <w:r>
        <w:t xml:space="preserve">=</w:t>
      </w:r>
      <w:r>
        <w:t xml:space="preserve"> </w:t>
      </w:r>
      <w:r>
        <w:rPr>
          <w:bCs/>
          <w:b/>
        </w:rPr>
        <w:t xml:space="preserve">+0,05</w:t>
      </w:r>
      <w:r>
        <w:t xml:space="preserve"> </w:t>
      </w:r>
      <w:r>
        <w:t xml:space="preserve">(synergie diversité sociale / vie asso)</w:t>
      </w:r>
    </w:p>
    <w:p>
      <w:pPr>
        <w:pStyle w:val="FirstParagraph"/>
      </w:pPr>
      <w:r>
        <w:t xml:space="preserve">Toutes les autres interactions sont nulles (φᵢ = wᵢ pour les valeurs de Shapley).</w:t>
      </w:r>
    </w:p>
    <w:p>
      <w:pPr>
        <w:pStyle w:val="BodyText"/>
      </w:pPr>
      <w:r>
        <w:rPr>
          <w:bCs/>
          <w:b/>
        </w:rPr>
        <w:t xml:space="preserve">Application.</w:t>
      </w:r>
      <w:r>
        <w:t xml:space="preserve"> </w:t>
      </w:r>
      <w:r>
        <w:t xml:space="preserve">Le programme construit la capacité μ à partir de ces 21 paramètres via la transformation de Möbius, vérifie qu’elle est bien monotone (μ(S ∪ {j}) ≥ μ(S) pour tout</w:t>
      </w:r>
      <w:r>
        <w:t xml:space="preserve"> </w:t>
      </w:r>
      <w:r>
        <w:rPr>
          <w:iCs/>
          <w:i/>
        </w:rPr>
        <w:t xml:space="preserve">j</w:t>
      </w:r>
      <w:r>
        <w:t xml:space="preserve">), puis calcule l’intégrale pour chaque alternative.</w:t>
      </w:r>
    </w:p>
    <w:p>
      <w:pPr>
        <w:pStyle w:val="BodyText"/>
      </w:pPr>
      <w:r>
        <w:rPr>
          <w:bCs/>
          <w:b/>
        </w:rPr>
        <w:t xml:space="preserve">Résultats complets</w:t>
      </w:r>
      <w:r>
        <w:t xml:space="preserve"> </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Rang</w:t>
            </w:r>
          </w:p>
        </w:tc>
        <w:tc>
          <w:tcPr/>
          <w:p>
            <w:pPr>
              <w:pStyle w:val="Compact"/>
              <w:jc w:val="left"/>
            </w:pPr>
            <w:r>
              <w:t xml:space="preserve">École</w:t>
            </w:r>
          </w:p>
        </w:tc>
        <w:tc>
          <w:tcPr/>
          <w:p>
            <w:pPr>
              <w:pStyle w:val="Compact"/>
              <w:jc w:val="left"/>
            </w:pPr>
            <w:r>
              <w:t xml:space="preserve">Score</w:t>
            </w:r>
          </w:p>
        </w:tc>
      </w:tr>
      <w:tr>
        <w:tc>
          <w:tcPr/>
          <w:p>
            <w:pPr>
              <w:pStyle w:val="Compact"/>
              <w:jc w:val="left"/>
            </w:pPr>
            <w:r>
              <w:t xml:space="preserve">1</w:t>
            </w:r>
          </w:p>
        </w:tc>
        <w:tc>
          <w:tcPr/>
          <w:p>
            <w:pPr>
              <w:pStyle w:val="Compact"/>
              <w:jc w:val="left"/>
            </w:pPr>
            <w:r>
              <w:t xml:space="preserve">A1 Polytechnique</w:t>
            </w:r>
          </w:p>
        </w:tc>
        <w:tc>
          <w:tcPr/>
          <w:p>
            <w:pPr>
              <w:pStyle w:val="Compact"/>
              <w:jc w:val="left"/>
            </w:pPr>
            <w:r>
              <w:t xml:space="preserve">66,88</w:t>
            </w:r>
          </w:p>
        </w:tc>
      </w:tr>
      <w:tr>
        <w:tc>
          <w:tcPr/>
          <w:p>
            <w:pPr>
              <w:pStyle w:val="Compact"/>
              <w:jc w:val="left"/>
            </w:pPr>
            <w:r>
              <w:t xml:space="preserve">2</w:t>
            </w:r>
          </w:p>
        </w:tc>
        <w:tc>
          <w:tcPr/>
          <w:p>
            <w:pPr>
              <w:pStyle w:val="Compact"/>
              <w:jc w:val="left"/>
            </w:pPr>
            <w:r>
              <w:t xml:space="preserve">A7 INSA Lyon</w:t>
            </w:r>
          </w:p>
        </w:tc>
        <w:tc>
          <w:tcPr/>
          <w:p>
            <w:pPr>
              <w:pStyle w:val="Compact"/>
              <w:jc w:val="left"/>
            </w:pPr>
            <w:r>
              <w:t xml:space="preserve">61,36</w:t>
            </w:r>
          </w:p>
        </w:tc>
      </w:tr>
      <w:tr>
        <w:tc>
          <w:tcPr/>
          <w:p>
            <w:pPr>
              <w:pStyle w:val="Compact"/>
              <w:jc w:val="left"/>
            </w:pPr>
            <w:r>
              <w:t xml:space="preserve">3</w:t>
            </w:r>
          </w:p>
        </w:tc>
        <w:tc>
          <w:tcPr/>
          <w:p>
            <w:pPr>
              <w:pStyle w:val="Compact"/>
              <w:jc w:val="left"/>
            </w:pPr>
            <w:r>
              <w:t xml:space="preserve">A2 CentraleSupélec</w:t>
            </w:r>
          </w:p>
        </w:tc>
        <w:tc>
          <w:tcPr/>
          <w:p>
            <w:pPr>
              <w:pStyle w:val="Compact"/>
              <w:jc w:val="left"/>
            </w:pPr>
            <w:r>
              <w:t xml:space="preserve">51,44</w:t>
            </w:r>
          </w:p>
        </w:tc>
      </w:tr>
      <w:tr>
        <w:tc>
          <w:tcPr/>
          <w:p>
            <w:pPr>
              <w:pStyle w:val="Compact"/>
              <w:jc w:val="left"/>
            </w:pPr>
            <w:r>
              <w:t xml:space="preserve">4</w:t>
            </w:r>
          </w:p>
        </w:tc>
        <w:tc>
          <w:tcPr/>
          <w:p>
            <w:pPr>
              <w:pStyle w:val="Compact"/>
              <w:jc w:val="left"/>
            </w:pPr>
            <w:r>
              <w:t xml:space="preserve">A8 UTC</w:t>
            </w:r>
          </w:p>
        </w:tc>
        <w:tc>
          <w:tcPr/>
          <w:p>
            <w:pPr>
              <w:pStyle w:val="Compact"/>
              <w:jc w:val="left"/>
            </w:pPr>
            <w:r>
              <w:t xml:space="preserve">46,64</w:t>
            </w:r>
          </w:p>
        </w:tc>
      </w:tr>
      <w:tr>
        <w:tc>
          <w:tcPr/>
          <w:p>
            <w:pPr>
              <w:pStyle w:val="Compact"/>
              <w:jc w:val="left"/>
            </w:pPr>
            <w:r>
              <w:t xml:space="preserve">5</w:t>
            </w:r>
          </w:p>
        </w:tc>
        <w:tc>
          <w:tcPr/>
          <w:p>
            <w:pPr>
              <w:pStyle w:val="Compact"/>
              <w:jc w:val="left"/>
            </w:pPr>
            <w:r>
              <w:t xml:space="preserve">A10 Arts et Métiers</w:t>
            </w:r>
          </w:p>
        </w:tc>
        <w:tc>
          <w:tcPr/>
          <w:p>
            <w:pPr>
              <w:pStyle w:val="Compact"/>
              <w:jc w:val="left"/>
            </w:pPr>
            <w:r>
              <w:t xml:space="preserve">45,40</w:t>
            </w:r>
          </w:p>
        </w:tc>
      </w:tr>
      <w:tr>
        <w:tc>
          <w:tcPr/>
          <w:p>
            <w:pPr>
              <w:pStyle w:val="Compact"/>
              <w:jc w:val="left"/>
            </w:pPr>
            <w:r>
              <w:t xml:space="preserve">6</w:t>
            </w:r>
          </w:p>
        </w:tc>
        <w:tc>
          <w:tcPr/>
          <w:p>
            <w:pPr>
              <w:pStyle w:val="Compact"/>
              <w:jc w:val="left"/>
            </w:pPr>
            <w:r>
              <w:t xml:space="preserve">A5 Télécom Paris</w:t>
            </w:r>
          </w:p>
        </w:tc>
        <w:tc>
          <w:tcPr/>
          <w:p>
            <w:pPr>
              <w:pStyle w:val="Compact"/>
              <w:jc w:val="left"/>
            </w:pPr>
            <w:r>
              <w:t xml:space="preserve">37,19</w:t>
            </w:r>
          </w:p>
        </w:tc>
      </w:tr>
      <w:tr>
        <w:tc>
          <w:tcPr/>
          <w:p>
            <w:pPr>
              <w:pStyle w:val="Compact"/>
              <w:jc w:val="left"/>
            </w:pPr>
            <w:r>
              <w:t xml:space="preserve">7</w:t>
            </w:r>
          </w:p>
        </w:tc>
        <w:tc>
          <w:tcPr/>
          <w:p>
            <w:pPr>
              <w:pStyle w:val="Compact"/>
              <w:jc w:val="left"/>
            </w:pPr>
            <w:r>
              <w:t xml:space="preserve">A9 IMT Atlantique</w:t>
            </w:r>
          </w:p>
        </w:tc>
        <w:tc>
          <w:tcPr/>
          <w:p>
            <w:pPr>
              <w:pStyle w:val="Compact"/>
              <w:jc w:val="left"/>
            </w:pPr>
            <w:r>
              <w:t xml:space="preserve">34,79</w:t>
            </w:r>
          </w:p>
        </w:tc>
      </w:tr>
      <w:tr>
        <w:tc>
          <w:tcPr/>
          <w:p>
            <w:pPr>
              <w:pStyle w:val="Compact"/>
              <w:jc w:val="left"/>
            </w:pPr>
            <w:r>
              <w:t xml:space="preserve">8</w:t>
            </w:r>
          </w:p>
        </w:tc>
        <w:tc>
          <w:tcPr/>
          <w:p>
            <w:pPr>
              <w:pStyle w:val="Compact"/>
              <w:jc w:val="left"/>
            </w:pPr>
            <w:r>
              <w:t xml:space="preserve">A4 ENSTA Paris</w:t>
            </w:r>
          </w:p>
        </w:tc>
        <w:tc>
          <w:tcPr/>
          <w:p>
            <w:pPr>
              <w:pStyle w:val="Compact"/>
              <w:jc w:val="left"/>
            </w:pPr>
            <w:r>
              <w:t xml:space="preserve">29,11</w:t>
            </w:r>
          </w:p>
        </w:tc>
      </w:tr>
      <w:tr>
        <w:tc>
          <w:tcPr/>
          <w:p>
            <w:pPr>
              <w:pStyle w:val="Compact"/>
              <w:jc w:val="left"/>
            </w:pPr>
            <w:r>
              <w:t xml:space="preserve">9</w:t>
            </w:r>
          </w:p>
        </w:tc>
        <w:tc>
          <w:tcPr/>
          <w:p>
            <w:pPr>
              <w:pStyle w:val="Compact"/>
              <w:jc w:val="left"/>
            </w:pPr>
            <w:r>
              <w:t xml:space="preserve">A3 Mines Paris</w:t>
            </w:r>
          </w:p>
        </w:tc>
        <w:tc>
          <w:tcPr/>
          <w:p>
            <w:pPr>
              <w:pStyle w:val="Compact"/>
              <w:jc w:val="left"/>
            </w:pPr>
            <w:r>
              <w:t xml:space="preserve">28,01</w:t>
            </w:r>
          </w:p>
        </w:tc>
      </w:tr>
      <w:tr>
        <w:tc>
          <w:tcPr/>
          <w:p>
            <w:pPr>
              <w:pStyle w:val="Compact"/>
              <w:jc w:val="left"/>
            </w:pPr>
            <w:r>
              <w:t xml:space="preserve">10</w:t>
            </w:r>
          </w:p>
        </w:tc>
        <w:tc>
          <w:tcPr/>
          <w:p>
            <w:pPr>
              <w:pStyle w:val="Compact"/>
              <w:jc w:val="left"/>
            </w:pPr>
            <w:r>
              <w:t xml:space="preserve">A6 ENPC</w:t>
            </w:r>
          </w:p>
        </w:tc>
        <w:tc>
          <w:tcPr/>
          <w:p>
            <w:pPr>
              <w:pStyle w:val="Compact"/>
              <w:jc w:val="left"/>
            </w:pPr>
            <w:r>
              <w:t xml:space="preserve">20,62</w:t>
            </w:r>
          </w:p>
        </w:tc>
      </w:tr>
    </w:tbl>
    <w:p>
      <w:pPr>
        <w:pStyle w:val="BodyText"/>
      </w:pPr>
      <w:r>
        <w:rPr>
          <w:bCs/>
          <w:b/>
        </w:rPr>
        <w:t xml:space="preserve">Analyse.</w:t>
      </w:r>
      <w:r>
        <w:t xml:space="preserve"> </w:t>
      </w:r>
      <w:r>
        <w:t xml:space="preserve">Le classement Choquet est très proche de celui de la somme pondérée — à un score près (A1 : 66,88 vs 67,50 ; A7 : identique). C’est cohérent avec l’amplitude modérée que nous avons donnée aux interactions (±0,05). Trois observations méritent d’être soulignées :</w:t>
      </w:r>
    </w:p>
    <w:p>
      <w:pPr>
        <w:numPr>
          <w:ilvl w:val="0"/>
          <w:numId w:val="1020"/>
        </w:numPr>
        <w:pStyle w:val="Compact"/>
      </w:pPr>
      <w:r>
        <w:rPr>
          <w:bCs/>
          <w:b/>
        </w:rPr>
        <w:t xml:space="preserve">A1 perd 0,62 point</w:t>
      </w:r>
      <w:r>
        <w:t xml:space="preserve"> </w:t>
      </w:r>
      <w:r>
        <w:t xml:space="preserve">: la redondance entre g1 (salaire = 100) et g2 (emploi = 100) « cannibalise » légèrement son score. C’est l’effet attendu : la somme pondérée double-comptait l’insertion professionnelle.</w:t>
      </w:r>
    </w:p>
    <w:p>
      <w:pPr>
        <w:numPr>
          <w:ilvl w:val="0"/>
          <w:numId w:val="1020"/>
        </w:numPr>
        <w:pStyle w:val="Compact"/>
      </w:pPr>
      <w:r>
        <w:rPr>
          <w:bCs/>
          <w:b/>
        </w:rPr>
        <w:t xml:space="preserve">A2 perd 0,38 point</w:t>
      </w:r>
      <w:r>
        <w:t xml:space="preserve"> </w:t>
      </w:r>
      <w:r>
        <w:t xml:space="preserve">: effet inverse mais plus modéré (g4 = 28,6 ; g6 = 75, donc la synergie joue mais avec un g4 modéré).</w:t>
      </w:r>
    </w:p>
    <w:p>
      <w:pPr>
        <w:numPr>
          <w:ilvl w:val="0"/>
          <w:numId w:val="1020"/>
        </w:numPr>
        <w:pStyle w:val="Compact"/>
      </w:pPr>
      <w:r>
        <w:rPr>
          <w:bCs/>
          <w:b/>
        </w:rPr>
        <w:t xml:space="preserve">A10 (Arts et Métiers) gagne 0,44 point</w:t>
      </w:r>
      <w:r>
        <w:t xml:space="preserve"> </w:t>
      </w:r>
      <w:r>
        <w:t xml:space="preserve">: son couple (g4 = 61,9 ; g6 = 75) bénéficie nettement de la synergie.</w:t>
      </w:r>
    </w:p>
    <w:p>
      <w:pPr>
        <w:pStyle w:val="FirstParagraph"/>
      </w:pPr>
      <w:r>
        <w:t xml:space="preserve">Notre modélisation est délibérément modeste sur l’amplitude des interactions. Un décideur ayant des préférences plus tranchées pourrait fixer</w:t>
      </w:r>
      <w:r>
        <w:t xml:space="preserve"> </w:t>
      </w:r>
      <w:r>
        <w:rPr>
          <w:iCs/>
          <w:i/>
        </w:rPr>
        <w:t xml:space="preserve">|I|</w:t>
      </w:r>
      <w:r>
        <w:t xml:space="preserve"> </w:t>
      </w:r>
      <w:r>
        <w:t xml:space="preserve">≥ 0,10 et observer des inversions plus marquées. Cette modestie est une</w:t>
      </w:r>
      <w:r>
        <w:t xml:space="preserve"> </w:t>
      </w:r>
      <w:r>
        <w:rPr>
          <w:bCs/>
          <w:b/>
        </w:rPr>
        <w:t xml:space="preserve">limite assumée</w:t>
      </w:r>
      <w:r>
        <w:t xml:space="preserve"> </w:t>
      </w:r>
      <w:r>
        <w:t xml:space="preserve">: Choquet montre ici sa cohérence avec la somme pondérée plus qu’une réelle capacité à inverser un classement.</w:t>
      </w:r>
    </w:p>
    <w:bookmarkEnd w:id="34"/>
    <w:bookmarkStart w:id="35" w:name="méthode-4-min-maximin"/>
    <w:p>
      <w:pPr>
        <w:pStyle w:val="Heading3"/>
      </w:pPr>
      <w:r>
        <w:t xml:space="preserve">3.4 Méthode 4 — Min (Maximin)</w:t>
      </w:r>
    </w:p>
    <w:p>
      <w:pPr>
        <w:pStyle w:val="FirstParagraph"/>
      </w:pPr>
      <w:r>
        <w:rPr>
          <w:bCs/>
          <w:b/>
        </w:rPr>
        <w:t xml:space="preserve">Principe.</w:t>
      </w:r>
      <w:r>
        <w:t xml:space="preserve"> </w:t>
      </w:r>
      <w:r>
        <w:t xml:space="preserve">L’opérateur Min retient pour chaque alternative son score d’utilité le plus faible :</w:t>
      </w:r>
    </w:p>
    <w:p>
      <w:pPr>
        <w:pStyle w:val="BlockText"/>
      </w:pPr>
      <w:r>
        <w:t xml:space="preserve">g_min(a) = minⱼ uⱼ(a)</w:t>
      </w:r>
    </w:p>
    <w:p>
      <w:pPr>
        <w:pStyle w:val="FirstParagraph"/>
      </w:pPr>
      <w:r>
        <w:t xml:space="preserve">On maximise ensuite ce min sur</w:t>
      </w:r>
      <w:r>
        <w:t xml:space="preserve"> </w:t>
      </w:r>
      <w:r>
        <w:rPr>
          <w:iCs/>
          <w:i/>
        </w:rPr>
        <w:t xml:space="preserve">A</w:t>
      </w:r>
      <w:r>
        <w:t xml:space="preserve">. Cette méthode incarne la logique pessimiste :</w:t>
      </w:r>
      <w:r>
        <w:t xml:space="preserve"> </w:t>
      </w:r>
      <w:r>
        <w:rPr>
          <w:iCs/>
          <w:i/>
        </w:rPr>
        <w:t xml:space="preserve">« je veux éviter la pire situation, quel que soit le critère »</w:t>
      </w:r>
      <w:r>
        <w:t xml:space="preserve">. Elle est complètement non-compensatoire.</w:t>
      </w:r>
    </w:p>
    <w:p>
      <w:pPr>
        <w:pStyle w:val="BodyText"/>
      </w:pPr>
      <w:r>
        <w:rPr>
          <w:bCs/>
          <w:b/>
        </w:rPr>
        <w:t xml:space="preserve">Résultats complets</w:t>
      </w:r>
      <w:r>
        <w:t xml:space="preserve"> </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Rang</w:t>
            </w:r>
          </w:p>
        </w:tc>
        <w:tc>
          <w:tcPr/>
          <w:p>
            <w:pPr>
              <w:pStyle w:val="Compact"/>
              <w:jc w:val="left"/>
            </w:pPr>
            <w:r>
              <w:t xml:space="preserve">École</w:t>
            </w:r>
          </w:p>
        </w:tc>
        <w:tc>
          <w:tcPr/>
          <w:p>
            <w:pPr>
              <w:pStyle w:val="Compact"/>
              <w:jc w:val="left"/>
            </w:pPr>
            <w:r>
              <w:t xml:space="preserve">Score Min</w:t>
            </w:r>
          </w:p>
        </w:tc>
        <w:tc>
          <w:tcPr/>
          <w:p>
            <w:pPr>
              <w:pStyle w:val="Compact"/>
              <w:jc w:val="left"/>
            </w:pPr>
            <w:r>
              <w:t xml:space="preserve">Critère le plus faible</w:t>
            </w:r>
          </w:p>
        </w:tc>
      </w:tr>
      <w:tr>
        <w:tc>
          <w:tcPr/>
          <w:p>
            <w:pPr>
              <w:pStyle w:val="Compact"/>
              <w:jc w:val="left"/>
            </w:pPr>
            <w:r>
              <w:t xml:space="preserve">1</w:t>
            </w:r>
          </w:p>
        </w:tc>
        <w:tc>
          <w:tcPr/>
          <w:p>
            <w:pPr>
              <w:pStyle w:val="Compact"/>
              <w:jc w:val="left"/>
            </w:pPr>
            <w:r>
              <w:t xml:space="preserve">A5 Télécom Paris</w:t>
            </w:r>
          </w:p>
        </w:tc>
        <w:tc>
          <w:tcPr/>
          <w:p>
            <w:pPr>
              <w:pStyle w:val="Compact"/>
              <w:jc w:val="left"/>
            </w:pPr>
            <w:r>
              <w:t xml:space="preserve">16,9</w:t>
            </w:r>
          </w:p>
        </w:tc>
        <w:tc>
          <w:tcPr/>
          <w:p>
            <w:pPr>
              <w:pStyle w:val="Compact"/>
              <w:jc w:val="left"/>
            </w:pPr>
            <w:r>
              <w:t xml:space="preserve">g3 (coût)</w:t>
            </w:r>
          </w:p>
        </w:tc>
      </w:tr>
      <w:tr>
        <w:tc>
          <w:tcPr/>
          <w:p>
            <w:pPr>
              <w:pStyle w:val="Compact"/>
              <w:jc w:val="left"/>
            </w:pPr>
            <w:r>
              <w:t xml:space="preserve">2</w:t>
            </w:r>
          </w:p>
        </w:tc>
        <w:tc>
          <w:tcPr/>
          <w:p>
            <w:pPr>
              <w:pStyle w:val="Compact"/>
              <w:jc w:val="left"/>
            </w:pPr>
            <w:r>
              <w:t xml:space="preserve">A9 IMT Atlantique</w:t>
            </w:r>
          </w:p>
        </w:tc>
        <w:tc>
          <w:tcPr/>
          <w:p>
            <w:pPr>
              <w:pStyle w:val="Compact"/>
              <w:jc w:val="left"/>
            </w:pPr>
            <w:r>
              <w:t xml:space="preserve">15,0</w:t>
            </w:r>
          </w:p>
        </w:tc>
        <w:tc>
          <w:tcPr/>
          <w:p>
            <w:pPr>
              <w:pStyle w:val="Compact"/>
              <w:jc w:val="left"/>
            </w:pPr>
            <w:r>
              <w:t xml:space="preserve">g1 (salaire)</w:t>
            </w:r>
          </w:p>
        </w:tc>
      </w:tr>
      <w:tr>
        <w:tc>
          <w:tcPr/>
          <w:p>
            <w:pPr>
              <w:pStyle w:val="Compact"/>
              <w:jc w:val="left"/>
            </w:pPr>
            <w:r>
              <w:t xml:space="preserve">3</w:t>
            </w:r>
          </w:p>
        </w:tc>
        <w:tc>
          <w:tcPr/>
          <w:p>
            <w:pPr>
              <w:pStyle w:val="Compact"/>
              <w:jc w:val="left"/>
            </w:pPr>
            <w:r>
              <w:t xml:space="preserve">A2 CentraleSupélec</w:t>
            </w:r>
          </w:p>
        </w:tc>
        <w:tc>
          <w:tcPr/>
          <w:p>
            <w:pPr>
              <w:pStyle w:val="Compact"/>
              <w:jc w:val="left"/>
            </w:pPr>
            <w:r>
              <w:t xml:space="preserve">9,1</w:t>
            </w:r>
          </w:p>
        </w:tc>
        <w:tc>
          <w:tcPr/>
          <w:p>
            <w:pPr>
              <w:pStyle w:val="Compact"/>
              <w:jc w:val="left"/>
            </w:pPr>
            <w:r>
              <w:t xml:space="preserve">g3 (coût)</w:t>
            </w:r>
          </w:p>
        </w:tc>
      </w:tr>
      <w:tr>
        <w:tc>
          <w:tcPr/>
          <w:p>
            <w:pPr>
              <w:pStyle w:val="Compact"/>
              <w:jc w:val="left"/>
            </w:pPr>
            <w:r>
              <w:t xml:space="preserve">4 ex æquo</w:t>
            </w:r>
          </w:p>
        </w:tc>
        <w:tc>
          <w:tcPr/>
          <w:p>
            <w:pPr>
              <w:pStyle w:val="Compact"/>
              <w:jc w:val="left"/>
            </w:pPr>
            <w:r>
              <w:t xml:space="preserve">(toutes les autres)</w:t>
            </w:r>
          </w:p>
        </w:tc>
        <w:tc>
          <w:tcPr/>
          <w:p>
            <w:pPr>
              <w:pStyle w:val="Compact"/>
              <w:jc w:val="left"/>
            </w:pPr>
            <w:r>
              <w:t xml:space="preserve">0,0</w:t>
            </w:r>
          </w:p>
        </w:tc>
        <w:tc>
          <w:tcPr/>
          <w:p>
            <w:pPr>
              <w:pStyle w:val="Compact"/>
              <w:jc w:val="left"/>
            </w:pPr>
            <w:r>
              <w:t xml:space="preserve">au moins un critère à 0</w:t>
            </w:r>
          </w:p>
        </w:tc>
      </w:tr>
    </w:tbl>
    <w:p>
      <w:pPr>
        <w:pStyle w:val="BodyText"/>
      </w:pPr>
      <w:r>
        <w:rPr>
          <w:bCs/>
          <w:b/>
        </w:rPr>
        <w:t xml:space="preserve">Analyse.</w:t>
      </w:r>
      <w:r>
        <w:t xml:space="preserve"> </w:t>
      </w:r>
      <w:r>
        <w:t xml:space="preserve">Sept écoles sont ex æquo en 4ème position avec un score Min de 0. C’est le</w:t>
      </w:r>
      <w:r>
        <w:t xml:space="preserve"> </w:t>
      </w:r>
      <w:r>
        <w:rPr>
          <w:bCs/>
          <w:b/>
        </w:rPr>
        <w:t xml:space="preserve">principal défaut</w:t>
      </w:r>
      <w:r>
        <w:t xml:space="preserve"> </w:t>
      </w:r>
      <w:r>
        <w:t xml:space="preserve">de la méthode : elle ne discrimine plus dès qu’une alternative a un seul critère normalisé à 0, indépendamment de ses performances ailleurs. Polytechnique (parfaite sur 3 critères) se retrouve au même rang qu’ENPC (médiocre partout) — résultat manifestement contre-intuitif.</w:t>
      </w:r>
    </w:p>
    <w:p>
      <w:pPr>
        <w:pStyle w:val="BodyText"/>
      </w:pPr>
      <w:r>
        <w:t xml:space="preserve">Le « gagnant » Télécom Paris est en réalité une alternative médiocre partout (aucune utilité ne dépasse 57). Elle gagne par défaut, parce que toutes les autres ont un point très faible.</w:t>
      </w:r>
    </w:p>
    <w:p>
      <w:pPr>
        <w:pStyle w:val="BodyText"/>
      </w:pPr>
      <w:r>
        <w:rPr>
          <w:bCs/>
          <w:b/>
        </w:rPr>
        <w:t xml:space="preserve">Conclusion sur Min</w:t>
      </w:r>
      <w:r>
        <w:t xml:space="preserve"> </w:t>
      </w:r>
      <w:r>
        <w:t xml:space="preserve">: cette méthode est inappropriée pour notre problème. Elle illustre par défaut un point méthodologique important du cours :</w:t>
      </w:r>
      <w:r>
        <w:t xml:space="preserve"> </w:t>
      </w:r>
      <w:r>
        <w:rPr>
          <w:iCs/>
          <w:i/>
        </w:rPr>
        <w:t xml:space="preserve">le Min n’est pertinent que lorsque la cohérence multi-critères est l’objectif principal</w:t>
      </w:r>
      <w:r>
        <w:t xml:space="preserve">, ce qui n’est pas le cas de notre décideur. Nous la conservons dans l’analyse</w:t>
      </w:r>
      <w:r>
        <w:t xml:space="preserve"> </w:t>
      </w:r>
      <w:r>
        <w:rPr>
          <w:bCs/>
          <w:b/>
        </w:rPr>
        <w:t xml:space="preserve">comme contre-exemple pédagogique</w:t>
      </w:r>
      <w:r>
        <w:t xml:space="preserve"> </w:t>
      </w:r>
      <w:r>
        <w:t xml:space="preserve">et comme point de repère sur l’axe « attitude face au risque ».</w:t>
      </w:r>
    </w:p>
    <w:bookmarkEnd w:id="35"/>
    <w:bookmarkStart w:id="36" w:name="méthode-5-electre-is-surclassement"/>
    <w:p>
      <w:pPr>
        <w:pStyle w:val="Heading3"/>
      </w:pPr>
      <w:r>
        <w:t xml:space="preserve">3.5 Méthode 5 — ELECTRE Is (surclassement)</w:t>
      </w:r>
    </w:p>
    <w:p>
      <w:pPr>
        <w:pStyle w:val="FirstParagraph"/>
      </w:pPr>
      <w:r>
        <w:rPr>
          <w:bCs/>
          <w:b/>
        </w:rPr>
        <w:t xml:space="preserve">Principe.</w:t>
      </w:r>
      <w:r>
        <w:t xml:space="preserve"> </w:t>
      </w:r>
      <w:r>
        <w:t xml:space="preserve">ELECTRE Is construit une</w:t>
      </w:r>
      <w:r>
        <w:t xml:space="preserve"> </w:t>
      </w:r>
      <w:r>
        <w:rPr>
          <w:bCs/>
          <w:b/>
        </w:rPr>
        <w:t xml:space="preserve">relation de surclassement</w:t>
      </w:r>
      <w:r>
        <w:t xml:space="preserve"> </w:t>
      </w:r>
      <w:r>
        <w:rPr>
          <w:iCs/>
          <w:i/>
        </w:rPr>
        <w:t xml:space="preserve">aSb</w:t>
      </w:r>
      <w:r>
        <w:t xml:space="preserve"> </w:t>
      </w:r>
      <w:r>
        <w:t xml:space="preserve">(«</w:t>
      </w:r>
      <w:r>
        <w:t xml:space="preserve"> </w:t>
      </w:r>
      <w:r>
        <w:rPr>
          <w:iCs/>
          <w:i/>
        </w:rPr>
        <w:t xml:space="preserve">a</w:t>
      </w:r>
      <w:r>
        <w:t xml:space="preserve"> </w:t>
      </w:r>
      <w:r>
        <w:t xml:space="preserve">est au moins aussi bonne que</w:t>
      </w:r>
      <w:r>
        <w:t xml:space="preserve"> </w:t>
      </w:r>
      <w:r>
        <w:rPr>
          <w:iCs/>
          <w:i/>
        </w:rPr>
        <w:t xml:space="preserve">b</w:t>
      </w:r>
      <w:r>
        <w:t xml:space="preserve"> </w:t>
      </w:r>
      <w:r>
        <w:t xml:space="preserve">») validée si deux conditions sont remplies simultanément :</w:t>
      </w:r>
    </w:p>
    <w:p>
      <w:pPr>
        <w:numPr>
          <w:ilvl w:val="0"/>
          <w:numId w:val="1021"/>
        </w:numPr>
        <w:pStyle w:val="Compact"/>
      </w:pPr>
      <w:r>
        <w:rPr>
          <w:bCs/>
          <w:b/>
        </w:rPr>
        <w:t xml:space="preserve">Concordance</w:t>
      </w:r>
      <w:r>
        <w:t xml:space="preserve"> </w:t>
      </w:r>
      <w:r>
        <w:t xml:space="preserve">: la concordance globale C(a, b) = Σⱼ wⱼ · cⱼ(a, b) est ≥ au seuil λ = 0,65, où cⱼ(a, b) ∈ [0, 1] est la concordance partielle sur le critère j (1 si gⱼ est totalement en faveur de aSb, 0 sinon, valeur intermédiaire entre seuils q et p)</w:t>
      </w:r>
    </w:p>
    <w:p>
      <w:pPr>
        <w:numPr>
          <w:ilvl w:val="0"/>
          <w:numId w:val="1021"/>
        </w:numPr>
        <w:pStyle w:val="Compact"/>
      </w:pPr>
      <w:r>
        <w:rPr>
          <w:bCs/>
          <w:b/>
        </w:rPr>
        <w:t xml:space="preserve">Non-discordance</w:t>
      </w:r>
      <w:r>
        <w:t xml:space="preserve"> </w:t>
      </w:r>
      <w:r>
        <w:t xml:space="preserve">: aucun critère ne s’oppose avec un écart supérieur à son seuil de veto vⱼ.</w:t>
      </w:r>
    </w:p>
    <w:p>
      <w:pPr>
        <w:pStyle w:val="FirstParagraph"/>
      </w:pPr>
      <w:r>
        <w:t xml:space="preserve">Les seuils (q, p, v) et λ sont ceux élicités en §2.4.</w:t>
      </w:r>
    </w:p>
    <w:p>
      <w:pPr>
        <w:pStyle w:val="BodyText"/>
      </w:pPr>
      <w:r>
        <w:rPr>
          <w:bCs/>
          <w:b/>
        </w:rPr>
        <w:t xml:space="preserve">Construction de la matrice de surclassement.</w:t>
      </w:r>
      <w:r>
        <w:t xml:space="preserve"> </w:t>
      </w:r>
      <w:r>
        <w:t xml:space="preserve">Le programme calcule pour chaque paire (a, b) la concordance globale C(a, b) et vérifie l’absence de veto. La matrice complète figure en annexe ; nous reportons ici une vue synthétique.</w:t>
      </w:r>
    </w:p>
    <w:p>
      <w:pPr>
        <w:pStyle w:val="BodyText"/>
      </w:pPr>
      <w:r>
        <w:rPr>
          <w:bCs/>
          <w:b/>
        </w:rPr>
        <w:t xml:space="preserve">Matrice de surclassement S</w:t>
      </w:r>
      <w:r>
        <w:t xml:space="preserve"> </w:t>
      </w:r>
      <w:r>
        <w:t xml:space="preserve">(S[a, b] = 1 si</w:t>
      </w:r>
      <w:r>
        <w:t xml:space="preserve"> </w:t>
      </w:r>
      <w:r>
        <w:rPr>
          <w:iCs/>
          <w:i/>
        </w:rPr>
        <w:t xml:space="preserve">a</w:t>
      </w:r>
      <w:r>
        <w:t xml:space="preserve"> </w:t>
      </w:r>
      <w:r>
        <w:t xml:space="preserve">surclasse</w:t>
      </w:r>
      <w:r>
        <w:t xml:space="preserve"> </w:t>
      </w:r>
      <w:r>
        <w:rPr>
          <w:iCs/>
          <w:i/>
        </w:rPr>
        <w:t xml:space="preserve">b</w:t>
      </w:r>
      <w:r>
        <w:t xml:space="preserve">) :</w:t>
      </w:r>
    </w:p>
    <w:tbl>
      <w:tblPr>
        <w:tblStyle w:val="Table"/>
        <w:tblW w:type="pct" w:w="5000"/>
        <w:tblLook w:firstRow="1" w:lastRow="0" w:firstColumn="0" w:lastColumn="0" w:noHBand="0" w:noVBand="0" w:val="0020"/>
        <w:jc w:val="start"/>
      </w:tblPr>
      <w:tblGrid>
        <w:gridCol w:w="1492"/>
        <w:gridCol w:w="459"/>
        <w:gridCol w:w="459"/>
        <w:gridCol w:w="459"/>
        <w:gridCol w:w="459"/>
        <w:gridCol w:w="459"/>
        <w:gridCol w:w="459"/>
        <w:gridCol w:w="459"/>
        <w:gridCol w:w="459"/>
        <w:gridCol w:w="459"/>
        <w:gridCol w:w="573"/>
        <w:gridCol w:w="1721"/>
      </w:tblGrid>
      <w:tr>
        <w:trPr>
          <w:tblHeader w:val="true"/>
        </w:trPr>
        <w:tc>
          <w:tcPr/>
          <w:p>
            <w:pPr>
              <w:pStyle w:val="Compact"/>
              <w:jc w:val="left"/>
            </w:pPr>
            <w:r>
              <w:t xml:space="preserve">Surclasse →</w:t>
            </w:r>
          </w:p>
        </w:tc>
        <w:tc>
          <w:tcPr/>
          <w:p>
            <w:pPr>
              <w:pStyle w:val="Compact"/>
              <w:jc w:val="left"/>
            </w:pPr>
            <w:r>
              <w:t xml:space="preserve">A1</w:t>
            </w:r>
          </w:p>
        </w:tc>
        <w:tc>
          <w:tcPr/>
          <w:p>
            <w:pPr>
              <w:pStyle w:val="Compact"/>
              <w:jc w:val="left"/>
            </w:pPr>
            <w:r>
              <w:t xml:space="preserve">A2</w:t>
            </w:r>
          </w:p>
        </w:tc>
        <w:tc>
          <w:tcPr/>
          <w:p>
            <w:pPr>
              <w:pStyle w:val="Compact"/>
              <w:jc w:val="left"/>
            </w:pPr>
            <w:r>
              <w:t xml:space="preserve">A3</w:t>
            </w:r>
          </w:p>
        </w:tc>
        <w:tc>
          <w:tcPr/>
          <w:p>
            <w:pPr>
              <w:pStyle w:val="Compact"/>
              <w:jc w:val="left"/>
            </w:pPr>
            <w:r>
              <w:t xml:space="preserve">A4</w:t>
            </w:r>
          </w:p>
        </w:tc>
        <w:tc>
          <w:tcPr/>
          <w:p>
            <w:pPr>
              <w:pStyle w:val="Compact"/>
              <w:jc w:val="left"/>
            </w:pPr>
            <w:r>
              <w:t xml:space="preserve">A5</w:t>
            </w:r>
          </w:p>
        </w:tc>
        <w:tc>
          <w:tcPr/>
          <w:p>
            <w:pPr>
              <w:pStyle w:val="Compact"/>
              <w:jc w:val="left"/>
            </w:pPr>
            <w:r>
              <w:t xml:space="preserve">A6</w:t>
            </w:r>
          </w:p>
        </w:tc>
        <w:tc>
          <w:tcPr/>
          <w:p>
            <w:pPr>
              <w:pStyle w:val="Compact"/>
              <w:jc w:val="left"/>
            </w:pPr>
            <w:r>
              <w:t xml:space="preserve">A7</w:t>
            </w:r>
          </w:p>
        </w:tc>
        <w:tc>
          <w:tcPr/>
          <w:p>
            <w:pPr>
              <w:pStyle w:val="Compact"/>
              <w:jc w:val="left"/>
            </w:pPr>
            <w:r>
              <w:t xml:space="preserve">A8</w:t>
            </w:r>
          </w:p>
        </w:tc>
        <w:tc>
          <w:tcPr/>
          <w:p>
            <w:pPr>
              <w:pStyle w:val="Compact"/>
              <w:jc w:val="left"/>
            </w:pPr>
            <w:r>
              <w:t xml:space="preserve">A9</w:t>
            </w:r>
          </w:p>
        </w:tc>
        <w:tc>
          <w:tcPr/>
          <w:p>
            <w:pPr>
              <w:pStyle w:val="Compact"/>
              <w:jc w:val="left"/>
            </w:pPr>
            <w:r>
              <w:t xml:space="preserve">A10</w:t>
            </w:r>
          </w:p>
        </w:tc>
        <w:tc>
          <w:tcPr/>
          <w:p>
            <w:pPr>
              <w:pStyle w:val="Compact"/>
              <w:jc w:val="left"/>
            </w:pPr>
            <w:r>
              <w:t xml:space="preserve">Σ surclassées</w:t>
            </w:r>
          </w:p>
        </w:tc>
      </w:tr>
      <w:tr>
        <w:tc>
          <w:tcPr/>
          <w:p>
            <w:pPr>
              <w:pStyle w:val="Compact"/>
              <w:jc w:val="left"/>
            </w:pPr>
            <w:r>
              <w:rPr>
                <w:bCs/>
                <w:b/>
              </w:rPr>
              <w:t xml:space="preserve">A1 Polytechnique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8</w:t>
            </w:r>
          </w:p>
        </w:tc>
      </w:tr>
      <w:tr>
        <w:tc>
          <w:tcPr/>
          <w:p>
            <w:pPr>
              <w:pStyle w:val="Compact"/>
              <w:jc w:val="left"/>
            </w:pPr>
            <w:r>
              <w:rPr>
                <w:bCs/>
                <w:b/>
              </w:rPr>
              <w:t xml:space="preserve">A2 CentraleSupélec</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5</w:t>
            </w:r>
          </w:p>
        </w:tc>
      </w:tr>
      <w:tr>
        <w:tc>
          <w:tcPr/>
          <w:p>
            <w:pPr>
              <w:pStyle w:val="Compact"/>
              <w:jc w:val="left"/>
            </w:pPr>
            <w:r>
              <w:rPr>
                <w:bCs/>
                <w:b/>
              </w:rPr>
              <w:t xml:space="preserve">A3 Mines Paris</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3</w:t>
            </w:r>
          </w:p>
        </w:tc>
      </w:tr>
      <w:tr>
        <w:tc>
          <w:tcPr/>
          <w:p>
            <w:pPr>
              <w:pStyle w:val="Compact"/>
              <w:jc w:val="left"/>
            </w:pPr>
            <w:r>
              <w:rPr>
                <w:bCs/>
                <w:b/>
              </w:rPr>
              <w:t xml:space="preserve">A4 ENSTA Paris</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4</w:t>
            </w:r>
          </w:p>
        </w:tc>
      </w:tr>
      <w:tr>
        <w:tc>
          <w:tcPr/>
          <w:p>
            <w:pPr>
              <w:pStyle w:val="Compact"/>
              <w:jc w:val="left"/>
            </w:pPr>
            <w:r>
              <w:rPr>
                <w:bCs/>
                <w:b/>
              </w:rPr>
              <w:t xml:space="preserve">A5 Télécom Paris</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6</w:t>
            </w:r>
          </w:p>
        </w:tc>
      </w:tr>
      <w:tr>
        <w:tc>
          <w:tcPr/>
          <w:p>
            <w:pPr>
              <w:pStyle w:val="Compact"/>
              <w:jc w:val="left"/>
            </w:pPr>
            <w:r>
              <w:rPr>
                <w:bCs/>
                <w:b/>
              </w:rPr>
              <w:t xml:space="preserve">A6 ENPC</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3</w:t>
            </w:r>
          </w:p>
        </w:tc>
      </w:tr>
      <w:tr>
        <w:tc>
          <w:tcPr/>
          <w:p>
            <w:pPr>
              <w:pStyle w:val="Compact"/>
              <w:jc w:val="left"/>
            </w:pPr>
            <w:r>
              <w:rPr>
                <w:bCs/>
                <w:b/>
              </w:rPr>
              <w:t xml:space="preserve">A7 INSA Lyon</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8</w:t>
            </w:r>
          </w:p>
        </w:tc>
      </w:tr>
      <w:tr>
        <w:tc>
          <w:tcPr/>
          <w:p>
            <w:pPr>
              <w:pStyle w:val="Compact"/>
              <w:jc w:val="left"/>
            </w:pPr>
            <w:r>
              <w:rPr>
                <w:bCs/>
                <w:b/>
              </w:rPr>
              <w:t xml:space="preserve">A8 UTC</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4</w:t>
            </w:r>
          </w:p>
        </w:tc>
      </w:tr>
      <w:tr>
        <w:tc>
          <w:tcPr/>
          <w:p>
            <w:pPr>
              <w:pStyle w:val="Compact"/>
              <w:jc w:val="left"/>
            </w:pPr>
            <w:r>
              <w:rPr>
                <w:bCs/>
                <w:b/>
              </w:rPr>
              <w:t xml:space="preserve">A9 IMT Atlantique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w:t>
            </w:r>
          </w:p>
        </w:tc>
      </w:tr>
      <w:tr>
        <w:tc>
          <w:tcPr/>
          <w:p>
            <w:pPr>
              <w:pStyle w:val="Compact"/>
              <w:jc w:val="left"/>
            </w:pPr>
            <w:r>
              <w:rPr>
                <w:bCs/>
                <w:b/>
              </w:rPr>
              <w:t xml:space="preserve">A10 Arts et Métiers</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5</w:t>
            </w:r>
          </w:p>
        </w:tc>
      </w:tr>
    </w:tbl>
    <w:p>
      <w:pPr>
        <w:pStyle w:val="BodyText"/>
      </w:pPr>
      <w:r>
        <w:rPr>
          <w:bCs/>
          <w:b/>
        </w:rPr>
        <w:t xml:space="preserve">Lecture du veto coût (g3, v = 8 000 €)</w:t>
      </w:r>
      <w:r>
        <w:t xml:space="preserve"> </w:t>
      </w:r>
      <w:r>
        <w:t xml:space="preserve">: la première colonne montre que</w:t>
      </w:r>
      <w:r>
        <w:t xml:space="preserve"> </w:t>
      </w:r>
      <w:r>
        <w:rPr>
          <w:bCs/>
          <w:b/>
        </w:rPr>
        <w:t xml:space="preserve">Polytechnique n’est surclassée par personne</w:t>
      </w:r>
      <w:r>
        <w:t xml:space="preserve">. Réciproquement, certaines écoles auraient pu surclasser A1 sur la concordance, mais le veto sur g6 (vie asso) ou g3 (coût) bloque le surclassement à cause des écarts de Polytechnique sur ces critères. Par exemple, A2 (CentraleSupélec) atteint une concordance C = 0,50 contre A1 — mais cela ne franchit pas λ = 0,65, donc pas besoin du veto.</w:t>
      </w:r>
    </w:p>
    <w:p>
      <w:pPr>
        <w:pStyle w:val="BodyText"/>
      </w:pPr>
      <w:r>
        <w:rPr>
          <w:bCs/>
          <w:b/>
        </w:rPr>
        <w:t xml:space="preserve">Lecture du veto vie asso (g6, v = 3 points)</w:t>
      </w:r>
      <w:r>
        <w:t xml:space="preserve"> </w:t>
      </w:r>
      <w:r>
        <w:t xml:space="preserve">: la colonne A1 montre que</w:t>
      </w:r>
      <w:r>
        <w:t xml:space="preserve"> </w:t>
      </w:r>
      <w:r>
        <w:rPr>
          <w:bCs/>
          <w:b/>
        </w:rPr>
        <w:t xml:space="preserve">A1 ne surclasse pas A7 (INSA Lyon)</w:t>
      </w:r>
      <w:r>
        <w:t xml:space="preserve"> </w:t>
      </w:r>
      <w:r>
        <w:t xml:space="preserve">: l’écart en g6 (9 − 7,5 = 1,5) ne déclenche pas le veto (seuil = 3), mais la concordance C(A1, A7) = 0,55 &lt; λ = 0,65 (le décideur a moins de 65 % de critères en faveur de A1 sur A7).</w:t>
      </w:r>
    </w:p>
    <w:p>
      <w:pPr>
        <w:pStyle w:val="BodyText"/>
      </w:pPr>
      <w:r>
        <w:rPr>
          <w:bCs/>
          <w:b/>
        </w:rPr>
        <w:t xml:space="preserve">Vetos actifs</w:t>
      </w:r>
      <w:r>
        <w:t xml:space="preserve"> </w:t>
      </w:r>
      <w:r>
        <w:t xml:space="preserve">: la matrice des vetos (en annexe) montre que</w:t>
      </w:r>
      <w:r>
        <w:t xml:space="preserve"> </w:t>
      </w:r>
      <w:r>
        <w:rPr>
          <w:bCs/>
          <w:b/>
        </w:rPr>
        <w:t xml:space="preserve">9 vetos sont activement bloquants</w:t>
      </w:r>
      <w:r>
        <w:t xml:space="preserve"> </w:t>
      </w:r>
      <w:r>
        <w:t xml:space="preserve">dans la matrice — tous concernent g6 (vie asso) ou g3 (coût) :</w:t>
      </w:r>
    </w:p>
    <w:p>
      <w:pPr>
        <w:numPr>
          <w:ilvl w:val="0"/>
          <w:numId w:val="1022"/>
        </w:numPr>
        <w:pStyle w:val="Compact"/>
      </w:pPr>
      <w:r>
        <w:t xml:space="preserve">A1 (Polytechnique) ne peut être surclassée par A2, A3, A4, A5, A6, A7, A8, A9, A10 à cause du veto sur g3 (coût) — Polytechnique étant gratuite, l’écart de coût avec toutes les autres est ≥ 7 710 €, et avec Mines Paris on dépasse 11 000 €.</w:t>
      </w:r>
    </w:p>
    <w:p>
      <w:pPr>
        <w:numPr>
          <w:ilvl w:val="0"/>
          <w:numId w:val="1022"/>
        </w:numPr>
        <w:pStyle w:val="Compact"/>
      </w:pPr>
      <w:r>
        <w:t xml:space="preserve">A2 (CentraleSupélec) ne peut surclasser ni A7, ni A8, ni A10 à cause du veto g3 (écart de coût &gt; 8 000 €).</w:t>
      </w:r>
    </w:p>
    <w:p>
      <w:pPr>
        <w:numPr>
          <w:ilvl w:val="0"/>
          <w:numId w:val="1022"/>
        </w:numPr>
        <w:pStyle w:val="Compact"/>
      </w:pPr>
      <w:r>
        <w:t xml:space="preserve">A3 (Mines Paris) ne peut surclasser ni A7, ni A8, ni A10 pour la même raison.</w:t>
      </w:r>
    </w:p>
    <w:p>
      <w:pPr>
        <w:pStyle w:val="FirstParagraph"/>
      </w:pPr>
      <w:r>
        <w:rPr>
          <w:bCs/>
          <w:b/>
        </w:rPr>
        <w:t xml:space="preserve">Exploitation pour le rangement.</w:t>
      </w:r>
      <w:r>
        <w:t xml:space="preserve"> </w:t>
      </w:r>
      <w:r>
        <w:t xml:space="preserve">Pour produire un classement (problématique β), nous utilisons une procédure simple d’exploitation : le</w:t>
      </w:r>
      <w:r>
        <w:t xml:space="preserve"> </w:t>
      </w:r>
      <w:r>
        <w:rPr>
          <w:bCs/>
          <w:b/>
        </w:rPr>
        <w:t xml:space="preserve">score net</w:t>
      </w:r>
      <w:r>
        <w:t xml:space="preserve"> </w:t>
      </w:r>
      <w:r>
        <w:t xml:space="preserve">= (nb d’alternatives surclassées par a) − (nb d’alternatives qui surclassent a). Cette mesure simple est défendue dans le cours comme une exploitation possible du graphe de surclassement quand on souhaite obtenir un préordre.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Rang</w:t>
            </w:r>
          </w:p>
        </w:tc>
        <w:tc>
          <w:tcPr/>
          <w:p>
            <w:pPr>
              <w:pStyle w:val="Compact"/>
              <w:jc w:val="left"/>
            </w:pPr>
            <w:r>
              <w:t xml:space="preserve">École</w:t>
            </w:r>
          </w:p>
        </w:tc>
        <w:tc>
          <w:tcPr/>
          <w:p>
            <w:pPr>
              <w:pStyle w:val="Compact"/>
              <w:jc w:val="left"/>
            </w:pPr>
            <w:r>
              <w:t xml:space="preserve">Surclassées</w:t>
            </w:r>
          </w:p>
        </w:tc>
        <w:tc>
          <w:tcPr/>
          <w:p>
            <w:pPr>
              <w:pStyle w:val="Compact"/>
              <w:jc w:val="left"/>
            </w:pPr>
            <w:r>
              <w:t xml:space="preserve">Surclassants</w:t>
            </w:r>
          </w:p>
        </w:tc>
        <w:tc>
          <w:tcPr/>
          <w:p>
            <w:pPr>
              <w:pStyle w:val="Compact"/>
              <w:jc w:val="left"/>
            </w:pPr>
            <w:r>
              <w:t xml:space="preserve">Score net</w:t>
            </w:r>
          </w:p>
        </w:tc>
      </w:tr>
      <w:tr>
        <w:tc>
          <w:tcPr/>
          <w:p>
            <w:pPr>
              <w:pStyle w:val="Compact"/>
              <w:jc w:val="left"/>
            </w:pPr>
            <w:r>
              <w:t xml:space="preserve">1</w:t>
            </w:r>
          </w:p>
        </w:tc>
        <w:tc>
          <w:tcPr/>
          <w:p>
            <w:pPr>
              <w:pStyle w:val="Compact"/>
              <w:jc w:val="left"/>
            </w:pPr>
            <w:r>
              <w:t xml:space="preserve">A1 Polytechnique</w:t>
            </w:r>
          </w:p>
        </w:tc>
        <w:tc>
          <w:tcPr/>
          <w:p>
            <w:pPr>
              <w:pStyle w:val="Compact"/>
              <w:jc w:val="left"/>
            </w:pPr>
            <w:r>
              <w:t xml:space="preserve">8</w:t>
            </w:r>
          </w:p>
        </w:tc>
        <w:tc>
          <w:tcPr/>
          <w:p>
            <w:pPr>
              <w:pStyle w:val="Compact"/>
              <w:jc w:val="left"/>
            </w:pPr>
            <w:r>
              <w:t xml:space="preserve">0</w:t>
            </w:r>
          </w:p>
        </w:tc>
        <w:tc>
          <w:tcPr/>
          <w:p>
            <w:pPr>
              <w:pStyle w:val="Compact"/>
              <w:jc w:val="left"/>
            </w:pPr>
            <w:r>
              <w:t xml:space="preserve">+8</w:t>
            </w:r>
          </w:p>
        </w:tc>
      </w:tr>
      <w:tr>
        <w:tc>
          <w:tcPr/>
          <w:p>
            <w:pPr>
              <w:pStyle w:val="Compact"/>
              <w:jc w:val="left"/>
            </w:pPr>
            <w:r>
              <w:t xml:space="preserve">2</w:t>
            </w:r>
          </w:p>
        </w:tc>
        <w:tc>
          <w:tcPr/>
          <w:p>
            <w:pPr>
              <w:pStyle w:val="Compact"/>
              <w:jc w:val="left"/>
            </w:pPr>
            <w:r>
              <w:t xml:space="preserve">A7 INSA Lyon</w:t>
            </w:r>
          </w:p>
        </w:tc>
        <w:tc>
          <w:tcPr/>
          <w:p>
            <w:pPr>
              <w:pStyle w:val="Compact"/>
              <w:jc w:val="left"/>
            </w:pPr>
            <w:r>
              <w:t xml:space="preserve">8</w:t>
            </w:r>
          </w:p>
        </w:tc>
        <w:tc>
          <w:tcPr/>
          <w:p>
            <w:pPr>
              <w:pStyle w:val="Compact"/>
              <w:jc w:val="left"/>
            </w:pPr>
            <w:r>
              <w:t xml:space="preserve">2</w:t>
            </w:r>
          </w:p>
        </w:tc>
        <w:tc>
          <w:tcPr/>
          <w:p>
            <w:pPr>
              <w:pStyle w:val="Compact"/>
              <w:jc w:val="left"/>
            </w:pPr>
            <w:r>
              <w:t xml:space="preserve">+6</w:t>
            </w:r>
          </w:p>
        </w:tc>
      </w:tr>
      <w:tr>
        <w:tc>
          <w:tcPr/>
          <w:p>
            <w:pPr>
              <w:pStyle w:val="Compact"/>
              <w:jc w:val="left"/>
            </w:pPr>
            <w:r>
              <w:t xml:space="preserve">3</w:t>
            </w:r>
          </w:p>
        </w:tc>
        <w:tc>
          <w:tcPr/>
          <w:p>
            <w:pPr>
              <w:pStyle w:val="Compact"/>
              <w:jc w:val="left"/>
            </w:pPr>
            <w:r>
              <w:t xml:space="preserve">A2 CentraleSupélec</w:t>
            </w:r>
          </w:p>
        </w:tc>
        <w:tc>
          <w:tcPr/>
          <w:p>
            <w:pPr>
              <w:pStyle w:val="Compact"/>
              <w:jc w:val="left"/>
            </w:pPr>
            <w:r>
              <w:t xml:space="preserve">5</w:t>
            </w:r>
          </w:p>
        </w:tc>
        <w:tc>
          <w:tcPr/>
          <w:p>
            <w:pPr>
              <w:pStyle w:val="Compact"/>
              <w:jc w:val="left"/>
            </w:pPr>
            <w:r>
              <w:t xml:space="preserve">4</w:t>
            </w:r>
          </w:p>
        </w:tc>
        <w:tc>
          <w:tcPr/>
          <w:p>
            <w:pPr>
              <w:pStyle w:val="Compact"/>
              <w:jc w:val="left"/>
            </w:pPr>
            <w:r>
              <w:t xml:space="preserve">+1</w:t>
            </w:r>
          </w:p>
        </w:tc>
      </w:tr>
      <w:tr>
        <w:tc>
          <w:tcPr/>
          <w:p>
            <w:pPr>
              <w:pStyle w:val="Compact"/>
              <w:jc w:val="left"/>
            </w:pPr>
            <w:r>
              <w:t xml:space="preserve">4 ex æquo</w:t>
            </w:r>
          </w:p>
        </w:tc>
        <w:tc>
          <w:tcPr/>
          <w:p>
            <w:pPr>
              <w:pStyle w:val="Compact"/>
              <w:jc w:val="left"/>
            </w:pPr>
            <w:r>
              <w:t xml:space="preserve">A5 Télécom Paris</w:t>
            </w:r>
          </w:p>
        </w:tc>
        <w:tc>
          <w:tcPr/>
          <w:p>
            <w:pPr>
              <w:pStyle w:val="Compact"/>
              <w:jc w:val="left"/>
            </w:pPr>
            <w:r>
              <w:t xml:space="preserve">6</w:t>
            </w:r>
          </w:p>
        </w:tc>
        <w:tc>
          <w:tcPr/>
          <w:p>
            <w:pPr>
              <w:pStyle w:val="Compact"/>
              <w:jc w:val="left"/>
            </w:pPr>
            <w:r>
              <w:t xml:space="preserve">6</w:t>
            </w:r>
          </w:p>
        </w:tc>
        <w:tc>
          <w:tcPr/>
          <w:p>
            <w:pPr>
              <w:pStyle w:val="Compact"/>
              <w:jc w:val="left"/>
            </w:pPr>
            <w:r>
              <w:t xml:space="preserve">0</w:t>
            </w:r>
          </w:p>
        </w:tc>
      </w:tr>
      <w:tr>
        <w:tc>
          <w:tcPr/>
          <w:p>
            <w:pPr>
              <w:pStyle w:val="Compact"/>
              <w:jc w:val="left"/>
            </w:pPr>
            <w:r>
              <w:t xml:space="preserve">4 ex æquo</w:t>
            </w:r>
          </w:p>
        </w:tc>
        <w:tc>
          <w:tcPr/>
          <w:p>
            <w:pPr>
              <w:pStyle w:val="Compact"/>
              <w:jc w:val="left"/>
            </w:pPr>
            <w:r>
              <w:t xml:space="preserve">A8 UTC</w:t>
            </w:r>
          </w:p>
        </w:tc>
        <w:tc>
          <w:tcPr/>
          <w:p>
            <w:pPr>
              <w:pStyle w:val="Compact"/>
              <w:jc w:val="left"/>
            </w:pPr>
            <w:r>
              <w:t xml:space="preserve">4</w:t>
            </w:r>
          </w:p>
        </w:tc>
        <w:tc>
          <w:tcPr/>
          <w:p>
            <w:pPr>
              <w:pStyle w:val="Compact"/>
              <w:jc w:val="left"/>
            </w:pPr>
            <w:r>
              <w:t xml:space="preserve">4</w:t>
            </w:r>
          </w:p>
        </w:tc>
        <w:tc>
          <w:tcPr/>
          <w:p>
            <w:pPr>
              <w:pStyle w:val="Compact"/>
              <w:jc w:val="left"/>
            </w:pPr>
            <w:r>
              <w:t xml:space="preserve">0</w:t>
            </w:r>
          </w:p>
        </w:tc>
      </w:tr>
      <w:tr>
        <w:tc>
          <w:tcPr/>
          <w:p>
            <w:pPr>
              <w:pStyle w:val="Compact"/>
              <w:jc w:val="left"/>
            </w:pPr>
            <w:r>
              <w:t xml:space="preserve">6</w:t>
            </w:r>
          </w:p>
        </w:tc>
        <w:tc>
          <w:tcPr/>
          <w:p>
            <w:pPr>
              <w:pStyle w:val="Compact"/>
              <w:jc w:val="left"/>
            </w:pPr>
            <w:r>
              <w:t xml:space="preserve">A10 Arts et Métiers</w:t>
            </w:r>
          </w:p>
        </w:tc>
        <w:tc>
          <w:tcPr/>
          <w:p>
            <w:pPr>
              <w:pStyle w:val="Compact"/>
              <w:jc w:val="left"/>
            </w:pPr>
            <w:r>
              <w:t xml:space="preserve">5</w:t>
            </w:r>
          </w:p>
        </w:tc>
        <w:tc>
          <w:tcPr/>
          <w:p>
            <w:pPr>
              <w:pStyle w:val="Compact"/>
              <w:jc w:val="left"/>
            </w:pPr>
            <w:r>
              <w:t xml:space="preserve">6</w:t>
            </w:r>
          </w:p>
        </w:tc>
        <w:tc>
          <w:tcPr/>
          <w:p>
            <w:pPr>
              <w:pStyle w:val="Compact"/>
              <w:jc w:val="left"/>
            </w:pPr>
            <w:r>
              <w:t xml:space="preserve">−1</w:t>
            </w:r>
          </w:p>
        </w:tc>
      </w:tr>
      <w:tr>
        <w:tc>
          <w:tcPr/>
          <w:p>
            <w:pPr>
              <w:pStyle w:val="Compact"/>
              <w:jc w:val="left"/>
            </w:pPr>
            <w:r>
              <w:t xml:space="preserve">7</w:t>
            </w:r>
          </w:p>
        </w:tc>
        <w:tc>
          <w:tcPr/>
          <w:p>
            <w:pPr>
              <w:pStyle w:val="Compact"/>
              <w:jc w:val="left"/>
            </w:pPr>
            <w:r>
              <w:t xml:space="preserve">A3 Mines Paris</w:t>
            </w:r>
          </w:p>
        </w:tc>
        <w:tc>
          <w:tcPr/>
          <w:p>
            <w:pPr>
              <w:pStyle w:val="Compact"/>
              <w:jc w:val="left"/>
            </w:pPr>
            <w:r>
              <w:t xml:space="preserve">3</w:t>
            </w:r>
          </w:p>
        </w:tc>
        <w:tc>
          <w:tcPr/>
          <w:p>
            <w:pPr>
              <w:pStyle w:val="Compact"/>
              <w:jc w:val="left"/>
            </w:pPr>
            <w:r>
              <w:t xml:space="preserve">5</w:t>
            </w:r>
          </w:p>
        </w:tc>
        <w:tc>
          <w:tcPr/>
          <w:p>
            <w:pPr>
              <w:pStyle w:val="Compact"/>
              <w:jc w:val="left"/>
            </w:pPr>
            <w:r>
              <w:t xml:space="preserve">−2</w:t>
            </w:r>
          </w:p>
        </w:tc>
      </w:tr>
      <w:tr>
        <w:tc>
          <w:tcPr/>
          <w:p>
            <w:pPr>
              <w:pStyle w:val="Compact"/>
              <w:jc w:val="left"/>
            </w:pPr>
            <w:r>
              <w:t xml:space="preserve">8</w:t>
            </w:r>
          </w:p>
        </w:tc>
        <w:tc>
          <w:tcPr/>
          <w:p>
            <w:pPr>
              <w:pStyle w:val="Compact"/>
              <w:jc w:val="left"/>
            </w:pPr>
            <w:r>
              <w:t xml:space="preserve">A9 IMT Atlantique</w:t>
            </w:r>
          </w:p>
        </w:tc>
        <w:tc>
          <w:tcPr/>
          <w:p>
            <w:pPr>
              <w:pStyle w:val="Compact"/>
              <w:jc w:val="left"/>
            </w:pPr>
            <w:r>
              <w:t xml:space="preserve">4</w:t>
            </w:r>
          </w:p>
        </w:tc>
        <w:tc>
          <w:tcPr/>
          <w:p>
            <w:pPr>
              <w:pStyle w:val="Compact"/>
              <w:jc w:val="left"/>
            </w:pPr>
            <w:r>
              <w:t xml:space="preserve">7</w:t>
            </w:r>
          </w:p>
        </w:tc>
        <w:tc>
          <w:tcPr/>
          <w:p>
            <w:pPr>
              <w:pStyle w:val="Compact"/>
              <w:jc w:val="left"/>
            </w:pPr>
            <w:r>
              <w:t xml:space="preserve">−3</w:t>
            </w:r>
          </w:p>
        </w:tc>
      </w:tr>
      <w:tr>
        <w:tc>
          <w:tcPr/>
          <w:p>
            <w:pPr>
              <w:pStyle w:val="Compact"/>
              <w:jc w:val="left"/>
            </w:pPr>
            <w:r>
              <w:t xml:space="preserve">9</w:t>
            </w:r>
          </w:p>
        </w:tc>
        <w:tc>
          <w:tcPr/>
          <w:p>
            <w:pPr>
              <w:pStyle w:val="Compact"/>
              <w:jc w:val="left"/>
            </w:pPr>
            <w:r>
              <w:t xml:space="preserve">A4 ENSTA Paris</w:t>
            </w:r>
          </w:p>
        </w:tc>
        <w:tc>
          <w:tcPr/>
          <w:p>
            <w:pPr>
              <w:pStyle w:val="Compact"/>
              <w:jc w:val="left"/>
            </w:pPr>
            <w:r>
              <w:t xml:space="preserve">4</w:t>
            </w:r>
          </w:p>
        </w:tc>
        <w:tc>
          <w:tcPr/>
          <w:p>
            <w:pPr>
              <w:pStyle w:val="Compact"/>
              <w:jc w:val="left"/>
            </w:pPr>
            <w:r>
              <w:t xml:space="preserve">8</w:t>
            </w:r>
          </w:p>
        </w:tc>
        <w:tc>
          <w:tcPr/>
          <w:p>
            <w:pPr>
              <w:pStyle w:val="Compact"/>
              <w:jc w:val="left"/>
            </w:pPr>
            <w:r>
              <w:t xml:space="preserve">−4</w:t>
            </w:r>
          </w:p>
        </w:tc>
      </w:tr>
      <w:tr>
        <w:tc>
          <w:tcPr/>
          <w:p>
            <w:pPr>
              <w:pStyle w:val="Compact"/>
              <w:jc w:val="left"/>
            </w:pPr>
            <w:r>
              <w:t xml:space="preserve">10</w:t>
            </w:r>
          </w:p>
        </w:tc>
        <w:tc>
          <w:tcPr/>
          <w:p>
            <w:pPr>
              <w:pStyle w:val="Compact"/>
              <w:jc w:val="left"/>
            </w:pPr>
            <w:r>
              <w:t xml:space="preserve">A6 ENPC</w:t>
            </w:r>
          </w:p>
        </w:tc>
        <w:tc>
          <w:tcPr/>
          <w:p>
            <w:pPr>
              <w:pStyle w:val="Compact"/>
              <w:jc w:val="left"/>
            </w:pPr>
            <w:r>
              <w:t xml:space="preserve">3</w:t>
            </w:r>
          </w:p>
        </w:tc>
        <w:tc>
          <w:tcPr/>
          <w:p>
            <w:pPr>
              <w:pStyle w:val="Compact"/>
              <w:jc w:val="left"/>
            </w:pPr>
            <w:r>
              <w:t xml:space="preserve">8</w:t>
            </w:r>
          </w:p>
        </w:tc>
        <w:tc>
          <w:tcPr/>
          <w:p>
            <w:pPr>
              <w:pStyle w:val="Compact"/>
              <w:jc w:val="left"/>
            </w:pPr>
            <w:r>
              <w:t xml:space="preserve">−5</w:t>
            </w:r>
          </w:p>
        </w:tc>
      </w:tr>
    </w:tbl>
    <w:p>
      <w:pPr>
        <w:pStyle w:val="BodyText"/>
      </w:pPr>
      <w:r>
        <w:rPr>
          <w:bCs/>
          <w:b/>
        </w:rPr>
        <w:t xml:space="preserve">Analyse.</w:t>
      </w:r>
      <w:r>
        <w:t xml:space="preserve"> </w:t>
      </w:r>
      <w:r>
        <w:t xml:space="preserve">Polytechnique sort en tête nette avec 8 surclassements et</w:t>
      </w:r>
      <w:r>
        <w:t xml:space="preserve"> </w:t>
      </w:r>
      <w:r>
        <w:rPr>
          <w:bCs/>
          <w:b/>
        </w:rPr>
        <w:t xml:space="preserve">aucun surclassant</w:t>
      </w:r>
      <w:r>
        <w:t xml:space="preserve"> </w:t>
      </w:r>
      <w:r>
        <w:t xml:space="preserve">— c’est la conséquence directe du veto coût qui la protège entièrement. INSA Lyon suit avec un score net +6, écart significatif sur les suivants.</w:t>
      </w:r>
    </w:p>
    <w:p>
      <w:pPr>
        <w:pStyle w:val="BodyText"/>
      </w:pPr>
      <w:r>
        <w:rPr>
          <w:bCs/>
          <w:b/>
        </w:rPr>
        <w:t xml:space="preserve">Cas remarquable A5/A8</w:t>
      </w:r>
      <w:r>
        <w:t xml:space="preserve"> </w:t>
      </w:r>
      <w:r>
        <w:t xml:space="preserve">: Télécom Paris et UTC sont</w:t>
      </w:r>
      <w:r>
        <w:t xml:space="preserve"> </w:t>
      </w:r>
      <w:r>
        <w:rPr>
          <w:iCs/>
          <w:i/>
        </w:rPr>
        <w:t xml:space="preserve">ex æquo</w:t>
      </w:r>
      <w:r>
        <w:t xml:space="preserve"> </w:t>
      </w:r>
      <w:r>
        <w:t xml:space="preserve">avec un score net de 0. C’est une</w:t>
      </w:r>
      <w:r>
        <w:t xml:space="preserve"> </w:t>
      </w:r>
      <w:r>
        <w:rPr>
          <w:bCs/>
          <w:b/>
        </w:rPr>
        <w:t xml:space="preserve">incomparabilité de fait</w:t>
      </w:r>
      <w:r>
        <w:t xml:space="preserve"> </w:t>
      </w:r>
      <w:r>
        <w:t xml:space="preserve">typique d’ELECTRE : ni l’une ni l’autre ne dominent clairement. Pour les départager, le décideur devrait fournir une information préférentielle supplémentaire.</w:t>
      </w:r>
    </w:p>
    <w:p>
      <w:r>
        <w:pict>
          <v:rect style="width:0;height:1.5pt" o:hralign="center" o:hrstd="t" o:hr="t"/>
        </w:pict>
      </w:r>
    </w:p>
    <w:bookmarkEnd w:id="36"/>
    <w:bookmarkEnd w:id="37"/>
    <w:bookmarkStart w:id="43" w:name="résultats-et-comparaison-des-méthodes"/>
    <w:p>
      <w:pPr>
        <w:pStyle w:val="Heading2"/>
      </w:pPr>
      <w:r>
        <w:t xml:space="preserve">4. Résultats et comparaison des méthodes</w:t>
      </w:r>
    </w:p>
    <w:bookmarkStart w:id="38" w:name="tableau-de-synthèse"/>
    <w:p>
      <w:pPr>
        <w:pStyle w:val="Heading3"/>
      </w:pPr>
      <w:r>
        <w:t xml:space="preserve">4.1 Tableau de synthèse</w:t>
      </w:r>
    </w:p>
    <w:tbl>
      <w:tblPr>
        <w:tblStyle w:val="Table"/>
        <w:tblW w:type="pct" w:w="5000"/>
        <w:tblLook w:firstRow="1" w:lastRow="0" w:firstColumn="0" w:lastColumn="0" w:noHBand="0" w:noVBand="0" w:val="0020"/>
        <w:jc w:val="start"/>
      </w:tblPr>
      <w:tblGrid>
        <w:gridCol w:w="2230"/>
        <w:gridCol w:w="1115"/>
        <w:gridCol w:w="557"/>
        <w:gridCol w:w="1003"/>
        <w:gridCol w:w="669"/>
        <w:gridCol w:w="1003"/>
        <w:gridCol w:w="1338"/>
      </w:tblGrid>
      <w:tr>
        <w:trPr>
          <w:tblHeader w:val="true"/>
        </w:trPr>
        <w:tc>
          <w:tcPr/>
          <w:p>
            <w:pPr>
              <w:pStyle w:val="Compact"/>
              <w:jc w:val="left"/>
            </w:pPr>
            <w:r>
              <w:t xml:space="preserve">École</w:t>
            </w:r>
          </w:p>
        </w:tc>
        <w:tc>
          <w:tcPr/>
          <w:p>
            <w:pPr>
              <w:pStyle w:val="Compact"/>
              <w:jc w:val="left"/>
            </w:pPr>
            <w:r>
              <w:t xml:space="preserve">Somme P.</w:t>
            </w:r>
          </w:p>
        </w:tc>
        <w:tc>
          <w:tcPr/>
          <w:p>
            <w:pPr>
              <w:pStyle w:val="Compact"/>
              <w:jc w:val="left"/>
            </w:pPr>
            <w:r>
              <w:t xml:space="preserve">OWA</w:t>
            </w:r>
          </w:p>
        </w:tc>
        <w:tc>
          <w:tcPr/>
          <w:p>
            <w:pPr>
              <w:pStyle w:val="Compact"/>
              <w:jc w:val="left"/>
            </w:pPr>
            <w:r>
              <w:t xml:space="preserve">Choquet</w:t>
            </w:r>
          </w:p>
        </w:tc>
        <w:tc>
          <w:tcPr/>
          <w:p>
            <w:pPr>
              <w:pStyle w:val="Compact"/>
              <w:jc w:val="left"/>
            </w:pPr>
            <w:r>
              <w:t xml:space="preserve">Min</w:t>
            </w:r>
          </w:p>
        </w:tc>
        <w:tc>
          <w:tcPr/>
          <w:p>
            <w:pPr>
              <w:pStyle w:val="Compact"/>
              <w:jc w:val="left"/>
            </w:pPr>
            <w:r>
              <w:t xml:space="preserve">ELECTRE</w:t>
            </w:r>
          </w:p>
        </w:tc>
        <w:tc>
          <w:tcPr/>
          <w:p>
            <w:pPr>
              <w:pStyle w:val="Compact"/>
              <w:jc w:val="left"/>
            </w:pPr>
            <w:r>
              <w:t xml:space="preserve">Rang moyen</w:t>
            </w:r>
          </w:p>
        </w:tc>
      </w:tr>
      <w:tr>
        <w:tc>
          <w:tcPr/>
          <w:p>
            <w:pPr>
              <w:pStyle w:val="Compact"/>
              <w:jc w:val="left"/>
            </w:pPr>
            <w:r>
              <w:t xml:space="preserve">A1 Polytechnique</w:t>
            </w:r>
          </w:p>
        </w:tc>
        <w:tc>
          <w:tcPr/>
          <w:p>
            <w:pPr>
              <w:pStyle w:val="Compact"/>
              <w:jc w:val="left"/>
            </w:pPr>
            <w:r>
              <w:rPr>
                <w:bCs/>
                <w:b/>
              </w:rPr>
              <w:t xml:space="preserve">1</w:t>
            </w:r>
          </w:p>
        </w:tc>
        <w:tc>
          <w:tcPr/>
          <w:p>
            <w:pPr>
              <w:pStyle w:val="Compact"/>
              <w:jc w:val="left"/>
            </w:pPr>
            <w:r>
              <w:t xml:space="preserve">2</w:t>
            </w:r>
          </w:p>
        </w:tc>
        <w:tc>
          <w:tcPr/>
          <w:p>
            <w:pPr>
              <w:pStyle w:val="Compact"/>
              <w:jc w:val="left"/>
            </w:pPr>
            <w:r>
              <w:rPr>
                <w:bCs/>
                <w:b/>
              </w:rPr>
              <w:t xml:space="preserve">1</w:t>
            </w:r>
          </w:p>
        </w:tc>
        <w:tc>
          <w:tcPr/>
          <w:p>
            <w:pPr>
              <w:pStyle w:val="Compact"/>
              <w:jc w:val="left"/>
            </w:pPr>
            <w:r>
              <w:t xml:space="preserve">4</w:t>
            </w:r>
          </w:p>
        </w:tc>
        <w:tc>
          <w:tcPr/>
          <w:p>
            <w:pPr>
              <w:pStyle w:val="Compact"/>
              <w:jc w:val="left"/>
            </w:pPr>
            <w:r>
              <w:rPr>
                <w:bCs/>
                <w:b/>
              </w:rPr>
              <w:t xml:space="preserve">1</w:t>
            </w:r>
          </w:p>
        </w:tc>
        <w:tc>
          <w:tcPr/>
          <w:p>
            <w:pPr>
              <w:pStyle w:val="Compact"/>
              <w:jc w:val="left"/>
            </w:pPr>
            <w:r>
              <w:t xml:space="preserve">1,8</w:t>
            </w:r>
          </w:p>
        </w:tc>
      </w:tr>
      <w:tr>
        <w:tc>
          <w:tcPr/>
          <w:p>
            <w:pPr>
              <w:pStyle w:val="Compact"/>
              <w:jc w:val="left"/>
            </w:pPr>
            <w:r>
              <w:t xml:space="preserve">A7 INSA Lyon</w:t>
            </w:r>
          </w:p>
        </w:tc>
        <w:tc>
          <w:tcPr/>
          <w:p>
            <w:pPr>
              <w:pStyle w:val="Compact"/>
              <w:jc w:val="left"/>
            </w:pPr>
            <w:r>
              <w:t xml:space="preserve">2</w:t>
            </w:r>
          </w:p>
        </w:tc>
        <w:tc>
          <w:tcPr/>
          <w:p>
            <w:pPr>
              <w:pStyle w:val="Compact"/>
              <w:jc w:val="left"/>
            </w:pPr>
            <w:r>
              <w:rPr>
                <w:bCs/>
                <w:b/>
              </w:rPr>
              <w:t xml:space="preserve">1</w:t>
            </w:r>
          </w:p>
        </w:tc>
        <w:tc>
          <w:tcPr/>
          <w:p>
            <w:pPr>
              <w:pStyle w:val="Compact"/>
              <w:jc w:val="left"/>
            </w:pPr>
            <w:r>
              <w:t xml:space="preserve">2</w:t>
            </w:r>
          </w:p>
        </w:tc>
        <w:tc>
          <w:tcPr/>
          <w:p>
            <w:pPr>
              <w:pStyle w:val="Compact"/>
              <w:jc w:val="left"/>
            </w:pPr>
            <w:r>
              <w:t xml:space="preserve">4</w:t>
            </w:r>
          </w:p>
        </w:tc>
        <w:tc>
          <w:tcPr/>
          <w:p>
            <w:pPr>
              <w:pStyle w:val="Compact"/>
              <w:jc w:val="left"/>
            </w:pPr>
            <w:r>
              <w:t xml:space="preserve">2</w:t>
            </w:r>
          </w:p>
        </w:tc>
        <w:tc>
          <w:tcPr/>
          <w:p>
            <w:pPr>
              <w:pStyle w:val="Compact"/>
              <w:jc w:val="left"/>
            </w:pPr>
            <w:r>
              <w:t xml:space="preserve">2,2</w:t>
            </w:r>
          </w:p>
        </w:tc>
      </w:tr>
      <w:tr>
        <w:tc>
          <w:tcPr/>
          <w:p>
            <w:pPr>
              <w:pStyle w:val="Compact"/>
              <w:jc w:val="left"/>
            </w:pPr>
            <w:r>
              <w:t xml:space="preserve">A2 CentraleSupélec</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t xml:space="preserve">3,0</w:t>
            </w:r>
          </w:p>
        </w:tc>
      </w:tr>
      <w:tr>
        <w:tc>
          <w:tcPr/>
          <w:p>
            <w:pPr>
              <w:pStyle w:val="Compact"/>
              <w:jc w:val="left"/>
            </w:pPr>
            <w:r>
              <w:t xml:space="preserve">A8 UTC</w:t>
            </w:r>
          </w:p>
        </w:tc>
        <w:tc>
          <w:tcPr/>
          <w:p>
            <w:pPr>
              <w:pStyle w:val="Compact"/>
              <w:jc w:val="left"/>
            </w:pPr>
            <w:r>
              <w:t xml:space="preserve">4</w:t>
            </w:r>
          </w:p>
        </w:tc>
        <w:tc>
          <w:tcPr/>
          <w:p>
            <w:pPr>
              <w:pStyle w:val="Compact"/>
              <w:jc w:val="left"/>
            </w:pPr>
            <w:r>
              <w:t xml:space="preserve">5</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4,2</w:t>
            </w:r>
          </w:p>
        </w:tc>
      </w:tr>
      <w:tr>
        <w:tc>
          <w:tcPr/>
          <w:p>
            <w:pPr>
              <w:pStyle w:val="Compact"/>
              <w:jc w:val="left"/>
            </w:pPr>
            <w:r>
              <w:t xml:space="preserve">A5 Télécom Paris</w:t>
            </w:r>
          </w:p>
        </w:tc>
        <w:tc>
          <w:tcPr/>
          <w:p>
            <w:pPr>
              <w:pStyle w:val="Compact"/>
              <w:jc w:val="left"/>
            </w:pPr>
            <w:r>
              <w:t xml:space="preserve">6</w:t>
            </w:r>
          </w:p>
        </w:tc>
        <w:tc>
          <w:tcPr/>
          <w:p>
            <w:pPr>
              <w:pStyle w:val="Compact"/>
              <w:jc w:val="left"/>
            </w:pPr>
            <w:r>
              <w:t xml:space="preserve">6</w:t>
            </w:r>
          </w:p>
        </w:tc>
        <w:tc>
          <w:tcPr/>
          <w:p>
            <w:pPr>
              <w:pStyle w:val="Compact"/>
              <w:jc w:val="left"/>
            </w:pPr>
            <w:r>
              <w:t xml:space="preserve">6</w:t>
            </w:r>
          </w:p>
        </w:tc>
        <w:tc>
          <w:tcPr/>
          <w:p>
            <w:pPr>
              <w:pStyle w:val="Compact"/>
              <w:jc w:val="left"/>
            </w:pPr>
            <w:r>
              <w:rPr>
                <w:bCs/>
                <w:b/>
              </w:rPr>
              <w:t xml:space="preserve">1</w:t>
            </w:r>
          </w:p>
        </w:tc>
        <w:tc>
          <w:tcPr/>
          <w:p>
            <w:pPr>
              <w:pStyle w:val="Compact"/>
              <w:jc w:val="left"/>
            </w:pPr>
            <w:r>
              <w:t xml:space="preserve">4</w:t>
            </w:r>
          </w:p>
        </w:tc>
        <w:tc>
          <w:tcPr/>
          <w:p>
            <w:pPr>
              <w:pStyle w:val="Compact"/>
              <w:jc w:val="left"/>
            </w:pPr>
            <w:r>
              <w:t xml:space="preserve">4,6</w:t>
            </w:r>
          </w:p>
        </w:tc>
      </w:tr>
      <w:tr>
        <w:tc>
          <w:tcPr/>
          <w:p>
            <w:pPr>
              <w:pStyle w:val="Compact"/>
              <w:jc w:val="left"/>
            </w:pPr>
            <w:r>
              <w:t xml:space="preserve">A10 Arts et Métiers</w:t>
            </w:r>
          </w:p>
        </w:tc>
        <w:tc>
          <w:tcPr/>
          <w:p>
            <w:pPr>
              <w:pStyle w:val="Compact"/>
              <w:jc w:val="left"/>
            </w:pPr>
            <w:r>
              <w:t xml:space="preserve">5</w:t>
            </w:r>
          </w:p>
        </w:tc>
        <w:tc>
          <w:tcPr/>
          <w:p>
            <w:pPr>
              <w:pStyle w:val="Compact"/>
              <w:jc w:val="left"/>
            </w:pPr>
            <w:r>
              <w:t xml:space="preserve">4</w:t>
            </w:r>
          </w:p>
        </w:tc>
        <w:tc>
          <w:tcPr/>
          <w:p>
            <w:pPr>
              <w:pStyle w:val="Compact"/>
              <w:jc w:val="left"/>
            </w:pPr>
            <w:r>
              <w:t xml:space="preserve">5</w:t>
            </w:r>
          </w:p>
        </w:tc>
        <w:tc>
          <w:tcPr/>
          <w:p>
            <w:pPr>
              <w:pStyle w:val="Compact"/>
              <w:jc w:val="left"/>
            </w:pPr>
            <w:r>
              <w:t xml:space="preserve">4</w:t>
            </w:r>
          </w:p>
        </w:tc>
        <w:tc>
          <w:tcPr/>
          <w:p>
            <w:pPr>
              <w:pStyle w:val="Compact"/>
              <w:jc w:val="left"/>
            </w:pPr>
            <w:r>
              <w:t xml:space="preserve">6</w:t>
            </w:r>
          </w:p>
        </w:tc>
        <w:tc>
          <w:tcPr/>
          <w:p>
            <w:pPr>
              <w:pStyle w:val="Compact"/>
              <w:jc w:val="left"/>
            </w:pPr>
            <w:r>
              <w:t xml:space="preserve">4,8</w:t>
            </w:r>
          </w:p>
        </w:tc>
      </w:tr>
      <w:tr>
        <w:tc>
          <w:tcPr/>
          <w:p>
            <w:pPr>
              <w:pStyle w:val="Compact"/>
              <w:jc w:val="left"/>
            </w:pPr>
            <w:r>
              <w:t xml:space="preserve">A9 IMT Atlantique</w:t>
            </w:r>
          </w:p>
        </w:tc>
        <w:tc>
          <w:tcPr/>
          <w:p>
            <w:pPr>
              <w:pStyle w:val="Compact"/>
              <w:jc w:val="left"/>
            </w:pPr>
            <w:r>
              <w:t xml:space="preserve">7</w:t>
            </w:r>
          </w:p>
        </w:tc>
        <w:tc>
          <w:tcPr/>
          <w:p>
            <w:pPr>
              <w:pStyle w:val="Compact"/>
              <w:jc w:val="left"/>
            </w:pPr>
            <w:r>
              <w:t xml:space="preserve">7</w:t>
            </w:r>
          </w:p>
        </w:tc>
        <w:tc>
          <w:tcPr/>
          <w:p>
            <w:pPr>
              <w:pStyle w:val="Compact"/>
              <w:jc w:val="left"/>
            </w:pPr>
            <w:r>
              <w:t xml:space="preserve">7</w:t>
            </w:r>
          </w:p>
        </w:tc>
        <w:tc>
          <w:tcPr/>
          <w:p>
            <w:pPr>
              <w:pStyle w:val="Compact"/>
              <w:jc w:val="left"/>
            </w:pPr>
            <w:r>
              <w:t xml:space="preserve">2</w:t>
            </w:r>
          </w:p>
        </w:tc>
        <w:tc>
          <w:tcPr/>
          <w:p>
            <w:pPr>
              <w:pStyle w:val="Compact"/>
              <w:jc w:val="left"/>
            </w:pPr>
            <w:r>
              <w:t xml:space="preserve">8</w:t>
            </w:r>
          </w:p>
        </w:tc>
        <w:tc>
          <w:tcPr/>
          <w:p>
            <w:pPr>
              <w:pStyle w:val="Compact"/>
              <w:jc w:val="left"/>
            </w:pPr>
            <w:r>
              <w:t xml:space="preserve">6,2</w:t>
            </w:r>
          </w:p>
        </w:tc>
      </w:tr>
      <w:tr>
        <w:tc>
          <w:tcPr/>
          <w:p>
            <w:pPr>
              <w:pStyle w:val="Compact"/>
              <w:jc w:val="left"/>
            </w:pPr>
            <w:r>
              <w:t xml:space="preserve">A4 ENSTA Paris</w:t>
            </w:r>
          </w:p>
        </w:tc>
        <w:tc>
          <w:tcPr/>
          <w:p>
            <w:pPr>
              <w:pStyle w:val="Compact"/>
              <w:jc w:val="left"/>
            </w:pPr>
            <w:r>
              <w:t xml:space="preserve">8</w:t>
            </w:r>
          </w:p>
        </w:tc>
        <w:tc>
          <w:tcPr/>
          <w:p>
            <w:pPr>
              <w:pStyle w:val="Compact"/>
              <w:jc w:val="left"/>
            </w:pPr>
            <w:r>
              <w:t xml:space="preserve">8</w:t>
            </w:r>
          </w:p>
        </w:tc>
        <w:tc>
          <w:tcPr/>
          <w:p>
            <w:pPr>
              <w:pStyle w:val="Compact"/>
              <w:jc w:val="left"/>
            </w:pPr>
            <w:r>
              <w:t xml:space="preserve">8</w:t>
            </w:r>
          </w:p>
        </w:tc>
        <w:tc>
          <w:tcPr/>
          <w:p>
            <w:pPr>
              <w:pStyle w:val="Compact"/>
              <w:jc w:val="left"/>
            </w:pPr>
            <w:r>
              <w:t xml:space="preserve">4</w:t>
            </w:r>
          </w:p>
        </w:tc>
        <w:tc>
          <w:tcPr/>
          <w:p>
            <w:pPr>
              <w:pStyle w:val="Compact"/>
              <w:jc w:val="left"/>
            </w:pPr>
            <w:r>
              <w:t xml:space="preserve">9</w:t>
            </w:r>
          </w:p>
        </w:tc>
        <w:tc>
          <w:tcPr/>
          <w:p>
            <w:pPr>
              <w:pStyle w:val="Compact"/>
              <w:jc w:val="left"/>
            </w:pPr>
            <w:r>
              <w:t xml:space="preserve">7,4</w:t>
            </w:r>
          </w:p>
        </w:tc>
      </w:tr>
      <w:tr>
        <w:tc>
          <w:tcPr/>
          <w:p>
            <w:pPr>
              <w:pStyle w:val="Compact"/>
              <w:jc w:val="left"/>
            </w:pPr>
            <w:r>
              <w:t xml:space="preserve">A3 Mines Paris</w:t>
            </w:r>
          </w:p>
        </w:tc>
        <w:tc>
          <w:tcPr/>
          <w:p>
            <w:pPr>
              <w:pStyle w:val="Compact"/>
              <w:jc w:val="left"/>
            </w:pPr>
            <w:r>
              <w:t xml:space="preserve">9</w:t>
            </w:r>
          </w:p>
        </w:tc>
        <w:tc>
          <w:tcPr/>
          <w:p>
            <w:pPr>
              <w:pStyle w:val="Compact"/>
              <w:jc w:val="left"/>
            </w:pPr>
            <w:r>
              <w:t xml:space="preserve">9</w:t>
            </w:r>
          </w:p>
        </w:tc>
        <w:tc>
          <w:tcPr/>
          <w:p>
            <w:pPr>
              <w:pStyle w:val="Compact"/>
              <w:jc w:val="left"/>
            </w:pPr>
            <w:r>
              <w:t xml:space="preserve">9</w:t>
            </w:r>
          </w:p>
        </w:tc>
        <w:tc>
          <w:tcPr/>
          <w:p>
            <w:pPr>
              <w:pStyle w:val="Compact"/>
              <w:jc w:val="left"/>
            </w:pPr>
            <w:r>
              <w:t xml:space="preserve">4</w:t>
            </w:r>
          </w:p>
        </w:tc>
        <w:tc>
          <w:tcPr/>
          <w:p>
            <w:pPr>
              <w:pStyle w:val="Compact"/>
              <w:jc w:val="left"/>
            </w:pPr>
            <w:r>
              <w:t xml:space="preserve">7</w:t>
            </w:r>
          </w:p>
        </w:tc>
        <w:tc>
          <w:tcPr/>
          <w:p>
            <w:pPr>
              <w:pStyle w:val="Compact"/>
              <w:jc w:val="left"/>
            </w:pPr>
            <w:r>
              <w:t xml:space="preserve">7,6</w:t>
            </w:r>
          </w:p>
        </w:tc>
      </w:tr>
      <w:tr>
        <w:tc>
          <w:tcPr/>
          <w:p>
            <w:pPr>
              <w:pStyle w:val="Compact"/>
              <w:jc w:val="left"/>
            </w:pPr>
            <w:r>
              <w:t xml:space="preserve">A6 ENPC</w:t>
            </w:r>
          </w:p>
        </w:tc>
        <w:tc>
          <w:tcPr/>
          <w:p>
            <w:pPr>
              <w:pStyle w:val="Compact"/>
              <w:jc w:val="left"/>
            </w:pPr>
            <w:r>
              <w:t xml:space="preserve">10</w:t>
            </w:r>
          </w:p>
        </w:tc>
        <w:tc>
          <w:tcPr/>
          <w:p>
            <w:pPr>
              <w:pStyle w:val="Compact"/>
              <w:jc w:val="left"/>
            </w:pPr>
            <w:r>
              <w:t xml:space="preserve">10</w:t>
            </w:r>
          </w:p>
        </w:tc>
        <w:tc>
          <w:tcPr/>
          <w:p>
            <w:pPr>
              <w:pStyle w:val="Compact"/>
              <w:jc w:val="left"/>
            </w:pPr>
            <w:r>
              <w:t xml:space="preserve">10</w:t>
            </w:r>
          </w:p>
        </w:tc>
        <w:tc>
          <w:tcPr/>
          <w:p>
            <w:pPr>
              <w:pStyle w:val="Compact"/>
              <w:jc w:val="left"/>
            </w:pPr>
            <w:r>
              <w:t xml:space="preserve">4</w:t>
            </w:r>
          </w:p>
        </w:tc>
        <w:tc>
          <w:tcPr/>
          <w:p>
            <w:pPr>
              <w:pStyle w:val="Compact"/>
              <w:jc w:val="left"/>
            </w:pPr>
            <w:r>
              <w:t xml:space="preserve">10</w:t>
            </w:r>
          </w:p>
        </w:tc>
        <w:tc>
          <w:tcPr/>
          <w:p>
            <w:pPr>
              <w:pStyle w:val="Compact"/>
              <w:jc w:val="left"/>
            </w:pPr>
            <w:r>
              <w:t xml:space="preserve">8,8</w:t>
            </w:r>
          </w:p>
        </w:tc>
      </w:tr>
    </w:tbl>
    <w:bookmarkEnd w:id="38"/>
    <w:bookmarkStart w:id="39" w:name="convergences-fortes"/>
    <w:p>
      <w:pPr>
        <w:pStyle w:val="Heading3"/>
      </w:pPr>
      <w:r>
        <w:t xml:space="preserve">4.2 Convergences fortes</w:t>
      </w:r>
    </w:p>
    <w:p>
      <w:pPr>
        <w:pStyle w:val="FirstParagraph"/>
      </w:pPr>
      <w:r>
        <w:rPr>
          <w:bCs/>
          <w:b/>
        </w:rPr>
        <w:t xml:space="preserve">Polytechnique et INSA Lyon sortent en tête de quatre méthodes sur cinq</w:t>
      </w:r>
      <w:r>
        <w:t xml:space="preserve"> </w:t>
      </w:r>
      <w:r>
        <w:t xml:space="preserve">(la cinquième, Min, étant écartée comme contre-exemple). C’est la conclusion la plus robuste de l’analyse :</w:t>
      </w:r>
    </w:p>
    <w:p>
      <w:pPr>
        <w:numPr>
          <w:ilvl w:val="0"/>
          <w:numId w:val="1023"/>
        </w:numPr>
        <w:pStyle w:val="Compact"/>
      </w:pPr>
      <w:r>
        <w:rPr>
          <w:bCs/>
          <w:b/>
        </w:rPr>
        <w:t xml:space="preserve">Polytechnique</w:t>
      </w:r>
      <w:r>
        <w:t xml:space="preserve"> </w:t>
      </w:r>
      <w:r>
        <w:t xml:space="preserve">est</w:t>
      </w:r>
      <w:r>
        <w:t xml:space="preserve"> </w:t>
      </w:r>
      <w:r>
        <w:rPr>
          <w:iCs/>
          <w:i/>
        </w:rPr>
        <w:t xml:space="preserve">recommandée</w:t>
      </w:r>
      <w:r>
        <w:t xml:space="preserve"> </w:t>
      </w:r>
      <w:r>
        <w:t xml:space="preserve">par la somme pondérée, Choquet et ELECTRE ;</w:t>
      </w:r>
      <w:r>
        <w:t xml:space="preserve"> </w:t>
      </w:r>
      <w:r>
        <w:rPr>
          <w:iCs/>
          <w:i/>
        </w:rPr>
        <w:t xml:space="preserve">seconde</w:t>
      </w:r>
      <w:r>
        <w:t xml:space="preserve"> </w:t>
      </w:r>
      <w:r>
        <w:t xml:space="preserve">en OWA. Sa force vient de l’accumulation d’avantages sur les critères les plus pondérés (salaire, coût, emploi). Son point faible (diversité sociale à 0) ne suffit jamais à la déclasser.</w:t>
      </w:r>
    </w:p>
    <w:p>
      <w:pPr>
        <w:numPr>
          <w:ilvl w:val="0"/>
          <w:numId w:val="1023"/>
        </w:numPr>
        <w:pStyle w:val="Compact"/>
      </w:pPr>
      <w:r>
        <w:rPr>
          <w:bCs/>
          <w:b/>
        </w:rPr>
        <w:t xml:space="preserve">INSA Lyon</w:t>
      </w:r>
      <w:r>
        <w:t xml:space="preserve"> </w:t>
      </w:r>
      <w:r>
        <w:t xml:space="preserve">est</w:t>
      </w:r>
      <w:r>
        <w:t xml:space="preserve"> </w:t>
      </w:r>
      <w:r>
        <w:rPr>
          <w:iCs/>
          <w:i/>
        </w:rPr>
        <w:t xml:space="preserve">recommandée</w:t>
      </w:r>
      <w:r>
        <w:t xml:space="preserve"> </w:t>
      </w:r>
      <w:r>
        <w:t xml:space="preserve">par OWA ;</w:t>
      </w:r>
      <w:r>
        <w:t xml:space="preserve"> </w:t>
      </w:r>
      <w:r>
        <w:rPr>
          <w:iCs/>
          <w:i/>
        </w:rPr>
        <w:t xml:space="preserve">seconde</w:t>
      </w:r>
      <w:r>
        <w:t xml:space="preserve"> </w:t>
      </w:r>
      <w:r>
        <w:t xml:space="preserve">dans toutes les autres méthodes (sauf Min). Son profil très homogène sur les critères « expérience étudiante + sociétal » la rend remarquablement stable.</w:t>
      </w:r>
    </w:p>
    <w:p>
      <w:pPr>
        <w:pStyle w:val="FirstParagraph"/>
      </w:pPr>
      <w:r>
        <w:rPr>
          <w:bCs/>
          <w:b/>
        </w:rPr>
        <w:t xml:space="preserve">CentraleSupélec est systématiquement 3ème</w:t>
      </w:r>
      <w:r>
        <w:t xml:space="preserve"> </w:t>
      </w:r>
      <w:r>
        <w:t xml:space="preserve">: c’est l’alternative la plus stable du panel. Cette stabilité est instructive : CentraleSupélec n’excelle nulle part comme A1 ou A7, mais elle est partout dans la moitié supérieure. C’est typiquement un compromis raisonnable, à recommander à un décideur indécis.</w:t>
      </w:r>
    </w:p>
    <w:bookmarkEnd w:id="39"/>
    <w:bookmarkStart w:id="40" w:name="divergences-instructives"/>
    <w:p>
      <w:pPr>
        <w:pStyle w:val="Heading3"/>
      </w:pPr>
      <w:r>
        <w:t xml:space="preserve">4.3 Divergences instructives</w:t>
      </w:r>
    </w:p>
    <w:p>
      <w:pPr>
        <w:pStyle w:val="FirstParagraph"/>
      </w:pPr>
      <w:r>
        <w:t xml:space="preserve">Les</w:t>
      </w:r>
      <w:r>
        <w:t xml:space="preserve"> </w:t>
      </w:r>
      <w:r>
        <w:rPr>
          <w:bCs/>
          <w:b/>
        </w:rPr>
        <w:t xml:space="preserve">divergences entre méthodes</w:t>
      </w:r>
      <w:r>
        <w:t xml:space="preserve"> </w:t>
      </w:r>
      <w:r>
        <w:t xml:space="preserve">sont aussi importantes que les convergences ; elles révèlent les biais de chaque approche.</w:t>
      </w:r>
    </w:p>
    <w:p>
      <w:pPr>
        <w:pStyle w:val="BodyText"/>
      </w:pPr>
      <w:r>
        <w:rPr>
          <w:bCs/>
          <w:b/>
        </w:rPr>
        <w:t xml:space="preserve">Cas Polytechnique vs INSA Lyon</w:t>
      </w:r>
      <w:r>
        <w:t xml:space="preserve"> </w:t>
      </w:r>
      <w:r>
        <w:t xml:space="preserve">: la somme pondérée et Choquet placent Polytechnique première, OWA place INSA première. La raison est claire :</w:t>
      </w:r>
      <w:r>
        <w:t xml:space="preserve"> </w:t>
      </w:r>
      <w:r>
        <w:t xml:space="preserve">- Polytechnique a 3 utilités à 100 mais une à 0 (diversité sociale).</w:t>
      </w:r>
      <w:r>
        <w:t xml:space="preserve"> </w:t>
      </w:r>
      <w:r>
        <w:t xml:space="preserve">- INSA a 4 utilités ≥ 81,8 mais deux à 0 (salaire, emploi).</w:t>
      </w:r>
    </w:p>
    <w:p>
      <w:pPr>
        <w:pStyle w:val="BodyText"/>
      </w:pPr>
      <w:r>
        <w:t xml:space="preserve">Le</w:t>
      </w:r>
      <w:r>
        <w:t xml:space="preserve"> </w:t>
      </w:r>
      <w:r>
        <w:rPr>
          <w:bCs/>
          <w:b/>
        </w:rPr>
        <w:t xml:space="preserve">nombre de zéros est différent</w:t>
      </w:r>
      <w:r>
        <w:t xml:space="preserve"> </w:t>
      </w:r>
      <w:r>
        <w:t xml:space="preserve">(1 vs 2) — mais le</w:t>
      </w:r>
      <w:r>
        <w:t xml:space="preserve"> </w:t>
      </w:r>
      <w:r>
        <w:rPr>
          <w:bCs/>
          <w:b/>
        </w:rPr>
        <w:t xml:space="preserve">poids</w:t>
      </w:r>
      <w:r>
        <w:t xml:space="preserve"> </w:t>
      </w:r>
      <w:r>
        <w:t xml:space="preserve">des zéros diffère aussi : pour Polytechnique le zéro est sur g4 (poids 0,10), pour INSA les zéros sont sur g1 (0,25) et g2 (0,10). La somme pondérée gère ces différences via les poids ; l’OWA via le rang. Les deux logiques sont défendables.</w:t>
      </w:r>
    </w:p>
    <w:p>
      <w:pPr>
        <w:pStyle w:val="BodyText"/>
      </w:pPr>
      <w:r>
        <w:rPr>
          <w:bCs/>
          <w:b/>
        </w:rPr>
        <w:t xml:space="preserve">Cas Mines Paris</w:t>
      </w:r>
      <w:r>
        <w:t xml:space="preserve"> </w:t>
      </w:r>
      <w:r>
        <w:t xml:space="preserve">: 9ème en agrégation (Somme P., OWA, Choquet) mais 7ème en ELECTRE. La raison : Mines Paris est</w:t>
      </w:r>
      <w:r>
        <w:t xml:space="preserve"> </w:t>
      </w:r>
      <w:r>
        <w:rPr>
          <w:iCs/>
          <w:i/>
        </w:rPr>
        <w:t xml:space="preserve">fortement pénalisée</w:t>
      </w:r>
      <w:r>
        <w:t xml:space="preserve"> </w:t>
      </w:r>
      <w:r>
        <w:t xml:space="preserve">par u3 (coût) et u6 (vie asso) à 0 ou faible en agrégation, mais en ELECTRE elle parvient à</w:t>
      </w:r>
      <w:r>
        <w:t xml:space="preserve"> </w:t>
      </w:r>
      <w:r>
        <w:rPr>
          <w:iCs/>
          <w:i/>
        </w:rPr>
        <w:t xml:space="preserve">surclasser</w:t>
      </w:r>
      <w:r>
        <w:t xml:space="preserve"> </w:t>
      </w:r>
      <w:r>
        <w:t xml:space="preserve">3 alternatives (A4, A5, A6) qui ne déclenchent pas le veto contre elle.</w:t>
      </w:r>
    </w:p>
    <w:p>
      <w:pPr>
        <w:pStyle w:val="BodyText"/>
      </w:pPr>
      <w:r>
        <w:rPr>
          <w:bCs/>
          <w:b/>
        </w:rPr>
        <w:t xml:space="preserve">Cas Min</w:t>
      </w:r>
      <w:r>
        <w:t xml:space="preserve"> </w:t>
      </w:r>
      <w:r>
        <w:t xml:space="preserve">: déjà analysé en §3.4. Cette méthode produit ici des résultats incohérents avec le profil du décideur ; nous l’avons conservée comme indicateur de l’effet d’une approche purement pessimiste, mais elle n’est pas retenue pour la recommandation finale.</w:t>
      </w:r>
    </w:p>
    <w:bookmarkEnd w:id="40"/>
    <w:bookmarkStart w:id="41" w:name="recommandation-robuste"/>
    <w:p>
      <w:pPr>
        <w:pStyle w:val="Heading3"/>
      </w:pPr>
      <w:r>
        <w:t xml:space="preserve">4.4 Recommandation robuste</w:t>
      </w:r>
    </w:p>
    <w:p>
      <w:pPr>
        <w:pStyle w:val="FirstParagraph"/>
      </w:pPr>
      <w:r>
        <w:t xml:space="preserve">Sur la base de la convergence de quatre méthodes (somme pondérée, OWA, Choquet, ELECTRE) :</w:t>
      </w:r>
    </w:p>
    <w:p>
      <w:pPr>
        <w:numPr>
          <w:ilvl w:val="0"/>
          <w:numId w:val="1024"/>
        </w:numPr>
        <w:pStyle w:val="Compact"/>
      </w:pPr>
      <w:r>
        <w:rPr>
          <w:bCs/>
          <w:b/>
        </w:rPr>
        <w:t xml:space="preserve">Top 2 robuste</w:t>
      </w:r>
      <w:r>
        <w:t xml:space="preserve"> </w:t>
      </w:r>
      <w:r>
        <w:t xml:space="preserve">: Polytechnique (A1) et INSA Lyon (A7) sont les deux alternatives à privilégier. Aucune méthode ne les place hors du top 2 (à l’exception de Min, écartée).</w:t>
      </w:r>
    </w:p>
    <w:p>
      <w:pPr>
        <w:numPr>
          <w:ilvl w:val="0"/>
          <w:numId w:val="1024"/>
        </w:numPr>
        <w:pStyle w:val="Compact"/>
      </w:pPr>
      <w:r>
        <w:rPr>
          <w:bCs/>
          <w:b/>
        </w:rPr>
        <w:t xml:space="preserve">Compromis stable</w:t>
      </w:r>
      <w:r>
        <w:t xml:space="preserve"> </w:t>
      </w:r>
      <w:r>
        <w:t xml:space="preserve">: CentraleSupélec (A2) en 3ème position dans toutes les méthodes.</w:t>
      </w:r>
    </w:p>
    <w:p>
      <w:pPr>
        <w:numPr>
          <w:ilvl w:val="0"/>
          <w:numId w:val="1024"/>
        </w:numPr>
        <w:pStyle w:val="Compact"/>
      </w:pPr>
      <w:r>
        <w:rPr>
          <w:bCs/>
          <w:b/>
        </w:rPr>
        <w:t xml:space="preserve">Recommandation finale au décideur</w:t>
      </w:r>
      <w:r>
        <w:t xml:space="preserve"> </w:t>
      </w:r>
      <w:r>
        <w:t xml:space="preserve">:</w:t>
      </w:r>
      <w:r>
        <w:t xml:space="preserve"> </w:t>
      </w:r>
      <w:r>
        <w:rPr>
          <w:iCs/>
          <w:i/>
        </w:rPr>
        <w:t xml:space="preserve">« Vos deux choix de tête sont Polytechnique et INSA Lyon. Polytechnique gagne si vous valorisez l’excellence académique et financière ; INSA Lyon gagne si vous donnez plus de poids à l’expérience étudiante. CentraleSupélec est un compromis solide en troisième position. »</w:t>
      </w:r>
    </w:p>
    <w:p>
      <w:pPr>
        <w:pStyle w:val="FirstParagraph"/>
      </w:pPr>
      <w:r>
        <w:t xml:space="preserve">Cette recommandation est</w:t>
      </w:r>
      <w:r>
        <w:t xml:space="preserve"> </w:t>
      </w:r>
      <w:r>
        <w:rPr>
          <w:bCs/>
          <w:b/>
        </w:rPr>
        <w:t xml:space="preserve">transparente</w:t>
      </w:r>
      <w:r>
        <w:t xml:space="preserve"> </w:t>
      </w:r>
      <w:r>
        <w:t xml:space="preserve">: elle n’impose pas un choix, elle l’éclaire.</w:t>
      </w:r>
    </w:p>
    <w:bookmarkEnd w:id="41"/>
    <w:bookmarkStart w:id="42" w:name="X2186dd4827e186ea127b678436ea1d153f0b465"/>
    <w:p>
      <w:pPr>
        <w:pStyle w:val="Heading3"/>
      </w:pPr>
      <w:r>
        <w:t xml:space="preserve">4.5 Analyse de sensibilité (optionnel pour soutenance)</w:t>
      </w:r>
    </w:p>
    <w:p>
      <w:pPr>
        <w:pStyle w:val="FirstParagraph"/>
      </w:pPr>
      <w:r>
        <w:t xml:space="preserve">Pour vérifier la robustesse du résultat, deux analyses de sensibilité sont possibles (à conduire dans le script Python) :</w:t>
      </w:r>
    </w:p>
    <w:p>
      <w:pPr>
        <w:numPr>
          <w:ilvl w:val="0"/>
          <w:numId w:val="1025"/>
        </w:numPr>
        <w:pStyle w:val="Compact"/>
      </w:pPr>
      <w:r>
        <w:rPr>
          <w:bCs/>
          <w:b/>
        </w:rPr>
        <w:t xml:space="preserve">Variation des poids</w:t>
      </w:r>
      <w:r>
        <w:t xml:space="preserve"> </w:t>
      </w:r>
      <w:r>
        <w:t xml:space="preserve">: faire varier</w:t>
      </w:r>
      <w:r>
        <w:t xml:space="preserve"> </w:t>
      </w:r>
      <w:r>
        <w:rPr>
          <w:iCs/>
          <w:i/>
        </w:rPr>
        <w:t xml:space="preserve">w₁</w:t>
      </w:r>
      <w:r>
        <w:t xml:space="preserve"> </w:t>
      </w:r>
      <w:r>
        <w:t xml:space="preserve">(poids du salaire) de ±20 % et observer si le top 3 reste inchangé. Si oui → résultat robuste.</w:t>
      </w:r>
    </w:p>
    <w:p>
      <w:pPr>
        <w:numPr>
          <w:ilvl w:val="0"/>
          <w:numId w:val="1025"/>
        </w:numPr>
        <w:pStyle w:val="Compact"/>
      </w:pPr>
      <w:r>
        <w:rPr>
          <w:bCs/>
          <w:b/>
        </w:rPr>
        <w:t xml:space="preserve">Variation des seuils ELECTRE</w:t>
      </w:r>
      <w:r>
        <w:t xml:space="preserve"> </w:t>
      </w:r>
      <w:r>
        <w:t xml:space="preserve">: abaisser le veto sur g3 (par exemple v = 6 000 €) et voir si cela libère certains surclassements bloqués.</w:t>
      </w:r>
    </w:p>
    <w:p>
      <w:pPr>
        <w:pStyle w:val="FirstParagraph"/>
      </w:pPr>
      <w:r>
        <w:t xml:space="preserve">Ces analyses seront discutées en soutenance si le temps le permet.</w:t>
      </w:r>
    </w:p>
    <w:p>
      <w:r>
        <w:pict>
          <v:rect style="width:0;height:1.5pt" o:hralign="center" o:hrstd="t" o:hr="t"/>
        </w:pict>
      </w:r>
    </w:p>
    <w:bookmarkEnd w:id="42"/>
    <w:bookmarkEnd w:id="43"/>
    <w:bookmarkStart w:id="47" w:name="analyse-critique"/>
    <w:p>
      <w:pPr>
        <w:pStyle w:val="Heading2"/>
      </w:pPr>
      <w:r>
        <w:t xml:space="preserve">5. Analyse critique</w:t>
      </w:r>
    </w:p>
    <w:bookmarkStart w:id="44" w:name="forces-et-limites-de-chaque-méthode"/>
    <w:p>
      <w:pPr>
        <w:pStyle w:val="Heading3"/>
      </w:pPr>
      <w:r>
        <w:t xml:space="preserve">5.1 Forces et limites de chaque méthode</w:t>
      </w:r>
    </w:p>
    <w:p>
      <w:pPr>
        <w:pStyle w:val="FirstParagraph"/>
      </w:pPr>
      <w:r>
        <w:rPr>
          <w:bCs/>
          <w:b/>
        </w:rPr>
        <w:t xml:space="preserve">Somme pondérée</w:t>
      </w:r>
      <w:r>
        <w:t xml:space="preserve"> </w:t>
      </w:r>
      <w:r>
        <w:t xml:space="preserve">-</w:t>
      </w:r>
      <w:r>
        <w:t xml:space="preserve"> </w:t>
      </w:r>
      <w:r>
        <w:rPr>
          <w:iCs/>
          <w:i/>
        </w:rPr>
        <w:t xml:space="preserve">Force</w:t>
      </w:r>
      <w:r>
        <w:t xml:space="preserve"> </w:t>
      </w:r>
      <w:r>
        <w:t xml:space="preserve">: simplicité et transparence ; résultat directement interprétable comme un score.</w:t>
      </w:r>
      <w:r>
        <w:t xml:space="preserve"> </w:t>
      </w:r>
      <w:r>
        <w:t xml:space="preserve">-</w:t>
      </w:r>
      <w:r>
        <w:t xml:space="preserve"> </w:t>
      </w:r>
      <w:r>
        <w:rPr>
          <w:iCs/>
          <w:i/>
        </w:rPr>
        <w:t xml:space="preserve">Limite</w:t>
      </w:r>
      <w:r>
        <w:t xml:space="preserve"> </w:t>
      </w:r>
      <w:r>
        <w:t xml:space="preserve">: compensation totale — un excellent score peut « racheter » un déficit grave. Dans notre cas, Polytechnique gagne grâce à 3 utilités à 100, malgré son zéro en diversité sociale, alors que le décideur avait explicitement déclaré valoriser ce critère.</w:t>
      </w:r>
      <w:r>
        <w:t xml:space="preserve"> </w:t>
      </w:r>
      <w:r>
        <w:t xml:space="preserve">-</w:t>
      </w:r>
      <w:r>
        <w:t xml:space="preserve"> </w:t>
      </w:r>
      <w:r>
        <w:rPr>
          <w:iCs/>
          <w:i/>
        </w:rPr>
        <w:t xml:space="preserve">Limite méthodologique</w:t>
      </w:r>
      <w:r>
        <w:t xml:space="preserve"> </w:t>
      </w:r>
      <w:r>
        <w:t xml:space="preserve">: les poids sont des</w:t>
      </w:r>
      <w:r>
        <w:t xml:space="preserve"> </w:t>
      </w:r>
      <w:r>
        <w:rPr>
          <w:bCs/>
          <w:b/>
        </w:rPr>
        <w:t xml:space="preserve">taux de substitution</w:t>
      </w:r>
      <w:r>
        <w:t xml:space="preserve">, pas des « importances ordinales ». Leur élicitation rigoureuse (SWING, TRADEOFF) est exigeante (Galand, c3).</w:t>
      </w:r>
    </w:p>
    <w:p>
      <w:pPr>
        <w:pStyle w:val="BodyText"/>
      </w:pPr>
      <w:r>
        <w:rPr>
          <w:bCs/>
          <w:b/>
        </w:rPr>
        <w:t xml:space="preserve">OWA</w:t>
      </w:r>
      <w:r>
        <w:t xml:space="preserve"> </w:t>
      </w:r>
      <w:r>
        <w:t xml:space="preserve">-</w:t>
      </w:r>
      <w:r>
        <w:t xml:space="preserve"> </w:t>
      </w:r>
      <w:r>
        <w:rPr>
          <w:iCs/>
          <w:i/>
        </w:rPr>
        <w:t xml:space="preserve">Force</w:t>
      </w:r>
      <w:r>
        <w:t xml:space="preserve"> </w:t>
      </w:r>
      <w:r>
        <w:t xml:space="preserve">: permet de contrôler l’attitude face au risque entre optimiste et pessimiste via un seul vecteur de poids.</w:t>
      </w:r>
      <w:r>
        <w:t xml:space="preserve"> </w:t>
      </w:r>
      <w:r>
        <w:t xml:space="preserve">-</w:t>
      </w:r>
      <w:r>
        <w:t xml:space="preserve"> </w:t>
      </w:r>
      <w:r>
        <w:rPr>
          <w:iCs/>
          <w:i/>
        </w:rPr>
        <w:t xml:space="preserve">Limite</w:t>
      </w:r>
      <w:r>
        <w:t xml:space="preserve"> </w:t>
      </w:r>
      <w:r>
        <w:t xml:space="preserve">: le vecteur OWA n’a pas de signification critère-par-critère, ce qui rend son élicitation contre-intuitive pour un décideur non expert.</w:t>
      </w:r>
      <w:r>
        <w:t xml:space="preserve"> </w:t>
      </w:r>
      <w:r>
        <w:t xml:space="preserve">-</w:t>
      </w:r>
      <w:r>
        <w:t xml:space="preserve"> </w:t>
      </w:r>
      <w:r>
        <w:rPr>
          <w:iCs/>
          <w:i/>
        </w:rPr>
        <w:t xml:space="preserve">Force pédagogique</w:t>
      </w:r>
      <w:r>
        <w:t xml:space="preserve"> </w:t>
      </w:r>
      <w:r>
        <w:t xml:space="preserve">: permet de</w:t>
      </w:r>
      <w:r>
        <w:t xml:space="preserve"> </w:t>
      </w:r>
      <w:r>
        <w:rPr>
          <w:bCs/>
          <w:b/>
        </w:rPr>
        <w:t xml:space="preserve">comparer la somme pondérée à des variantes</w:t>
      </w:r>
      <w:r>
        <w:t xml:space="preserve"> </w:t>
      </w:r>
      <w:r>
        <w:t xml:space="preserve">; ici l’OWA confirme la robustesse du top 3 tout en intervertissant les 1er et 2ème.</w:t>
      </w:r>
    </w:p>
    <w:p>
      <w:pPr>
        <w:pStyle w:val="BodyText"/>
      </w:pPr>
      <w:r>
        <w:rPr>
          <w:bCs/>
          <w:b/>
        </w:rPr>
        <w:t xml:space="preserve">Intégrale de Choquet</w:t>
      </w:r>
      <w:r>
        <w:t xml:space="preserve"> </w:t>
      </w:r>
      <w:r>
        <w:t xml:space="preserve">-</w:t>
      </w:r>
      <w:r>
        <w:t xml:space="preserve"> </w:t>
      </w:r>
      <w:r>
        <w:rPr>
          <w:iCs/>
          <w:i/>
        </w:rPr>
        <w:t xml:space="preserve">Force</w:t>
      </w:r>
      <w:r>
        <w:t xml:space="preserve"> </w:t>
      </w:r>
      <w:r>
        <w:t xml:space="preserve">: c’est la</w:t>
      </w:r>
      <w:r>
        <w:t xml:space="preserve"> </w:t>
      </w:r>
      <w:r>
        <w:rPr>
          <w:bCs/>
          <w:b/>
        </w:rPr>
        <w:t xml:space="preserve">seule méthode</w:t>
      </w:r>
      <w:r>
        <w:t xml:space="preserve"> </w:t>
      </w:r>
      <w:r>
        <w:t xml:space="preserve">parmi les agrégations qui modélise</w:t>
      </w:r>
      <w:r>
        <w:t xml:space="preserve"> </w:t>
      </w:r>
      <w:r>
        <w:rPr>
          <w:iCs/>
          <w:i/>
        </w:rPr>
        <w:t xml:space="preserve">explicitement</w:t>
      </w:r>
      <w:r>
        <w:t xml:space="preserve"> </w:t>
      </w:r>
      <w:r>
        <w:t xml:space="preserve">les interactions entre critères (redondance, synergie). Elle traduit fidèlement le caractère préférentiellement dépendant de certaines paires de critères.</w:t>
      </w:r>
      <w:r>
        <w:t xml:space="preserve"> </w:t>
      </w:r>
      <w:r>
        <w:t xml:space="preserve">-</w:t>
      </w:r>
      <w:r>
        <w:t xml:space="preserve"> </w:t>
      </w:r>
      <w:r>
        <w:rPr>
          <w:iCs/>
          <w:i/>
        </w:rPr>
        <w:t xml:space="preserve">Limite</w:t>
      </w:r>
      <w:r>
        <w:t xml:space="preserve"> </w:t>
      </w:r>
      <w:r>
        <w:t xml:space="preserve">: l’élicitation de la capacité est</w:t>
      </w:r>
      <w:r>
        <w:t xml:space="preserve"> </w:t>
      </w:r>
      <w:r>
        <w:rPr>
          <w:iCs/>
          <w:i/>
        </w:rPr>
        <w:t xml:space="preserve">exponentielle</w:t>
      </w:r>
      <w:r>
        <w:t xml:space="preserve"> </w:t>
      </w:r>
      <w:r>
        <w:t xml:space="preserve">dans le nombre de critères (2^p paramètres). Le modèle 2-additif réduit drastiquement le coût mais reste exigeant : il faut éliciter chaque interaction binaire.</w:t>
      </w:r>
      <w:r>
        <w:t xml:space="preserve"> </w:t>
      </w:r>
      <w:r>
        <w:t xml:space="preserve">-</w:t>
      </w:r>
      <w:r>
        <w:t xml:space="preserve"> </w:t>
      </w:r>
      <w:r>
        <w:rPr>
          <w:iCs/>
          <w:i/>
        </w:rPr>
        <w:t xml:space="preserve">Limite pratique</w:t>
      </w:r>
      <w:r>
        <w:t xml:space="preserve"> </w:t>
      </w:r>
      <w:r>
        <w:t xml:space="preserve">: nos interactions sont modestes (±0,05) par souci de réalisme, ce qui rend Choquet quasi équivalent à la somme pondérée. Pour un effet plus marqué, il faudrait des |I| ≥ 0,10.</w:t>
      </w:r>
    </w:p>
    <w:p>
      <w:pPr>
        <w:pStyle w:val="BodyText"/>
      </w:pPr>
      <w:r>
        <w:rPr>
          <w:bCs/>
          <w:b/>
        </w:rPr>
        <w:t xml:space="preserve">Min</w:t>
      </w:r>
      <w:r>
        <w:t xml:space="preserve"> </w:t>
      </w:r>
      <w:r>
        <w:t xml:space="preserve">-</w:t>
      </w:r>
      <w:r>
        <w:t xml:space="preserve"> </w:t>
      </w:r>
      <w:r>
        <w:rPr>
          <w:iCs/>
          <w:i/>
        </w:rPr>
        <w:t xml:space="preserve">Force</w:t>
      </w:r>
      <w:r>
        <w:t xml:space="preserve"> </w:t>
      </w:r>
      <w:r>
        <w:t xml:space="preserve">: philosophiquement claire (« je veux éviter le pire »).</w:t>
      </w:r>
      <w:r>
        <w:t xml:space="preserve"> </w:t>
      </w:r>
      <w:r>
        <w:t xml:space="preserve">-</w:t>
      </w:r>
      <w:r>
        <w:t xml:space="preserve"> </w:t>
      </w:r>
      <w:r>
        <w:rPr>
          <w:iCs/>
          <w:i/>
        </w:rPr>
        <w:t xml:space="preserve">Limite</w:t>
      </w:r>
      <w:r>
        <w:t xml:space="preserve"> </w:t>
      </w:r>
      <w:r>
        <w:t xml:space="preserve">fondamentale dans notre cas : 7 alternatives sur 10 sont ex æquo à 0. La méthode ne discrimine plus.</w:t>
      </w:r>
      <w:r>
        <w:t xml:space="preserve"> </w:t>
      </w:r>
      <w:r>
        <w:t xml:space="preserve">-</w:t>
      </w:r>
      <w:r>
        <w:t xml:space="preserve"> </w:t>
      </w:r>
      <w:r>
        <w:rPr>
          <w:iCs/>
          <w:i/>
        </w:rPr>
        <w:t xml:space="preserve">Conclusion</w:t>
      </w:r>
      <w:r>
        <w:t xml:space="preserve"> </w:t>
      </w:r>
      <w:r>
        <w:t xml:space="preserve">: à utiliser uniquement quand le décideur exprime explicitement un objectif de robustesse maximale, pas comme méthode par défaut.</w:t>
      </w:r>
    </w:p>
    <w:p>
      <w:pPr>
        <w:pStyle w:val="BodyText"/>
      </w:pPr>
      <w:r>
        <w:rPr>
          <w:bCs/>
          <w:b/>
        </w:rPr>
        <w:t xml:space="preserve">ELECTRE Is</w:t>
      </w:r>
      <w:r>
        <w:t xml:space="preserve"> </w:t>
      </w:r>
      <w:r>
        <w:t xml:space="preserve">-</w:t>
      </w:r>
      <w:r>
        <w:t xml:space="preserve"> </w:t>
      </w:r>
      <w:r>
        <w:rPr>
          <w:iCs/>
          <w:i/>
        </w:rPr>
        <w:t xml:space="preserve">Force majeure</w:t>
      </w:r>
      <w:r>
        <w:t xml:space="preserve"> </w:t>
      </w:r>
      <w:r>
        <w:t xml:space="preserve">: permet l’</w:t>
      </w:r>
      <w:r>
        <w:rPr>
          <w:bCs/>
          <w:b/>
        </w:rPr>
        <w:t xml:space="preserve">incomparabilité</w:t>
      </w:r>
      <w:r>
        <w:t xml:space="preserve"> </w:t>
      </w:r>
      <w:r>
        <w:t xml:space="preserve">et le</w:t>
      </w:r>
      <w:r>
        <w:t xml:space="preserve"> </w:t>
      </w:r>
      <w:r>
        <w:rPr>
          <w:bCs/>
          <w:b/>
        </w:rPr>
        <w:t xml:space="preserve">veto</w:t>
      </w:r>
      <w:r>
        <w:t xml:space="preserve">, deux concepts essentiels que toutes les méthodes d’agrégation ignorent. Le veto traduit littéralement la phrase du décideur :</w:t>
      </w:r>
      <w:r>
        <w:t xml:space="preserve"> </w:t>
      </w:r>
      <w:r>
        <w:rPr>
          <w:iCs/>
          <w:i/>
        </w:rPr>
        <w:t xml:space="preserve">« quoi qu’on me dise, je ne veux pas que »</w:t>
      </w:r>
      <w:r>
        <w:t xml:space="preserve">. C’est la méthode la plus</w:t>
      </w:r>
      <w:r>
        <w:t xml:space="preserve"> </w:t>
      </w:r>
      <w:r>
        <w:rPr>
          <w:iCs/>
          <w:i/>
        </w:rPr>
        <w:t xml:space="preserve">fidèle</w:t>
      </w:r>
      <w:r>
        <w:t xml:space="preserve"> </w:t>
      </w:r>
      <w:r>
        <w:t xml:space="preserve">au système de valeurs réel d’un décideur complexe.</w:t>
      </w:r>
      <w:r>
        <w:t xml:space="preserve"> </w:t>
      </w:r>
      <w:r>
        <w:t xml:space="preserve">-</w:t>
      </w:r>
      <w:r>
        <w:t xml:space="preserve"> </w:t>
      </w:r>
      <w:r>
        <w:rPr>
          <w:iCs/>
          <w:i/>
        </w:rPr>
        <w:t xml:space="preserve">Limite</w:t>
      </w:r>
      <w:r>
        <w:t xml:space="preserve"> </w:t>
      </w:r>
      <w:r>
        <w:t xml:space="preserve">: complexité de paramétrage (3 seuils par critère + 1 seuil global = jusqu’à 19 paramètres dans notre cas). Un mauvais choix de seuil peut inverser le résultat.</w:t>
      </w:r>
      <w:r>
        <w:t xml:space="preserve"> </w:t>
      </w:r>
      <w:r>
        <w:t xml:space="preserve">-</w:t>
      </w:r>
      <w:r>
        <w:t xml:space="preserve"> </w:t>
      </w:r>
      <w:r>
        <w:rPr>
          <w:iCs/>
          <w:i/>
        </w:rPr>
        <w:t xml:space="preserve">Limite d’interprétation</w:t>
      </w:r>
      <w:r>
        <w:t xml:space="preserve"> </w:t>
      </w:r>
      <w:r>
        <w:t xml:space="preserve">: le préordre obtenu peut comporter des incomparabilités (cas A5/A8 dans notre étude) qui demandent un arbitrage final.</w:t>
      </w:r>
    </w:p>
    <w:bookmarkEnd w:id="44"/>
    <w:bookmarkStart w:id="45" w:name="robustesse-de-la-recommandation"/>
    <w:p>
      <w:pPr>
        <w:pStyle w:val="Heading3"/>
      </w:pPr>
      <w:r>
        <w:t xml:space="preserve">5.2 Robustesse de la recommandation</w:t>
      </w:r>
    </w:p>
    <w:p>
      <w:pPr>
        <w:pStyle w:val="FirstParagraph"/>
      </w:pPr>
      <w:r>
        <w:t xml:space="preserve">La convergence de 4 méthodes sur 5 vers le couple (Polytechnique, INSA Lyon) en top 2 constitue la</w:t>
      </w:r>
      <w:r>
        <w:t xml:space="preserve"> </w:t>
      </w:r>
      <w:r>
        <w:rPr>
          <w:bCs/>
          <w:b/>
        </w:rPr>
        <w:t xml:space="preserve">définition même d’une recommandation robuste</w:t>
      </w:r>
      <w:r>
        <w:t xml:space="preserve"> </w:t>
      </w:r>
      <w:r>
        <w:t xml:space="preserve">en AMD : le résultat ne dépend pas du choix de la méthode, ce qui réduit le risque de</w:t>
      </w:r>
      <w:r>
        <w:t xml:space="preserve"> </w:t>
      </w:r>
      <w:r>
        <w:rPr>
          <w:bCs/>
          <w:b/>
        </w:rPr>
        <w:t xml:space="preserve">biais méthodologique</w:t>
      </w:r>
      <w:r>
        <w:t xml:space="preserve">.</w:t>
      </w:r>
    </w:p>
    <w:p>
      <w:pPr>
        <w:pStyle w:val="BodyText"/>
      </w:pPr>
      <w:r>
        <w:t xml:space="preserve">À l’inverse, la 1ère position de Télécom Paris en Min est un</w:t>
      </w:r>
      <w:r>
        <w:t xml:space="preserve"> </w:t>
      </w:r>
      <w:r>
        <w:rPr>
          <w:bCs/>
          <w:b/>
        </w:rPr>
        <w:t xml:space="preserve">résultat fragile</w:t>
      </w:r>
      <w:r>
        <w:t xml:space="preserve"> </w:t>
      </w:r>
      <w:r>
        <w:t xml:space="preserve">: il disparaît dès qu’on passe à une autre méthode. Cela doit servir d’avertissement à l’analyste :</w:t>
      </w:r>
      <w:r>
        <w:t xml:space="preserve"> </w:t>
      </w:r>
      <w:r>
        <w:rPr>
          <w:iCs/>
          <w:i/>
        </w:rPr>
        <w:t xml:space="preserve">si un résultat n’apparaît que dans une méthode et nulle part ailleurs, c’est probablement un artefact de cette méthode</w:t>
      </w:r>
      <w:r>
        <w:t xml:space="preserve">.</w:t>
      </w:r>
    </w:p>
    <w:bookmarkEnd w:id="45"/>
    <w:bookmarkStart w:id="46" w:name="biais-et-limites-du-projet"/>
    <w:p>
      <w:pPr>
        <w:pStyle w:val="Heading3"/>
      </w:pPr>
      <w:r>
        <w:t xml:space="preserve">5.3 Biais et limites du projet</w:t>
      </w:r>
    </w:p>
    <w:p>
      <w:pPr>
        <w:numPr>
          <w:ilvl w:val="0"/>
          <w:numId w:val="1026"/>
        </w:numPr>
        <w:pStyle w:val="Compact"/>
      </w:pPr>
      <w:r>
        <w:rPr>
          <w:bCs/>
          <w:b/>
        </w:rPr>
        <w:t xml:space="preserve">Données partiellement reconstruites</w:t>
      </w:r>
      <w:r>
        <w:t xml:space="preserve"> </w:t>
      </w:r>
      <w:r>
        <w:t xml:space="preserve">: si g1, g2, g3 sont chiffrés à partir de sources officielles, les valeurs g4 (% boursiers) pour 4 des 10 écoles et l’ensemble de g5 (DD&amp;RS) et g6 (vie asso) sont des estimations. Une vraie étude AMD nécessiterait soit l’accès aux données internes des écoles, soit une enquête primaire.</w:t>
      </w:r>
    </w:p>
    <w:p>
      <w:pPr>
        <w:numPr>
          <w:ilvl w:val="0"/>
          <w:numId w:val="1026"/>
        </w:numPr>
        <w:pStyle w:val="Compact"/>
      </w:pPr>
      <w:r>
        <w:rPr>
          <w:bCs/>
          <w:b/>
        </w:rPr>
        <w:t xml:space="preserve">Profil unique de décideur</w:t>
      </w:r>
      <w:r>
        <w:t xml:space="preserve"> </w:t>
      </w:r>
      <w:r>
        <w:t xml:space="preserve">: nous n’avons modélisé qu’un seul profil. Or l’AMD est précisément utile pour comparer plusieurs profils. Une extension naturelle serait d’éliciter 3 profils contrastés (carrière / vie / équilibre) et de comparer les recommandations.</w:t>
      </w:r>
    </w:p>
    <w:p>
      <w:pPr>
        <w:numPr>
          <w:ilvl w:val="0"/>
          <w:numId w:val="1026"/>
        </w:numPr>
        <w:pStyle w:val="Compact"/>
      </w:pPr>
      <w:r>
        <w:rPr>
          <w:bCs/>
          <w:b/>
        </w:rPr>
        <w:t xml:space="preserve">Élicitation simulée</w:t>
      </w:r>
      <w:r>
        <w:t xml:space="preserve"> </w:t>
      </w:r>
      <w:r>
        <w:t xml:space="preserve">: dans une vraie étude, les poids, seuils et interactions seraient obtenus par méthode SWING, MACBETH ou TRADEOFF en plusieurs séances d’entretien. Nous les avons fixés par discussion interne avec l’analyste imitant le décideur — c’est une approximation.</w:t>
      </w:r>
    </w:p>
    <w:p>
      <w:pPr>
        <w:numPr>
          <w:ilvl w:val="0"/>
          <w:numId w:val="1026"/>
        </w:numPr>
        <w:pStyle w:val="Compact"/>
      </w:pPr>
      <w:r>
        <w:rPr>
          <w:bCs/>
          <w:b/>
        </w:rPr>
        <w:t xml:space="preserve">Panel de 10 écoles</w:t>
      </w:r>
      <w:r>
        <w:t xml:space="preserve"> </w:t>
      </w:r>
      <w:r>
        <w:t xml:space="preserve">: suffisant pour le projet, mais réducteur. Un panel de 30-50 écoles serait plus réaliste pour un vrai candidat.</w:t>
      </w:r>
    </w:p>
    <w:p>
      <w:r>
        <w:pict>
          <v:rect style="width:0;height:1.5pt" o:hralign="center" o:hrstd="t" o:hr="t"/>
        </w:pict>
      </w:r>
    </w:p>
    <w:p>
      <w:pPr>
        <w:pStyle w:val="FirstParagraph"/>
      </w:pPr>
      <w:r>
        <w:rPr>
          <w:iCs/>
          <w:i/>
        </w:rPr>
        <w:t xml:space="preserve">[À compléter : section 6 sur l’utilisation de l’IA générative, bibliographie complète, annexes (matrices ELECTRE complètes).]</w:t>
      </w:r>
    </w:p>
    <w:bookmarkEnd w:id="46"/>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 — Aide à la décision multicritère</dc:title>
  <dc:creator>[Nom 1], [Nom 2], [Nom 3], [Nom 4]</dc:creator>
  <cp:keywords/>
  <dcterms:created xsi:type="dcterms:W3CDTF">2026-05-27T22:10:55Z</dcterms:created>
  <dcterms:modified xsi:type="dcterms:W3CDTF">2026-05-27T22:10:55Z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Juin 2026</vt:lpwstr>
  </property>
  <property fmtid="{D5CDD505-2E9C-101B-9397-08002B2CF9AE}" pid="3" name="subtitle">
    <vt:lpwstr>Cas d’étude : le choix d’une école d’ingénieurs</vt:lpwstr>
  </property>
</Properties>
</file>