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発注インターフェース仕様書</w:t>
      </w:r>
    </w:p>
    <w:p>
      <w:pPr>
        <w:pStyle w:val="Heading1"/>
      </w:pPr>
      <w:r>
        <w:t>1. 文書概要</w:t>
      </w:r>
    </w:p>
    <w:p>
      <w:r>
        <w:t>本文書はSAP S/4HANAからANDPADへの発注データ連携インターフェースの仕様を定義する。</w:t>
      </w:r>
    </w:p>
    <w:p>
      <w:pPr>
        <w:pStyle w:val="Heading1"/>
      </w:pPr>
      <w:r>
        <w:t>2. データフロー</w:t>
      </w:r>
    </w:p>
    <w:p>
      <w:r>
        <w:t>SAP → CSV抽出 → DataSpider変換 → ANDPAD API送信</w:t>
      </w:r>
    </w:p>
    <w:p>
      <w:r>
        <w:t>処理タイミング: 毎営業日 06:00 JST</w:t>
      </w:r>
    </w:p>
    <w:p>
      <w:pPr>
        <w:pStyle w:val="Heading1"/>
      </w:pPr>
      <w:r>
        <w:t>3. 項目マッピング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送信元(SAP)</w:t>
            </w:r>
          </w:p>
        </w:tc>
        <w:tc>
          <w:tcPr>
            <w:tcW w:type="dxa" w:w="2160"/>
          </w:tcPr>
          <w:p>
            <w:r>
              <w:t>送信先(ANDPAD)</w:t>
            </w:r>
          </w:p>
        </w:tc>
        <w:tc>
          <w:tcPr>
            <w:tcW w:type="dxa" w:w="2160"/>
          </w:tcPr>
          <w:p>
            <w:r>
              <w:t>変換条件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EBELN</w:t>
            </w:r>
          </w:p>
        </w:tc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そのまま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BEDAT</w:t>
            </w:r>
          </w:p>
        </w:tc>
        <w:tc>
          <w:tcPr>
            <w:tcW w:type="dxa" w:w="2160"/>
          </w:tcPr>
          <w:p>
            <w:r>
              <w:t>order_date</w:t>
            </w:r>
          </w:p>
        </w:tc>
        <w:tc>
          <w:tcPr>
            <w:tcW w:type="dxa" w:w="2160"/>
          </w:tcPr>
          <w:p>
            <w:r>
              <w:t>YYYYMMDD→ISO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LIFNR</w:t>
            </w:r>
          </w:p>
        </w:tc>
        <w:tc>
          <w:tcPr>
            <w:tcW w:type="dxa" w:w="2160"/>
          </w:tcPr>
          <w:p>
            <w:r>
              <w:t>supplier_code</w:t>
            </w:r>
          </w:p>
        </w:tc>
        <w:tc>
          <w:tcPr>
            <w:tcW w:type="dxa" w:w="2160"/>
          </w:tcPr>
          <w:p>
            <w:r>
              <w:t>マスタ参照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数値変換</w:t>
            </w:r>
          </w:p>
        </w:tc>
      </w:tr>
    </w:tbl>
    <w:p>
      <w:pPr>
        <w:pStyle w:val="Heading1"/>
      </w:pPr>
      <w:r>
        <w:t>4. エラー処理</w:t>
      </w:r>
    </w:p>
    <w:p>
      <w:r>
        <w:t>通信エラー時はリトライ3回まで実施。全件失敗時はアラートメール送信。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