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51"/>
        <w:pBdr/>
        <w:spacing w:after="0" w:before="900"/>
        <w:ind/>
        <w:jc w:val="center"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65359" cy="89318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58307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rcRect l="0" t="35704" r="0" b="34175"/>
                        <a:stretch/>
                      </pic:blipFill>
                      <pic:spPr bwMode="auto">
                        <a:xfrm flipH="0" flipV="0">
                          <a:off x="0" y="0"/>
                          <a:ext cx="2965358" cy="8931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33.49pt;height:70.33pt;mso-wrap-distance-left:0.00pt;mso-wrap-distance-top:0.00pt;mso-wrap-distance-right:0.00pt;mso-wrap-distance-bottom:0.00pt;z-index:1;" stroked="false">
                <v:imagedata r:id="rId15" o:title="" croptop="23399f" cropleft="0f" cropbottom="22397f" cropright="0f"/>
                <o:lock v:ext="edit" rotation="t"/>
              </v:shape>
            </w:pict>
          </mc:Fallback>
        </mc:AlternateContent>
      </w:r>
      <w:r/>
      <w:r/>
    </w:p>
    <w:p w14:paraId="7AAF7CF6">
      <w:pPr>
        <w:pStyle w:val="751"/>
        <w:pBdr/>
        <w:spacing w:after="0" w:before="900"/>
        <w:ind/>
        <w:jc w:val="center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51"/>
        <w:pBdr/>
        <w:spacing w:after="60" w:before="200"/>
        <w:ind/>
        <w:jc w:val="center"/>
        <w:rPr>
          <w:sz w:val="28"/>
          <w:szCs w:val="28"/>
        </w:rPr>
      </w:pPr>
      <w:r>
        <w:rPr>
          <w:b/>
          <w:bCs/>
          <w:color w:val="1a1a2e"/>
          <w:sz w:val="96"/>
          <w:szCs w:val="96"/>
        </w:rPr>
        <w:t xml:space="preserve">OverDrive</w:t>
      </w:r>
      <w:r>
        <w:rPr>
          <w:sz w:val="28"/>
          <w:szCs w:val="28"/>
        </w:rPr>
      </w:r>
    </w:p>
    <w:p>
      <w:pPr>
        <w:pStyle w:val="751"/>
        <w:pBdr/>
        <w:spacing w:after="400" w:before="0"/>
        <w:ind/>
        <w:jc w:val="center"/>
        <w:rPr>
          <w:sz w:val="28"/>
          <w:szCs w:val="28"/>
        </w:rPr>
      </w:pPr>
      <w:r>
        <w:rPr>
          <w:i/>
          <w:iCs/>
          <w:color w:val="5b5b6b"/>
          <w:sz w:val="32"/>
          <w:szCs w:val="32"/>
        </w:rPr>
        <w:t xml:space="preserve">Plataforma de conexión entre artistas y curadores musicales</w:t>
      </w:r>
      <w:r>
        <w:rPr>
          <w:sz w:val="28"/>
          <w:szCs w:val="28"/>
        </w:rPr>
      </w:r>
    </w:p>
    <w:p>
      <w:pPr>
        <w:pStyle w:val="751"/>
        <w:pBdr/>
        <w:spacing w:after="100" w:before="0"/>
        <w:ind/>
        <w:jc w:val="center"/>
        <w:rPr>
          <w:sz w:val="28"/>
          <w:szCs w:val="28"/>
        </w:rPr>
      </w:pPr>
      <w:r>
        <w:rPr>
          <w:b/>
          <w:bCs/>
          <w:color w:val="6c3ce1"/>
          <w:sz w:val="36"/>
          <w:szCs w:val="36"/>
        </w:rPr>
        <w:t xml:space="preserve">REPORTE DE ENTREGA FINAL</w:t>
      </w:r>
      <w:r>
        <w:rPr>
          <w:sz w:val="28"/>
          <w:szCs w:val="28"/>
        </w:rPr>
      </w:r>
    </w:p>
    <w:p>
      <w:pPr>
        <w:pStyle w:val="751"/>
        <w:pBdr/>
        <w:spacing w:after="500" w:before="0"/>
        <w:ind/>
        <w:jc w:val="center"/>
        <w:rPr>
          <w:sz w:val="28"/>
          <w:szCs w:val="28"/>
        </w:rPr>
      </w:pPr>
      <w:r>
        <w:rPr>
          <w:color w:val="5b5b6b"/>
          <w:sz w:val="28"/>
          <w:szCs w:val="28"/>
        </w:rPr>
        <w:t xml:space="preserve">Reto Final · Ingeniería de Software</w:t>
      </w:r>
      <w:r>
        <w:rPr>
          <w:sz w:val="28"/>
          <w:szCs w:val="28"/>
        </w:rPr>
      </w:r>
    </w:p>
    <w:tbl>
      <w:tblPr>
        <w:jc w:val="center"/>
        <w:tblInd w:w="0" w:type="dxa"/>
        <w:tblW w:w="8560" w:type="dxa"/>
        <w:tblCellMar>
          <w:left w:w="160" w:type="dxa"/>
          <w:top w:w="90" w:type="dxa"/>
          <w:right w:w="120" w:type="dxa"/>
          <w:bottom w:w="9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599"/>
        <w:gridCol w:w="5960"/>
      </w:tblGrid>
      <w:tr>
        <w:trPr/>
        <w:tc>
          <w:tcPr>
            <w:shd w:val="clear" w:color="auto" w:fill="f5f5fa"/>
            <w:tcBorders>
              <w:top w:val="single" w:color="e0e0ea" w:sz="2" w:space="0"/>
              <w:left w:val="single" w:color="e0e0ea" w:sz="2" w:space="0"/>
              <w:bottom w:val="single" w:color="e0e0ea" w:sz="2" w:space="0"/>
              <w:right w:val="single" w:color="e0e0ea" w:sz="2" w:space="0"/>
            </w:tcBorders>
            <w:tcW w:w="2599" w:type="dxa"/>
          </w:tcPr>
          <w:p>
            <w:pPr>
              <w:pStyle w:val="751"/>
              <w:pBdr/>
              <w:spacing/>
              <w:ind/>
              <w:rPr>
                <w:sz w:val="28"/>
                <w:szCs w:val="28"/>
              </w:rPr>
            </w:pPr>
            <w:r>
              <w:rPr>
                <w:b/>
                <w:bCs/>
                <w:color w:val="1a1a2e"/>
                <w:sz w:val="24"/>
                <w:szCs w:val="24"/>
              </w:rPr>
              <w:t xml:space="preserve">Alumno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e0e0ea" w:sz="2" w:space="0"/>
              <w:left w:val="single" w:color="e0e0ea" w:sz="2" w:space="0"/>
              <w:bottom w:val="single" w:color="e0e0ea" w:sz="2" w:space="0"/>
              <w:right w:val="single" w:color="e0e0ea" w:sz="2" w:space="0"/>
            </w:tcBorders>
            <w:tcW w:w="5960" w:type="dxa"/>
          </w:tcPr>
          <w:p>
            <w:pPr>
              <w:pStyle w:val="751"/>
              <w:pBdr/>
              <w:spacing/>
              <w:ind/>
              <w:rPr>
                <w:sz w:val="28"/>
                <w:szCs w:val="28"/>
              </w:rPr>
            </w:pPr>
            <w:r>
              <w:rPr>
                <w:color w:val="1a1a2e"/>
                <w:sz w:val="24"/>
                <w:szCs w:val="24"/>
              </w:rPr>
              <w:t xml:space="preserve">Hugo David Ruiz Moreno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f5f5fa"/>
            <w:tcBorders>
              <w:top w:val="single" w:color="e0e0ea" w:sz="2" w:space="0"/>
              <w:left w:val="single" w:color="e0e0ea" w:sz="2" w:space="0"/>
              <w:bottom w:val="single" w:color="e0e0ea" w:sz="2" w:space="0"/>
              <w:right w:val="single" w:color="e0e0ea" w:sz="2" w:space="0"/>
            </w:tcBorders>
            <w:tcW w:w="2599" w:type="dxa"/>
          </w:tcPr>
          <w:p>
            <w:pPr>
              <w:pStyle w:val="751"/>
              <w:pBdr/>
              <w:spacing/>
              <w:ind/>
              <w:rPr>
                <w:sz w:val="28"/>
                <w:szCs w:val="28"/>
              </w:rPr>
            </w:pPr>
            <w:r>
              <w:rPr>
                <w:b/>
                <w:bCs/>
                <w:color w:val="1a1a2e"/>
                <w:sz w:val="24"/>
                <w:szCs w:val="24"/>
              </w:rPr>
              <w:t xml:space="preserve">Reto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e0e0ea" w:sz="2" w:space="0"/>
              <w:left w:val="single" w:color="e0e0ea" w:sz="2" w:space="0"/>
              <w:bottom w:val="single" w:color="e0e0ea" w:sz="2" w:space="0"/>
              <w:right w:val="single" w:color="e0e0ea" w:sz="2" w:space="0"/>
            </w:tcBorders>
            <w:tcW w:w="5960" w:type="dxa"/>
          </w:tcPr>
          <w:p>
            <w:pPr>
              <w:pStyle w:val="751"/>
              <w:pBdr/>
              <w:spacing/>
              <w:ind/>
              <w:rPr>
                <w:sz w:val="28"/>
                <w:szCs w:val="28"/>
              </w:rPr>
            </w:pPr>
            <w:r>
              <w:rPr>
                <w:color w:val="1a1a2e"/>
                <w:sz w:val="24"/>
                <w:szCs w:val="24"/>
              </w:rPr>
              <w:t xml:space="preserve">Reto Final · Ingeniería de Software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f5f5fa"/>
            <w:tcBorders>
              <w:top w:val="single" w:color="e0e0ea" w:sz="2" w:space="0"/>
              <w:left w:val="single" w:color="e0e0ea" w:sz="2" w:space="0"/>
              <w:bottom w:val="single" w:color="e0e0ea" w:sz="2" w:space="0"/>
              <w:right w:val="single" w:color="e0e0ea" w:sz="2" w:space="0"/>
            </w:tcBorders>
            <w:tcW w:w="2599" w:type="dxa"/>
          </w:tcPr>
          <w:p>
            <w:pPr>
              <w:pStyle w:val="751"/>
              <w:pBdr/>
              <w:spacing/>
              <w:ind/>
              <w:rPr>
                <w:sz w:val="28"/>
                <w:szCs w:val="28"/>
              </w:rPr>
            </w:pPr>
            <w:r>
              <w:rPr>
                <w:b/>
                <w:bCs/>
                <w:color w:val="1a1a2e"/>
                <w:sz w:val="24"/>
                <w:szCs w:val="24"/>
              </w:rPr>
              <w:t xml:space="preserve">Fecha de entrega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e0e0ea" w:sz="2" w:space="0"/>
              <w:left w:val="single" w:color="e0e0ea" w:sz="2" w:space="0"/>
              <w:bottom w:val="single" w:color="e0e0ea" w:sz="2" w:space="0"/>
              <w:right w:val="single" w:color="e0e0ea" w:sz="2" w:space="0"/>
            </w:tcBorders>
            <w:tcW w:w="5960" w:type="dxa"/>
          </w:tcPr>
          <w:p>
            <w:pPr>
              <w:pStyle w:val="751"/>
              <w:pBdr/>
              <w:spacing/>
              <w:ind/>
              <w:rPr>
                <w:sz w:val="28"/>
                <w:szCs w:val="28"/>
              </w:rPr>
            </w:pPr>
            <w:r>
              <w:rPr>
                <w:color w:val="1a1a2e"/>
                <w:sz w:val="24"/>
                <w:szCs w:val="24"/>
              </w:rPr>
              <w:t xml:space="preserve">23 de septiembre de 2026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f5f5fa"/>
            <w:tcBorders>
              <w:top w:val="single" w:color="e0e0ea" w:sz="2" w:space="0"/>
              <w:left w:val="single" w:color="e0e0ea" w:sz="2" w:space="0"/>
              <w:bottom w:val="single" w:color="e0e0ea" w:sz="2" w:space="0"/>
              <w:right w:val="single" w:color="e0e0ea" w:sz="2" w:space="0"/>
            </w:tcBorders>
            <w:tcW w:w="2599" w:type="dxa"/>
          </w:tcPr>
          <w:p>
            <w:pPr>
              <w:pStyle w:val="751"/>
              <w:pBdr/>
              <w:spacing/>
              <w:ind/>
              <w:rPr>
                <w:sz w:val="28"/>
                <w:szCs w:val="28"/>
              </w:rPr>
            </w:pPr>
            <w:r>
              <w:rPr>
                <w:b/>
                <w:bCs/>
                <w:color w:val="1a1a2e"/>
                <w:sz w:val="24"/>
                <w:szCs w:val="24"/>
              </w:rPr>
              <w:t xml:space="preserve">Repositorio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e0e0ea" w:sz="2" w:space="0"/>
              <w:left w:val="single" w:color="e0e0ea" w:sz="2" w:space="0"/>
              <w:bottom w:val="single" w:color="e0e0ea" w:sz="2" w:space="0"/>
              <w:right w:val="single" w:color="e0e0ea" w:sz="2" w:space="0"/>
            </w:tcBorders>
            <w:tcW w:w="5960" w:type="dxa"/>
          </w:tcPr>
          <w:p>
            <w:pPr>
              <w:pStyle w:val="751"/>
              <w:pBdr/>
              <w:spacing/>
              <w:ind/>
              <w:rPr>
                <w:sz w:val="28"/>
                <w:szCs w:val="28"/>
              </w:rPr>
            </w:pPr>
            <w:r>
              <w:rPr>
                <w:color w:val="1a1a2e"/>
                <w:sz w:val="24"/>
                <w:szCs w:val="24"/>
              </w:rPr>
              <w:t xml:space="preserve">github.com/Hugoatpxndx/OverDrive</w:t>
            </w:r>
            <w:r>
              <w:rPr>
                <w:sz w:val="28"/>
                <w:szCs w:val="28"/>
              </w:rPr>
            </w:r>
          </w:p>
        </w:tc>
      </w:tr>
    </w:tbl>
    <w:p>
      <w:pPr>
        <w:pStyle w:val="751"/>
        <w:pBdr/>
        <w:spacing w:after="0" w:before="200"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br w:type="page" w:clear="all"/>
      </w:r>
      <w:r>
        <w:rPr>
          <w:sz w:val="28"/>
          <w:szCs w:val="28"/>
        </w:rPr>
      </w:r>
    </w:p>
    <w:p>
      <w:pPr>
        <w:pStyle w:val="752"/>
        <w:keepNext w:val="true"/>
        <w:pBdr>
          <w:bottom w:val="single" w:color="6c3ce1" w:sz="12" w:space="4"/>
        </w:pBdr>
        <w:spacing w:after="240" w:before="0"/>
        <w:ind/>
        <w:rPr/>
      </w:pPr>
      <w:r/>
      <w:bookmarkStart w:id="0" w:name="__RefHeading___Toc1124_773522556"/>
      <w:r/>
      <w:bookmarkEnd w:id="0"/>
      <w:r>
        <w:rPr>
          <w:b/>
          <w:bCs/>
          <w:color w:val="6c3ce1"/>
        </w:rPr>
        <w:t xml:space="preserve">Índice</w:t>
      </w:r>
      <w:r/>
    </w:p>
    <w:sdt>
      <w:sdtPr>
        <w15:appearance w15:val="boundingBox"/>
        <w:docPartObj>
          <w:docPartGallery w:val="Table of Contents"/>
          <w:docPartUnique w:val="true"/>
        </w:docPartObj>
        <w:rPr/>
      </w:sdtPr>
      <w:sdtContent>
        <w:p>
          <w:pPr>
            <w:pStyle w:val="779"/>
            <w:pBdr/>
            <w:tabs>
              <w:tab w:val="right" w:leader="dot" w:pos="9359"/>
              <w:tab w:val="clear" w:leader="none" w:pos="9360"/>
            </w:tabs>
            <w:spacing/>
            <w:ind/>
            <w:rPr/>
          </w:pPr>
          <w:r>
            <w:fldChar w:fldCharType="begin"/>
          </w:r>
          <w:r>
            <w:rPr>
              <w:rStyle w:val="765"/>
            </w:rPr>
            <w:instrText xml:space="preserve"> TOC \o "1-3" \h</w:instrText>
          </w:r>
          <w:r>
            <w:rPr>
              <w:rStyle w:val="765"/>
            </w:rPr>
            <w:fldChar w:fldCharType="separate"/>
          </w:r>
          <w:hyperlink w:tooltip="#__RefHeading___Toc1124_773522556" w:anchor="__RefHeading___Toc1124_773522556" w:history="1">
            <w:r>
              <w:rPr>
                <w:rStyle w:val="765"/>
              </w:rPr>
              <w:t xml:space="preserve">Índice</w:t>
              <w:tab/>
              <w:t xml:space="preserve">2</w:t>
            </w:r>
          </w:hyperlink>
          <w:r/>
          <w:r/>
        </w:p>
        <w:p>
          <w:pPr>
            <w:pStyle w:val="779"/>
            <w:pBdr/>
            <w:tabs>
              <w:tab w:val="right" w:leader="dot" w:pos="9359"/>
              <w:tab w:val="clear" w:leader="none" w:pos="9360"/>
            </w:tabs>
            <w:spacing/>
            <w:ind/>
            <w:rPr/>
          </w:pPr>
          <w:r/>
          <w:hyperlink w:tooltip="#__RefHeading___Toc1126_773522556" w:anchor="__RefHeading___Toc1126_773522556" w:history="1">
            <w:r>
              <w:rPr>
                <w:rStyle w:val="765"/>
              </w:rPr>
              <w:t xml:space="preserve">Información del proyecto</w:t>
              <w:tab/>
              <w:t xml:space="preserve">3</w:t>
            </w:r>
          </w:hyperlink>
          <w:r/>
          <w:r/>
        </w:p>
        <w:p>
          <w:pPr>
            <w:pStyle w:val="779"/>
            <w:pBdr/>
            <w:tabs>
              <w:tab w:val="right" w:leader="dot" w:pos="9359"/>
              <w:tab w:val="clear" w:leader="none" w:pos="9360"/>
            </w:tabs>
            <w:spacing/>
            <w:ind/>
            <w:rPr/>
          </w:pPr>
          <w:r/>
          <w:hyperlink w:tooltip="#__RefHeading___Toc1128_773522556" w:anchor="__RefHeading___Toc1128_773522556" w:history="1">
            <w:r>
              <w:rPr>
                <w:rStyle w:val="765"/>
              </w:rPr>
              <w:t xml:space="preserve">Criterio 1 · Implementación del módulo y su seguridad (20 pts)</w:t>
              <w:tab/>
              <w:t xml:space="preserve">4</w:t>
            </w:r>
          </w:hyperlink>
          <w:r/>
          <w:r/>
        </w:p>
        <w:p>
          <w:pPr>
            <w:pStyle w:val="780"/>
            <w:pBdr/>
            <w:tabs>
              <w:tab w:val="clear" w:leader="none" w:pos="9077"/>
              <w:tab w:val="right" w:leader="dot" w:pos="9359"/>
            </w:tabs>
            <w:spacing/>
            <w:ind/>
            <w:rPr/>
          </w:pPr>
          <w:r/>
          <w:hyperlink w:tooltip="#__RefHeading___Toc1130_773522556" w:anchor="__RefHeading___Toc1130_773522556" w:history="1">
            <w:r>
              <w:rPr>
                <w:rStyle w:val="765"/>
              </w:rPr>
              <w:t xml:space="preserve">1.1 Qué es OverDrive</w:t>
              <w:tab/>
              <w:t xml:space="preserve">4</w:t>
            </w:r>
          </w:hyperlink>
          <w:r/>
          <w:r/>
        </w:p>
        <w:p>
          <w:pPr>
            <w:pStyle w:val="780"/>
            <w:pBdr/>
            <w:tabs>
              <w:tab w:val="clear" w:leader="none" w:pos="9077"/>
              <w:tab w:val="right" w:leader="dot" w:pos="9359"/>
            </w:tabs>
            <w:spacing/>
            <w:ind/>
            <w:rPr/>
          </w:pPr>
          <w:r/>
          <w:hyperlink w:tooltip="#__RefHeading___Toc1132_773522556" w:anchor="__RefHeading___Toc1132_773522556" w:history="1">
            <w:r>
              <w:rPr>
                <w:rStyle w:val="765"/>
              </w:rPr>
              <w:t xml:space="preserve">1.2 Arquitectura</w:t>
              <w:tab/>
              <w:t xml:space="preserve">4</w:t>
            </w:r>
          </w:hyperlink>
          <w:r/>
          <w:r/>
        </w:p>
        <w:p>
          <w:pPr>
            <w:pStyle w:val="780"/>
            <w:pBdr/>
            <w:tabs>
              <w:tab w:val="clear" w:leader="none" w:pos="9077"/>
              <w:tab w:val="right" w:leader="dot" w:pos="9359"/>
            </w:tabs>
            <w:spacing/>
            <w:ind/>
            <w:rPr/>
          </w:pPr>
          <w:r/>
          <w:hyperlink w:tooltip="#__RefHeading___Toc1134_773522556" w:anchor="__RefHeading___Toc1134_773522556" w:history="1">
            <w:r>
              <w:rPr>
                <w:rStyle w:val="765"/>
              </w:rPr>
              <w:t xml:space="preserve">1.3 Módulo de autenticación y roles (JWT)</w:t>
              <w:tab/>
              <w:t xml:space="preserve">4</w:t>
            </w:r>
          </w:hyperlink>
          <w:r/>
          <w:r/>
        </w:p>
        <w:p>
          <w:pPr>
            <w:pStyle w:val="781"/>
            <w:pBdr/>
            <w:tabs>
              <w:tab w:val="clear" w:leader="none" w:pos="8793"/>
              <w:tab w:val="right" w:leader="dot" w:pos="9359"/>
            </w:tabs>
            <w:spacing/>
            <w:ind/>
            <w:rPr/>
          </w:pPr>
          <w:r/>
          <w:hyperlink w:tooltip="#__RefHeading___Toc1136_773522556" w:anchor="__RefHeading___Toc1136_773522556" w:history="1">
            <w:r>
              <w:rPr>
                <w:rStyle w:val="765"/>
              </w:rPr>
              <w:t xml:space="preserve">Middlewares de seguridad (backend/server.js)</w:t>
              <w:tab/>
              <w:t xml:space="preserve">4</w:t>
            </w:r>
          </w:hyperlink>
          <w:r/>
          <w:r/>
        </w:p>
        <w:p>
          <w:pPr>
            <w:pStyle w:val="781"/>
            <w:pBdr/>
            <w:tabs>
              <w:tab w:val="clear" w:leader="none" w:pos="8793"/>
              <w:tab w:val="right" w:leader="dot" w:pos="9359"/>
            </w:tabs>
            <w:spacing/>
            <w:ind/>
            <w:rPr/>
          </w:pPr>
          <w:r/>
          <w:hyperlink w:tooltip="#__RefHeading___Toc1138_773522556" w:anchor="__RefHeading___Toc1138_773522556" w:history="1">
            <w:r>
              <w:rPr>
                <w:rStyle w:val="765"/>
              </w:rPr>
              <w:t xml:space="preserve">Medidas OWASP aplicadas</w:t>
              <w:tab/>
              <w:t xml:space="preserve">5</w:t>
            </w:r>
          </w:hyperlink>
          <w:r/>
          <w:r/>
        </w:p>
        <w:p>
          <w:pPr>
            <w:pStyle w:val="781"/>
            <w:pBdr/>
            <w:tabs>
              <w:tab w:val="clear" w:leader="none" w:pos="8793"/>
              <w:tab w:val="right" w:leader="dot" w:pos="9359"/>
            </w:tabs>
            <w:spacing/>
            <w:ind/>
            <w:rPr/>
          </w:pPr>
          <w:r/>
          <w:hyperlink w:tooltip="#__RefHeading___Toc1140_773522556" w:anchor="__RefHeading___Toc1140_773522556" w:history="1">
            <w:r>
              <w:rPr>
                <w:rStyle w:val="765"/>
              </w:rPr>
              <w:t xml:space="preserve">Pantallas del módulo</w:t>
              <w:tab/>
              <w:t xml:space="preserve">5</w:t>
            </w:r>
          </w:hyperlink>
          <w:r/>
          <w:r/>
        </w:p>
        <w:p>
          <w:pPr>
            <w:pStyle w:val="780"/>
            <w:pBdr/>
            <w:tabs>
              <w:tab w:val="clear" w:leader="none" w:pos="9077"/>
              <w:tab w:val="right" w:leader="dot" w:pos="9359"/>
            </w:tabs>
            <w:spacing/>
            <w:ind/>
            <w:rPr/>
          </w:pPr>
          <w:r/>
          <w:hyperlink w:tooltip="#__RefHeading___Toc1142_773522556" w:anchor="__RefHeading___Toc1142_773522556" w:history="1">
            <w:r>
              <w:rPr>
                <w:rStyle w:val="765"/>
              </w:rPr>
              <w:t xml:space="preserve">1.4 Evidencia de pruebas unitarias (cobertura ≥ 80 %)</w:t>
              <w:tab/>
              <w:t xml:space="preserve">6</w:t>
            </w:r>
          </w:hyperlink>
          <w:r/>
          <w:r/>
        </w:p>
        <w:p>
          <w:pPr>
            <w:pStyle w:val="781"/>
            <w:pBdr/>
            <w:tabs>
              <w:tab w:val="clear" w:leader="none" w:pos="8793"/>
              <w:tab w:val="right" w:leader="dot" w:pos="9359"/>
            </w:tabs>
            <w:spacing/>
            <w:ind/>
            <w:rPr/>
          </w:pPr>
          <w:r/>
          <w:hyperlink w:tooltip="#__RefHeading___Toc1144_773522556" w:anchor="__RefHeading___Toc1144_773522556" w:history="1">
            <w:r>
              <w:rPr>
                <w:rStyle w:val="765"/>
              </w:rPr>
              <w:t xml:space="preserve">Cobertura funcional del módulo (test suite)</w:t>
              <w:tab/>
              <w:t xml:space="preserve">7</w:t>
            </w:r>
          </w:hyperlink>
          <w:r/>
          <w:r/>
        </w:p>
        <w:p>
          <w:pPr>
            <w:pStyle w:val="779"/>
            <w:pBdr/>
            <w:tabs>
              <w:tab w:val="right" w:leader="dot" w:pos="9359"/>
              <w:tab w:val="clear" w:leader="none" w:pos="9360"/>
            </w:tabs>
            <w:spacing/>
            <w:ind/>
            <w:rPr/>
          </w:pPr>
          <w:r/>
          <w:hyperlink w:tooltip="#__RefHeading___Toc1146_773522556" w:anchor="__RefHeading___Toc1146_773522556" w:history="1">
            <w:r>
              <w:rPr>
                <w:rStyle w:val="765"/>
              </w:rPr>
              <w:t xml:space="preserve">Criterio 2 · Implementación de pipeline de CI/CD (25 pts)</w:t>
              <w:tab/>
              <w:t xml:space="preserve">7</w:t>
            </w:r>
          </w:hyperlink>
          <w:r/>
          <w:r/>
        </w:p>
        <w:p>
          <w:pPr>
            <w:pStyle w:val="780"/>
            <w:pBdr/>
            <w:tabs>
              <w:tab w:val="clear" w:leader="none" w:pos="9077"/>
              <w:tab w:val="right" w:leader="dot" w:pos="9359"/>
            </w:tabs>
            <w:spacing/>
            <w:ind/>
            <w:rPr/>
          </w:pPr>
          <w:r/>
          <w:hyperlink w:tooltip="#__RefHeading___Toc1148_773522556" w:anchor="__RefHeading___Toc1148_773522556" w:history="1">
            <w:r>
              <w:rPr>
                <w:rStyle w:val="765"/>
              </w:rPr>
              <w:t xml:space="preserve">2.1 Configuración</w:t>
              <w:tab/>
              <w:t xml:space="preserve">7</w:t>
            </w:r>
          </w:hyperlink>
          <w:r/>
          <w:r/>
        </w:p>
        <w:p>
          <w:pPr>
            <w:pStyle w:val="780"/>
            <w:pBdr/>
            <w:tabs>
              <w:tab w:val="clear" w:leader="none" w:pos="9077"/>
              <w:tab w:val="right" w:leader="dot" w:pos="9359"/>
            </w:tabs>
            <w:spacing/>
            <w:ind/>
            <w:rPr/>
          </w:pPr>
          <w:r/>
          <w:hyperlink w:tooltip="#__RefHeading___Toc1150_773522556" w:anchor="__RefHeading___Toc1150_773522556" w:history="1">
            <w:r>
              <w:rPr>
                <w:rStyle w:val="765"/>
              </w:rPr>
              <w:t xml:space="preserve">2.2 Flujo automático</w:t>
              <w:tab/>
              <w:t xml:space="preserve">8</w:t>
            </w:r>
          </w:hyperlink>
          <w:r/>
          <w:r/>
        </w:p>
        <w:p>
          <w:pPr>
            <w:pStyle w:val="780"/>
            <w:pBdr/>
            <w:tabs>
              <w:tab w:val="clear" w:leader="none" w:pos="9077"/>
              <w:tab w:val="right" w:leader="dot" w:pos="9359"/>
            </w:tabs>
            <w:spacing/>
            <w:ind/>
            <w:rPr/>
          </w:pPr>
          <w:r/>
          <w:hyperlink w:tooltip="#__RefHeading___Toc1152_773522556" w:anchor="__RefHeading___Toc1152_773522556" w:history="1">
            <w:r>
              <w:rPr>
                <w:rStyle w:val="765"/>
              </w:rPr>
              <w:t xml:space="preserve">2.3 Despliegue continuo (entorno de producción)</w:t>
              <w:tab/>
              <w:t xml:space="preserve">8</w:t>
            </w:r>
          </w:hyperlink>
          <w:r/>
          <w:r/>
        </w:p>
        <w:p>
          <w:pPr>
            <w:pStyle w:val="779"/>
            <w:pBdr/>
            <w:tabs>
              <w:tab w:val="right" w:leader="dot" w:pos="9359"/>
              <w:tab w:val="clear" w:leader="none" w:pos="9360"/>
            </w:tabs>
            <w:spacing/>
            <w:ind/>
            <w:rPr/>
          </w:pPr>
          <w:r/>
          <w:hyperlink w:tooltip="#__RefHeading___Toc1154_773522556" w:anchor="__RefHeading___Toc1154_773522556" w:history="1">
            <w:r>
              <w:rPr>
                <w:rStyle w:val="765"/>
              </w:rPr>
              <w:t xml:space="preserve">Criterio 3 · Pruebas de seguridad y análisis de calidad de código (25 pts)</w:t>
              <w:tab/>
              <w:t xml:space="preserve">9</w:t>
            </w:r>
          </w:hyperlink>
          <w:r/>
          <w:r/>
        </w:p>
        <w:p>
          <w:pPr>
            <w:pStyle w:val="780"/>
            <w:pBdr/>
            <w:tabs>
              <w:tab w:val="clear" w:leader="none" w:pos="9077"/>
              <w:tab w:val="right" w:leader="dot" w:pos="9359"/>
            </w:tabs>
            <w:spacing/>
            <w:ind/>
            <w:rPr/>
          </w:pPr>
          <w:r/>
          <w:hyperlink w:tooltip="#__RefHeading___Toc1156_773522556" w:anchor="__RefHeading___Toc1156_773522556" w:history="1">
            <w:r>
              <w:rPr>
                <w:rStyle w:val="765"/>
              </w:rPr>
              <w:t xml:space="preserve">3.1 OWASP ZAP (seguridad web)</w:t>
              <w:tab/>
              <w:t xml:space="preserve">9</w:t>
            </w:r>
          </w:hyperlink>
          <w:r/>
          <w:r/>
        </w:p>
        <w:p>
          <w:pPr>
            <w:pStyle w:val="781"/>
            <w:pBdr/>
            <w:tabs>
              <w:tab w:val="clear" w:leader="none" w:pos="8793"/>
              <w:tab w:val="right" w:leader="dot" w:pos="9359"/>
            </w:tabs>
            <w:spacing/>
            <w:ind/>
            <w:rPr/>
          </w:pPr>
          <w:r/>
          <w:hyperlink w:tooltip="#__RefHeading___Toc1158_773522556" w:anchor="__RefHeading___Toc1158_773522556" w:history="1">
            <w:r>
              <w:rPr>
                <w:rStyle w:val="765"/>
              </w:rPr>
              <w:t xml:space="preserve">Vulnerabilidad detectada y corregida</w:t>
              <w:tab/>
              <w:t xml:space="preserve">10</w:t>
            </w:r>
          </w:hyperlink>
          <w:r/>
          <w:r/>
        </w:p>
        <w:p>
          <w:pPr>
            <w:pStyle w:val="781"/>
            <w:pBdr/>
            <w:tabs>
              <w:tab w:val="clear" w:leader="none" w:pos="8793"/>
              <w:tab w:val="right" w:leader="dot" w:pos="9359"/>
            </w:tabs>
            <w:spacing/>
            <w:ind/>
            <w:rPr/>
          </w:pPr>
          <w:r/>
          <w:hyperlink w:tooltip="#__RefHeading___Toc1160_773522556" w:anchor="__RefHeading___Toc1160_773522556" w:history="1">
            <w:r>
              <w:rPr>
                <w:rStyle w:val="765"/>
              </w:rPr>
              <w:t xml:space="preserve">Controles verificados por ZAP</w:t>
              <w:tab/>
              <w:t xml:space="preserve">10</w:t>
            </w:r>
          </w:hyperlink>
          <w:r/>
          <w:r/>
        </w:p>
        <w:p>
          <w:pPr>
            <w:pStyle w:val="780"/>
            <w:pBdr/>
            <w:tabs>
              <w:tab w:val="clear" w:leader="none" w:pos="9077"/>
              <w:tab w:val="right" w:leader="dot" w:pos="9359"/>
            </w:tabs>
            <w:spacing/>
            <w:ind/>
            <w:rPr/>
          </w:pPr>
          <w:r/>
          <w:hyperlink w:tooltip="#__RefHeading___Toc1162_773522556" w:anchor="__RefHeading___Toc1162_773522556" w:history="1">
            <w:r>
              <w:rPr>
                <w:rStyle w:val="765"/>
              </w:rPr>
              <w:t xml:space="preserve">3.2 SonarQube (calidad de código)</w:t>
              <w:tab/>
              <w:t xml:space="preserve">10</w:t>
            </w:r>
          </w:hyperlink>
          <w:r/>
          <w:r/>
        </w:p>
        <w:p>
          <w:pPr>
            <w:pStyle w:val="781"/>
            <w:pBdr/>
            <w:tabs>
              <w:tab w:val="clear" w:leader="none" w:pos="8793"/>
              <w:tab w:val="right" w:leader="dot" w:pos="9359"/>
            </w:tabs>
            <w:spacing/>
            <w:ind/>
            <w:rPr/>
          </w:pPr>
          <w:r/>
          <w:hyperlink w:tooltip="#__RefHeading___Toc1164_773522556" w:anchor="__RefHeading___Toc1164_773522556" w:history="1">
            <w:r>
              <w:rPr>
                <w:rStyle w:val="765"/>
              </w:rPr>
              <w:t xml:space="preserve">Vulnerabilidades detectadas y corregidas en el Dockerfile</w:t>
              <w:tab/>
              <w:t xml:space="preserve">11</w:t>
            </w:r>
          </w:hyperlink>
          <w:r/>
          <w:r/>
        </w:p>
        <w:p>
          <w:pPr>
            <w:pStyle w:val="780"/>
            <w:pBdr/>
            <w:tabs>
              <w:tab w:val="clear" w:leader="none" w:pos="9077"/>
              <w:tab w:val="right" w:leader="dot" w:pos="9359"/>
            </w:tabs>
            <w:spacing/>
            <w:ind/>
            <w:rPr/>
          </w:pPr>
          <w:r/>
          <w:hyperlink w:tooltip="#__RefHeading___Toc1166_773522556" w:anchor="__RefHeading___Toc1166_773522556" w:history="1">
            <w:r>
              <w:rPr>
                <w:rStyle w:val="765"/>
              </w:rPr>
              <w:t xml:space="preserve">3.3 Pruebas automatizadas (evidencia de calidad)</w:t>
              <w:tab/>
              <w:t xml:space="preserve">11</w:t>
            </w:r>
          </w:hyperlink>
          <w:r/>
          <w:r/>
        </w:p>
        <w:p>
          <w:pPr>
            <w:pStyle w:val="779"/>
            <w:pBdr/>
            <w:tabs>
              <w:tab w:val="right" w:leader="dot" w:pos="9359"/>
              <w:tab w:val="clear" w:leader="none" w:pos="9360"/>
            </w:tabs>
            <w:spacing/>
            <w:ind/>
            <w:rPr/>
          </w:pPr>
          <w:r/>
          <w:hyperlink w:tooltip="#__RefHeading___Toc1168_773522556" w:anchor="__RefHeading___Toc1168_773522556" w:history="1">
            <w:r>
              <w:rPr>
                <w:rStyle w:val="765"/>
              </w:rPr>
              <w:t xml:space="preserve">Criterio 4 · Cierre del proyecto y análisis (15 pts)</w:t>
              <w:tab/>
              <w:t xml:space="preserve">11</w:t>
            </w:r>
          </w:hyperlink>
          <w:r/>
          <w:r/>
        </w:p>
        <w:p>
          <w:pPr>
            <w:pStyle w:val="780"/>
            <w:pBdr/>
            <w:tabs>
              <w:tab w:val="clear" w:leader="none" w:pos="9077"/>
              <w:tab w:val="right" w:leader="dot" w:pos="9359"/>
            </w:tabs>
            <w:spacing/>
            <w:ind/>
            <w:rPr/>
          </w:pPr>
          <w:r/>
          <w:hyperlink w:tooltip="#__RefHeading___Toc1170_773522556" w:anchor="__RefHeading___Toc1170_773522556" w:history="1">
            <w:r>
              <w:rPr>
                <w:rStyle w:val="765"/>
              </w:rPr>
              <w:t xml:space="preserve">4.1 Objetivo SMART</w:t>
              <w:tab/>
              <w:t xml:space="preserve">11</w:t>
            </w:r>
          </w:hyperlink>
          <w:r/>
          <w:r/>
        </w:p>
        <w:p>
          <w:pPr>
            <w:pStyle w:val="780"/>
            <w:pBdr/>
            <w:tabs>
              <w:tab w:val="clear" w:leader="none" w:pos="9077"/>
              <w:tab w:val="right" w:leader="dot" w:pos="9359"/>
            </w:tabs>
            <w:spacing/>
            <w:ind/>
            <w:rPr/>
          </w:pPr>
          <w:r/>
          <w:hyperlink w:tooltip="#__RefHeading___Toc1172_773522556" w:anchor="__RefHeading___Toc1172_773522556" w:history="1">
            <w:r>
              <w:rPr>
                <w:rStyle w:val="765"/>
              </w:rPr>
              <w:t xml:space="preserve">4.2 Comparación planificado vs. ejecutado</w:t>
              <w:tab/>
              <w:t xml:space="preserve">11</w:t>
            </w:r>
          </w:hyperlink>
          <w:r/>
          <w:r/>
        </w:p>
        <w:p>
          <w:pPr>
            <w:pStyle w:val="780"/>
            <w:pBdr/>
            <w:tabs>
              <w:tab w:val="clear" w:leader="none" w:pos="9077"/>
              <w:tab w:val="right" w:leader="dot" w:pos="9359"/>
            </w:tabs>
            <w:spacing/>
            <w:ind/>
            <w:rPr/>
          </w:pPr>
          <w:r/>
          <w:hyperlink w:tooltip="#__RefHeading___Toc1174_773522556" w:anchor="__RefHeading___Toc1174_773522556" w:history="1">
            <w:r>
              <w:rPr>
                <w:rStyle w:val="765"/>
              </w:rPr>
              <w:t xml:space="preserve">4.3 Lecciones aprendidas</w:t>
              <w:tab/>
              <w:t xml:space="preserve">12</w:t>
            </w:r>
          </w:hyperlink>
          <w:r/>
          <w:r/>
        </w:p>
        <w:p>
          <w:pPr>
            <w:pStyle w:val="779"/>
            <w:pBdr/>
            <w:tabs>
              <w:tab w:val="right" w:leader="dot" w:pos="9359"/>
              <w:tab w:val="clear" w:leader="none" w:pos="9360"/>
            </w:tabs>
            <w:spacing/>
            <w:ind/>
            <w:rPr/>
          </w:pPr>
          <w:r/>
          <w:hyperlink w:tooltip="#__RefHeading___Toc1176_773522556" w:anchor="__RefHeading___Toc1176_773522556" w:history="1">
            <w:r>
              <w:rPr>
                <w:rStyle w:val="765"/>
              </w:rPr>
              <w:t xml:space="preserve">Criterio 5 · Plan de mejora continua (15 pts)</w:t>
              <w:tab/>
              <w:t xml:space="preserve">12</w:t>
            </w:r>
          </w:hyperlink>
          <w:r/>
          <w:r/>
        </w:p>
        <w:p>
          <w:pPr>
            <w:pStyle w:val="780"/>
            <w:pBdr/>
            <w:tabs>
              <w:tab w:val="clear" w:leader="none" w:pos="9077"/>
              <w:tab w:val="right" w:leader="dot" w:pos="9359"/>
            </w:tabs>
            <w:spacing/>
            <w:ind/>
            <w:rPr/>
          </w:pPr>
          <w:r/>
          <w:hyperlink w:tooltip="#__RefHeading___Toc1178_773522556" w:anchor="__RefHeading___Toc1178_773522556" w:history="1">
            <w:r>
              <w:rPr>
                <w:rStyle w:val="765"/>
              </w:rPr>
              <w:t xml:space="preserve">5.1 Acciones medibles</w:t>
              <w:tab/>
              <w:t xml:space="preserve">12</w:t>
            </w:r>
          </w:hyperlink>
          <w:r/>
          <w:r/>
        </w:p>
        <w:p>
          <w:pPr>
            <w:pStyle w:val="780"/>
            <w:pBdr/>
            <w:tabs>
              <w:tab w:val="clear" w:leader="none" w:pos="9077"/>
              <w:tab w:val="right" w:leader="dot" w:pos="9359"/>
            </w:tabs>
            <w:spacing/>
            <w:ind/>
            <w:rPr/>
          </w:pPr>
          <w:r/>
          <w:hyperlink w:tooltip="#__RefHeading___Toc1180_773522556" w:anchor="__RefHeading___Toc1180_773522556" w:history="1">
            <w:r>
              <w:rPr>
                <w:rStyle w:val="765"/>
              </w:rPr>
              <w:t xml:space="preserve">5.2 Innovación tecnológica</w:t>
              <w:tab/>
              <w:t xml:space="preserve">13</w:t>
            </w:r>
          </w:hyperlink>
          <w:r/>
          <w:r/>
        </w:p>
        <w:p>
          <w:pPr>
            <w:pStyle w:val="780"/>
            <w:pBdr/>
            <w:tabs>
              <w:tab w:val="clear" w:leader="none" w:pos="9077"/>
              <w:tab w:val="right" w:leader="dot" w:pos="9359"/>
            </w:tabs>
            <w:spacing/>
            <w:ind/>
            <w:rPr/>
          </w:pPr>
          <w:r/>
          <w:hyperlink w:tooltip="#__RefHeading___Toc1182_773522556" w:anchor="__RefHeading___Toc1182_773522556" w:history="1">
            <w:r>
              <w:rPr>
                <w:rStyle w:val="765"/>
              </w:rPr>
              <w:t xml:space="preserve">5.3 Cierre de la presentación (resumen ejecutivo)</w:t>
              <w:tab/>
              <w:t xml:space="preserve">13</w:t>
            </w:r>
          </w:hyperlink>
          <w:r/>
          <w:r/>
        </w:p>
        <w:p>
          <w:pPr>
            <w:pStyle w:val="779"/>
            <w:pBdr/>
            <w:tabs>
              <w:tab w:val="right" w:leader="dot" w:pos="9359"/>
              <w:tab w:val="clear" w:leader="none" w:pos="9360"/>
            </w:tabs>
            <w:spacing/>
            <w:ind/>
            <w:rPr/>
          </w:pPr>
          <w:r/>
          <w:hyperlink w:tooltip="#__RefHeading___Toc1184_773522556" w:anchor="__RefHeading___Toc1184_773522556" w:history="1">
            <w:r>
              <w:rPr>
                <w:rStyle w:val="765"/>
              </w:rPr>
              <w:t xml:space="preserve">Anexos</w:t>
              <w:tab/>
              <w:t xml:space="preserve">14</w:t>
            </w:r>
          </w:hyperlink>
          <w:r/>
          <w:r/>
        </w:p>
        <w:p>
          <w:pPr>
            <w:pStyle w:val="780"/>
            <w:pBdr/>
            <w:tabs>
              <w:tab w:val="clear" w:leader="none" w:pos="9077"/>
              <w:tab w:val="right" w:leader="dot" w:pos="9359"/>
            </w:tabs>
            <w:spacing/>
            <w:ind/>
            <w:rPr/>
          </w:pPr>
          <w:r/>
          <w:hyperlink w:tooltip="#__RefHeading___Toc1186_773522556" w:anchor="__RefHeading___Toc1186_773522556" w:history="1">
            <w:r>
              <w:rPr>
                <w:rStyle w:val="765"/>
              </w:rPr>
              <w:t xml:space="preserve">Anexo A · Credenciales de prueba (entorno de producción)</w:t>
              <w:tab/>
              <w:t xml:space="preserve">14</w:t>
            </w:r>
          </w:hyperlink>
          <w:r/>
          <w:r/>
        </w:p>
        <w:p>
          <w:pPr>
            <w:pStyle w:val="780"/>
            <w:pBdr/>
            <w:tabs>
              <w:tab w:val="clear" w:leader="none" w:pos="9077"/>
              <w:tab w:val="right" w:leader="dot" w:pos="9359"/>
            </w:tabs>
            <w:spacing/>
            <w:ind/>
            <w:rPr/>
          </w:pPr>
          <w:r/>
          <w:hyperlink w:tooltip="#__RefHeading___Toc1188_773522556" w:anchor="__RefHeading___Toc1188_773522556" w:history="1">
            <w:r>
              <w:rPr>
                <w:rStyle w:val="765"/>
              </w:rPr>
              <w:t xml:space="preserve">Anexo B · Cómo reproducir las métricas</w:t>
              <w:tab/>
              <w:t xml:space="preserve">14</w:t>
            </w:r>
          </w:hyperlink>
          <w:r/>
          <w:r/>
        </w:p>
        <w:p>
          <w:pPr>
            <w:pStyle w:val="780"/>
            <w:pBdr/>
            <w:tabs>
              <w:tab w:val="clear" w:leader="none" w:pos="9077"/>
              <w:tab w:val="right" w:leader="dot" w:pos="9359"/>
            </w:tabs>
            <w:spacing/>
            <w:ind/>
            <w:rPr/>
          </w:pPr>
          <w:r/>
          <w:hyperlink w:tooltip="#__RefHeading___Toc1190_773522556" w:anchor="__RefHeading___Toc1190_773522556" w:history="1">
            <w:r>
              <w:rPr>
                <w:rStyle w:val="765"/>
              </w:rPr>
              <w:t xml:space="preserve">Anexo C · Repositorio</w:t>
              <w:tab/>
              <w:t xml:space="preserve">14</w:t>
            </w:r>
          </w:hyperlink>
          <w:r/>
          <w:r/>
        </w:p>
        <w:p>
          <w:pPr>
            <w:pStyle w:val="780"/>
            <w:pBdr/>
            <w:tabs>
              <w:tab w:val="clear" w:leader="none" w:pos="9077"/>
              <w:tab w:val="right" w:leader="dot" w:pos="9359"/>
            </w:tabs>
            <w:spacing/>
            <w:ind/>
            <w:rPr/>
          </w:pPr>
          <w:r/>
          <w:hyperlink w:tooltip="#__RefHeading___Toc1192_773522556" w:anchor="__RefHeading___Toc1192_773522556" w:history="1">
            <w:r>
              <w:rPr>
                <w:rStyle w:val="765"/>
              </w:rPr>
              <w:t xml:space="preserve">Anexo D · Índice completo de capturas</w:t>
              <w:tab/>
              <w:t xml:space="preserve">14</w:t>
            </w:r>
          </w:hyperlink>
          <w:r/>
          <w:r/>
        </w:p>
        <w:p>
          <w:pPr>
            <w:pStyle w:val="780"/>
            <w:pBdr/>
            <w:tabs>
              <w:tab w:val="clear" w:leader="none" w:pos="9077"/>
              <w:tab w:val="right" w:leader="dot" w:pos="9359"/>
            </w:tabs>
            <w:spacing/>
            <w:ind/>
            <w:rPr/>
          </w:pPr>
          <w:r/>
          <w:hyperlink w:tooltip="#__RefHeading___Toc1194_773522556" w:anchor="__RefHeading___Toc1194_773522556" w:history="1">
            <w:r>
              <w:rPr>
                <w:rStyle w:val="765"/>
              </w:rPr>
              <w:t xml:space="preserve">Anexo E · Capturas adicionales de la plataforma</w:t>
              <w:tab/>
              <w:t xml:space="preserve">15</w:t>
            </w:r>
          </w:hyperlink>
          <w:r>
            <w:rPr>
              <w:rStyle w:val="765"/>
            </w:rPr>
            <w:fldChar w:fldCharType="end"/>
          </w:r>
          <w:r/>
        </w:p>
      </w:sdtContent>
    </w:sdt>
    <w:p>
      <w:pPr>
        <w:pStyle w:val="751"/>
        <w:pBdr/>
        <w:spacing/>
        <w:ind/>
        <w:rPr/>
      </w:pPr>
      <w:r/>
      <w:r/>
    </w:p>
    <w:p>
      <w:pPr>
        <w:pStyle w:val="751"/>
        <w:pBdr/>
        <w:spacing/>
        <w:ind/>
        <w:rPr/>
      </w:pPr>
      <w:r/>
      <w:r>
        <w:br w:type="page" w:clear="all"/>
      </w:r>
      <w:r/>
    </w:p>
    <w:p>
      <w:pPr>
        <w:pStyle w:val="752"/>
        <w:keepNext w:val="true"/>
        <w:pBdr>
          <w:bottom w:val="single" w:color="6c3ce1" w:sz="12" w:space="4"/>
        </w:pBdr>
        <w:spacing w:after="240" w:before="0"/>
        <w:ind/>
        <w:rPr/>
      </w:pPr>
      <w:r/>
      <w:bookmarkStart w:id="1" w:name="__RefHeading___Toc1126_773522556"/>
      <w:r/>
      <w:bookmarkEnd w:id="1"/>
      <w:r>
        <w:rPr>
          <w:b/>
          <w:bCs/>
          <w:color w:val="6c3ce1"/>
        </w:rPr>
        <w:t xml:space="preserve">Información del proyecto</w:t>
      </w:r>
      <w:r/>
    </w:p>
    <w:tbl>
      <w:tblPr>
        <w:tblInd w:w="0" w:type="dxa"/>
        <w:tblW w:w="9360" w:type="dxa"/>
        <w:tblCellMar>
          <w:left w:w="160" w:type="dxa"/>
          <w:top w:w="110" w:type="dxa"/>
          <w:right w:w="120" w:type="dxa"/>
          <w:bottom w:w="11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600"/>
        <w:gridCol w:w="6759"/>
      </w:tblGrid>
      <w:tr>
        <w:trPr/>
        <w:tc>
          <w:tcPr>
            <w:shd w:val="clear" w:color="auto" w:fill="f3f0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0" w:type="dxa"/>
            <w:vAlign w:val="center"/>
          </w:tcPr>
          <w:p>
            <w:pPr>
              <w:pStyle w:val="751"/>
              <w:pBdr/>
              <w:spacing/>
              <w:ind/>
              <w:rPr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Proyecto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59" w:type="dxa"/>
            <w:vAlign w:val="center"/>
          </w:tcPr>
          <w:p>
            <w:pPr>
              <w:pStyle w:val="751"/>
              <w:pBdr/>
              <w:spacing/>
              <w:ind/>
              <w:rPr/>
            </w:pPr>
            <w:r>
              <w:rPr>
                <w:color w:val="1a1a2e"/>
                <w:sz w:val="20"/>
                <w:szCs w:val="20"/>
              </w:rPr>
              <w:t xml:space="preserve">OverDrive</w:t>
            </w:r>
            <w:r/>
          </w:p>
        </w:tc>
      </w:tr>
      <w:tr>
        <w:trPr/>
        <w:tc>
          <w:tcPr>
            <w:shd w:val="clear" w:color="auto" w:fill="f3f0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0" w:type="dxa"/>
            <w:vAlign w:val="center"/>
          </w:tcPr>
          <w:p>
            <w:pPr>
              <w:pStyle w:val="751"/>
              <w:pBdr/>
              <w:spacing/>
              <w:ind/>
              <w:rPr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Alumno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59" w:type="dxa"/>
            <w:vAlign w:val="center"/>
          </w:tcPr>
          <w:p>
            <w:pPr>
              <w:pStyle w:val="751"/>
              <w:pBdr/>
              <w:spacing/>
              <w:ind/>
              <w:rPr/>
            </w:pPr>
            <w:r>
              <w:rPr>
                <w:color w:val="1a1a2e"/>
                <w:sz w:val="20"/>
                <w:szCs w:val="20"/>
              </w:rPr>
              <w:t xml:space="preserve">Hugo David Ruiz Moreno</w:t>
            </w:r>
            <w:r/>
          </w:p>
        </w:tc>
      </w:tr>
      <w:tr>
        <w:trPr/>
        <w:tc>
          <w:tcPr>
            <w:shd w:val="clear" w:color="auto" w:fill="f3f0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0" w:type="dxa"/>
            <w:vAlign w:val="center"/>
          </w:tcPr>
          <w:p>
            <w:pPr>
              <w:pStyle w:val="751"/>
              <w:pBdr/>
              <w:spacing/>
              <w:ind/>
              <w:rPr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Reto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59" w:type="dxa"/>
            <w:vAlign w:val="center"/>
          </w:tcPr>
          <w:p>
            <w:pPr>
              <w:pStyle w:val="751"/>
              <w:pBdr/>
              <w:spacing/>
              <w:ind/>
              <w:rPr/>
            </w:pPr>
            <w:r>
              <w:rPr>
                <w:color w:val="1a1a2e"/>
                <w:sz w:val="20"/>
                <w:szCs w:val="20"/>
              </w:rPr>
              <w:t xml:space="preserve">Reto Final · Ingeniería de Software</w:t>
            </w:r>
            <w:r/>
          </w:p>
        </w:tc>
      </w:tr>
      <w:tr>
        <w:trPr/>
        <w:tc>
          <w:tcPr>
            <w:shd w:val="clear" w:color="auto" w:fill="f3f0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0" w:type="dxa"/>
            <w:vAlign w:val="center"/>
          </w:tcPr>
          <w:p>
            <w:pPr>
              <w:pStyle w:val="751"/>
              <w:pBdr/>
              <w:spacing/>
              <w:ind/>
              <w:rPr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Fecha de entrega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59" w:type="dxa"/>
            <w:vAlign w:val="center"/>
          </w:tcPr>
          <w:p>
            <w:pPr>
              <w:pStyle w:val="751"/>
              <w:pBdr/>
              <w:spacing/>
              <w:ind/>
              <w:rPr/>
            </w:pPr>
            <w:r>
              <w:rPr>
                <w:color w:val="1a1a2e"/>
                <w:sz w:val="20"/>
                <w:szCs w:val="20"/>
              </w:rPr>
              <w:t xml:space="preserve">23 de septiembre de 2026</w:t>
            </w:r>
            <w:r/>
          </w:p>
        </w:tc>
      </w:tr>
      <w:tr>
        <w:trPr/>
        <w:tc>
          <w:tcPr>
            <w:shd w:val="clear" w:color="auto" w:fill="f3f0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0" w:type="dxa"/>
            <w:vAlign w:val="center"/>
          </w:tcPr>
          <w:p>
            <w:pPr>
              <w:pStyle w:val="751"/>
              <w:pBdr/>
              <w:spacing/>
              <w:ind/>
              <w:rPr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Aplicación en producción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59" w:type="dxa"/>
            <w:vAlign w:val="center"/>
          </w:tcPr>
          <w:p>
            <w:pPr>
              <w:pStyle w:val="751"/>
              <w:pBdr/>
              <w:spacing/>
              <w:ind/>
              <w:rPr/>
            </w:pPr>
            <w:r/>
            <w:hyperlink r:id="rId16" w:tooltip="https://overdrive-production-1392.up.railway.app/" w:history="1">
              <w:r>
                <w:rPr>
                  <w:rStyle w:val="758"/>
                  <w:color w:val="1bb6e0"/>
                  <w:u w:val="single"/>
                </w:rPr>
                <w:t xml:space="preserve">overdrive-production-1392.up.railway.app</w:t>
              </w:r>
            </w:hyperlink>
            <w:r/>
            <w:r/>
          </w:p>
        </w:tc>
      </w:tr>
      <w:tr>
        <w:trPr/>
        <w:tc>
          <w:tcPr>
            <w:shd w:val="clear" w:color="auto" w:fill="f3f0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0" w:type="dxa"/>
            <w:vAlign w:val="center"/>
          </w:tcPr>
          <w:p>
            <w:pPr>
              <w:pStyle w:val="751"/>
              <w:pBdr/>
              <w:spacing/>
              <w:ind/>
              <w:rPr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Repositorio GitHub (público)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59" w:type="dxa"/>
            <w:vAlign w:val="center"/>
          </w:tcPr>
          <w:p>
            <w:pPr>
              <w:pStyle w:val="751"/>
              <w:pBdr/>
              <w:spacing/>
              <w:ind/>
              <w:rPr/>
            </w:pPr>
            <w:r/>
            <w:hyperlink r:id="rId17" w:tooltip="https://github.com/Hugoatpxndx/OverDrive" w:history="1">
              <w:r>
                <w:rPr>
                  <w:rStyle w:val="758"/>
                  <w:color w:val="1bb6e0"/>
                  <w:u w:val="single"/>
                </w:rPr>
                <w:t xml:space="preserve">github.com/Hugoatpxndx/OverDrive</w:t>
              </w:r>
            </w:hyperlink>
            <w:r/>
            <w:r/>
          </w:p>
        </w:tc>
      </w:tr>
    </w:tbl>
    <w:p>
      <w:pPr>
        <w:pStyle w:val="751"/>
        <w:pBdr/>
        <w:spacing w:after="200" w:before="0"/>
        <w:ind/>
        <w:rPr/>
      </w:pPr>
      <w:r/>
      <w:r/>
    </w:p>
    <w:p>
      <w:pPr>
        <w:pStyle w:val="751"/>
        <w:pBdr/>
        <w:spacing w:after="160" w:before="0"/>
        <w:ind/>
        <w:rPr/>
      </w:pPr>
      <w:r>
        <w:rPr>
          <w:i/>
          <w:iCs/>
          <w:color w:val="5b5b6b"/>
          <w:sz w:val="20"/>
          <w:szCs w:val="20"/>
        </w:rPr>
        <w:t xml:space="preserve">El código fuente completo, el pipeline de CI/CD (.github/workflows/ci.yml) y la documentación del proyecto están disponibles públicamente en el repositorio de GitHub enlazado arriba.</w:t>
      </w:r>
      <w:r/>
    </w:p>
    <w:p>
      <w:pPr>
        <w:pStyle w:val="751"/>
        <w:pBdr/>
        <w:spacing/>
        <w:ind/>
        <w:rPr/>
      </w:pPr>
      <w:r/>
      <w:r>
        <w:br w:type="page" w:clear="all"/>
      </w:r>
      <w:r/>
    </w:p>
    <w:p>
      <w:pPr>
        <w:pStyle w:val="752"/>
        <w:keepNext w:val="true"/>
        <w:pBdr>
          <w:bottom w:val="single" w:color="6c3ce1" w:sz="12" w:space="4"/>
        </w:pBdr>
        <w:spacing w:after="240" w:before="0"/>
        <w:ind/>
        <w:rPr/>
      </w:pPr>
      <w:r/>
      <w:bookmarkStart w:id="2" w:name="__RefHeading___Toc1128_773522556"/>
      <w:r/>
      <w:bookmarkEnd w:id="2"/>
      <w:r>
        <w:rPr>
          <w:b/>
          <w:bCs/>
          <w:color w:val="6c3ce1"/>
        </w:rPr>
        <w:t xml:space="preserve">Criterio 1 · Implementación del módulo y su seguridad (20 pts)</w:t>
      </w:r>
      <w:r/>
    </w:p>
    <w:p>
      <w:pPr>
        <w:pStyle w:val="753"/>
        <w:keepNext w:val="true"/>
        <w:pBdr/>
        <w:spacing w:after="160" w:before="320"/>
        <w:ind/>
        <w:rPr/>
      </w:pPr>
      <w:r/>
      <w:bookmarkStart w:id="3" w:name="__RefHeading___Toc1130_773522556"/>
      <w:r/>
      <w:bookmarkEnd w:id="3"/>
      <w:r>
        <w:rPr>
          <w:b/>
          <w:bCs/>
          <w:color w:val="1a1a2e"/>
        </w:rPr>
        <w:t xml:space="preserve">1.1 Qué es OverDrive</w:t>
      </w:r>
      <w:r/>
    </w:p>
    <w:p>
      <w:pPr>
        <w:pStyle w:val="751"/>
        <w:pBdr/>
        <w:spacing w:after="160" w:before="0"/>
        <w:ind/>
        <w:rPr/>
      </w:pPr>
      <w:r>
        <w:rPr>
          <w:b/>
          <w:bCs/>
        </w:rPr>
        <w:t xml:space="preserve">OverDrive</w:t>
      </w:r>
      <w:r>
        <w:t xml:space="preserve"> es una plataforma web que conecta a </w:t>
      </w:r>
      <w:r>
        <w:rPr>
          <w:b/>
          <w:bCs/>
        </w:rPr>
        <w:t xml:space="preserve">artistas</w:t>
      </w:r>
      <w:r>
        <w:t xml:space="preserve"> con </w:t>
      </w:r>
      <w:r>
        <w:rPr>
          <w:b/>
          <w:bCs/>
        </w:rPr>
        <w:t xml:space="preserve">curadores</w:t>
      </w:r>
      <w:r>
        <w:t xml:space="preserve"> de playlists mediante un sistema de </w:t>
      </w:r>
      <w:r>
        <w:rPr>
          <w:b/>
          <w:bCs/>
        </w:rPr>
        <w:t xml:space="preserve">tokens</w:t>
      </w:r>
      <w:r>
        <w:t xml:space="preserve">:</w:t>
      </w:r>
      <w:r/>
    </w:p>
    <w:p>
      <w:pPr>
        <w:pStyle w:val="773"/>
        <w:numPr>
          <w:ilvl w:val="0"/>
          <w:numId w:val="3"/>
        </w:numPr>
        <w:pBdr/>
        <w:spacing w:after="80" w:before="0"/>
        <w:ind/>
        <w:rPr/>
      </w:pPr>
      <w:r>
        <w:t xml:space="preserve">El artista gasta 1 token para enviar su canción a una playlist de un curador.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Si el curador la rechaza, el token vuelve al artista (reembolso).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Si la acepta, el token pasa al curador como pago por publicarla, y la canción se agrega de forma real a la playlist de Spotify del curador.</w:t>
      </w:r>
      <w:r/>
    </w:p>
    <w:p>
      <w:pPr>
        <w:pStyle w:val="751"/>
        <w:pBdr/>
        <w:spacing w:after="160" w:before="0"/>
        <w:ind/>
        <w:rPr/>
      </w:pPr>
      <w:r>
        <w:t xml:space="preserve">La base del reto (módulo de registro de donantes con autenticación) se materializa como un módulo de registro y autenticación de usuarios/artistas con JWT y control de roles (usuario vs. administrador).</w:t>
      </w:r>
      <w:r/>
    </w:p>
    <w:p>
      <w:pPr>
        <w:pStyle w:val="753"/>
        <w:keepNext w:val="true"/>
        <w:pBdr/>
        <w:spacing w:after="160" w:before="320"/>
        <w:ind/>
        <w:rPr/>
      </w:pPr>
      <w:r/>
      <w:bookmarkStart w:id="4" w:name="__RefHeading___Toc1132_773522556"/>
      <w:r/>
      <w:bookmarkEnd w:id="4"/>
      <w:r>
        <w:rPr>
          <w:b/>
          <w:bCs/>
          <w:color w:val="1a1a2e"/>
        </w:rPr>
        <w:t xml:space="preserve">1.2 Arquitectura</w:t>
      </w:r>
      <w:r/>
    </w:p>
    <w:p>
      <w:pPr>
        <w:pStyle w:val="751"/>
        <w:pBdr>
          <w:top w:val="single" w:color="1e1e2e" w:sz="2" w:space="0"/>
          <w:left w:val="single" w:color="1e1e2e" w:sz="2" w:space="0"/>
          <w:bottom w:val="single" w:color="1e1e2e" w:sz="2" w:space="0"/>
          <w:right w:val="single" w:color="1e1e2e" w:sz="2" w:space="0"/>
        </w:pBdr>
        <w:shd w:val="clear" w:color="auto" w:fill="1e1e2e"/>
        <w:spacing w:after="200" w:before="120"/>
        <w:ind/>
        <w:rPr/>
      </w:pPr>
      <w:r>
        <w:rPr>
          <w:rFonts w:ascii="Consolas" w:hAnsi="Consolas" w:eastAsia="Consolas" w:cs="Consolas"/>
          <w:color w:val="d4d4e8"/>
          <w:sz w:val="18"/>
          <w:szCs w:val="18"/>
        </w:rPr>
        <w:t xml:space="preserve">React (Vite) ──HTTP──▶ Express (Node 22) ──prepared stmts──▶ MariaDB</w:t>
        <w:br/>
        <w:t xml:space="preserve">  :5173/dev              :4000                (Railway plugin / :3307)</w:t>
        <w:br/>
        <w:t xml:space="preserve">                         └──OAuth 2.0──▶ Spotify Web API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Frontend: React + Vite, SPA con modo claro/oscuro, reproductor embebido de Spotify, paneles por modo (artista, curador, administrador).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Backend: Express, mysql2 con prepared statements, bcryptjs, jsonwebtoken, helmet, express-rate-limit, express-validator.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BD: MariaDB (schema + 5 migraciones, inicializadas automáticamente por db-init.js, idempotente).</w:t>
      </w:r>
      <w:r/>
    </w:p>
    <w:p>
      <w:pPr>
        <w:pStyle w:val="753"/>
        <w:keepNext w:val="true"/>
        <w:pBdr/>
        <w:spacing w:after="160" w:before="320"/>
        <w:ind/>
        <w:rPr/>
      </w:pPr>
      <w:r/>
      <w:bookmarkStart w:id="5" w:name="__RefHeading___Toc1134_773522556"/>
      <w:r/>
      <w:bookmarkEnd w:id="5"/>
      <w:r>
        <w:rPr>
          <w:b/>
          <w:bCs/>
          <w:color w:val="1a1a2e"/>
        </w:rPr>
        <w:t xml:space="preserve">1.3 Módulo de autenticación y roles (JWT)</w:t>
      </w:r>
      <w:r/>
    </w:p>
    <w:tbl>
      <w:tblPr>
        <w:tblInd w:w="0" w:type="dxa"/>
        <w:tblW w:w="9360" w:type="dxa"/>
        <w:tblCellMar>
          <w:left w:w="120" w:type="dxa"/>
          <w:top w:w="100" w:type="dxa"/>
          <w:right w:w="120" w:type="dxa"/>
          <w:bottom w:w="10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399"/>
        <w:gridCol w:w="6960"/>
      </w:tblGrid>
      <w:tr>
        <w:trPr>
          <w:cantSplit/>
          <w:tblHeader/>
        </w:trPr>
        <w:tc>
          <w:tcPr>
            <w:shd w:val="clear" w:color="auto" w:fill="6c3ce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9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Aspecto</w:t>
            </w:r>
            <w:r/>
          </w:p>
        </w:tc>
        <w:tc>
          <w:tcPr>
            <w:shd w:val="clear" w:color="auto" w:fill="6c3ce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6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Implementación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39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Registro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696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POST /api/auth/register — bcrypt, validación fuerte de contraseña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39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Login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696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POST /api/auth/login — compara hash, genera JWT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39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Expiración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696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JWT_EXPIRES_IN = 1h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39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Roles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696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usuario / administrador, validados por middleware requireAuth + isAdmin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39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Verificación de email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696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Código de 6 dígitos (simulado, sin SMTP); gate para poder enviar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39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Token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696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En Authorization: Bearer &lt;jwt&gt;; guardado en localStorage</w:t>
            </w:r>
            <w:r/>
          </w:p>
        </w:tc>
      </w:tr>
    </w:tbl>
    <w:p>
      <w:pPr>
        <w:pStyle w:val="751"/>
        <w:pBdr/>
        <w:spacing w:after="200" w:before="0"/>
        <w:ind/>
        <w:rPr/>
      </w:pPr>
      <w:r/>
      <w:r/>
    </w:p>
    <w:p>
      <w:pPr>
        <w:pStyle w:val="754"/>
        <w:keepNext w:val="true"/>
        <w:pBdr/>
        <w:spacing w:after="120" w:before="240"/>
        <w:ind/>
        <w:rPr/>
      </w:pPr>
      <w:r/>
      <w:bookmarkStart w:id="6" w:name="__RefHeading___Toc1136_773522556"/>
      <w:r/>
      <w:bookmarkEnd w:id="6"/>
      <w:r>
        <w:rPr>
          <w:b/>
          <w:bCs/>
          <w:color w:val="6c3ce1"/>
        </w:rPr>
        <w:t xml:space="preserve">Middlewares de seguridad (backend/server.js)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helmet() (X-Content-Type-Options, X-Frame-Options, HSTS, CSP).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CORS restringido a orígenes permitidos.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express-rate-limit: 100 req/15 min global, 10 req/15 min en login/registro.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Body parser limitado a 10kb (mitiga DoS).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Cache-Control: no-store en todas las respuestas de la API.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Errores genéricos en producción (sin stack traces).</w:t>
      </w:r>
      <w:r/>
    </w:p>
    <w:p>
      <w:pPr>
        <w:pStyle w:val="751"/>
        <w:pBdr/>
        <w:spacing w:after="100" w:before="0"/>
        <w:ind/>
        <w:rPr/>
      </w:pPr>
      <w:r/>
      <w:r/>
    </w:p>
    <w:p>
      <w:pPr>
        <w:pStyle w:val="754"/>
        <w:keepNext w:val="true"/>
        <w:pBdr/>
        <w:spacing w:after="120" w:before="240"/>
        <w:ind/>
        <w:rPr/>
      </w:pPr>
      <w:r/>
      <w:bookmarkStart w:id="7" w:name="__RefHeading___Toc1138_773522556"/>
      <w:r/>
      <w:bookmarkEnd w:id="7"/>
      <w:r>
        <w:rPr>
          <w:b/>
          <w:bCs/>
          <w:color w:val="6c3ce1"/>
        </w:rPr>
        <w:t xml:space="preserve">Medidas OWASP aplicadas</w:t>
      </w:r>
      <w:r/>
    </w:p>
    <w:p>
      <w:pPr>
        <w:pStyle w:val="751"/>
        <w:pBdr/>
        <w:spacing w:after="160" w:before="0"/>
        <w:ind/>
        <w:rPr/>
      </w:pPr>
      <w:r>
        <w:t xml:space="preserve">Inyección SQL (prepared statements, A03), XSS (helmet + sanitización, A07), fuerza bruta (rate-limit, A07), contraseñas expuestas (bcrypt, A02), información filtrada en errores y payloads gigantes (A05).</w:t>
      </w:r>
      <w:r/>
    </w:p>
    <w:p>
      <w:pPr>
        <w:pStyle w:val="754"/>
        <w:keepNext w:val="true"/>
        <w:pBdr/>
        <w:spacing w:after="120" w:before="240"/>
        <w:ind/>
        <w:rPr/>
      </w:pPr>
      <w:r/>
      <w:bookmarkStart w:id="8" w:name="__RefHeading___Toc1140_773522556"/>
      <w:r/>
      <w:bookmarkEnd w:id="8"/>
      <w:r>
        <w:rPr>
          <w:b/>
          <w:bCs/>
          <w:color w:val="6c3ce1"/>
        </w:rPr>
        <w:t xml:space="preserve">Pantallas del módulo</w:t>
      </w:r>
      <w:r/>
    </w:p>
    <w:p>
      <w:pPr>
        <w:pStyle w:val="751"/>
        <w:pBdr/>
        <w:spacing w:after="40" w:before="16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06240" cy="2628900"/>
                <wp:effectExtent l="0" t="0" r="0" b="0"/>
                <wp:docPr id="2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206240" cy="262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31.20pt;height:207.0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Style w:val="751"/>
        <w:pBdr/>
        <w:spacing w:after="280" w:before="80"/>
        <w:ind/>
        <w:jc w:val="center"/>
        <w:rPr/>
      </w:pPr>
      <w:r>
        <w:rPr>
          <w:i/>
          <w:iCs/>
          <w:color w:val="5b5b6b"/>
          <w:sz w:val="18"/>
          <w:szCs w:val="18"/>
        </w:rPr>
        <w:t xml:space="preserve">Figura 1. Pantalla de inicio de sesión.</w:t>
      </w:r>
      <w:r/>
    </w:p>
    <w:p>
      <w:pPr>
        <w:pStyle w:val="751"/>
        <w:pBdr/>
        <w:spacing w:after="40" w:before="16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06240" cy="2628900"/>
                <wp:effectExtent l="0" t="0" r="0" b="0"/>
                <wp:docPr id="3" name="Image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2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4206240" cy="262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31.20pt;height:207.0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>
      <w:pPr>
        <w:pStyle w:val="751"/>
        <w:pBdr/>
        <w:spacing w:after="280" w:before="80"/>
        <w:ind/>
        <w:jc w:val="center"/>
        <w:rPr/>
      </w:pPr>
      <w:r>
        <w:rPr>
          <w:i/>
          <w:iCs/>
          <w:color w:val="5b5b6b"/>
          <w:sz w:val="18"/>
          <w:szCs w:val="18"/>
        </w:rPr>
        <w:t xml:space="preserve">Figura 2. Pantalla de registro de usuario con validación de contraseña.</w:t>
      </w:r>
      <w:r/>
    </w:p>
    <w:p>
      <w:pPr>
        <w:pStyle w:val="751"/>
        <w:pBdr/>
        <w:spacing w:after="40" w:before="16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06240" cy="2628900"/>
                <wp:effectExtent l="0" t="0" r="0" b="0"/>
                <wp:docPr id="4" name="Image3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3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4206240" cy="262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31.20pt;height:207.0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>
      <w:pPr>
        <w:pStyle w:val="751"/>
        <w:pBdr/>
        <w:spacing w:after="280" w:before="80"/>
        <w:ind/>
        <w:jc w:val="center"/>
        <w:rPr/>
      </w:pPr>
      <w:r>
        <w:rPr>
          <w:i/>
          <w:iCs/>
          <w:color w:val="5b5b6b"/>
          <w:sz w:val="18"/>
          <w:szCs w:val="18"/>
        </w:rPr>
        <w:t xml:space="preserve">Figura 3. Login con credenciales de administrador.</w:t>
      </w:r>
      <w:r/>
    </w:p>
    <w:p>
      <w:pPr>
        <w:pStyle w:val="751"/>
        <w:pBdr/>
        <w:spacing w:after="40" w:before="16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06240" cy="2628900"/>
                <wp:effectExtent l="0" t="0" r="0" b="0"/>
                <wp:docPr id="5" name="Image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4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4206240" cy="262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31.20pt;height:207.0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</w:p>
    <w:p>
      <w:pPr>
        <w:pStyle w:val="751"/>
        <w:pBdr/>
        <w:spacing w:after="280" w:before="80"/>
        <w:ind/>
        <w:jc w:val="center"/>
        <w:rPr/>
      </w:pPr>
      <w:r>
        <w:rPr>
          <w:i/>
          <w:iCs/>
          <w:color w:val="5b5b6b"/>
          <w:sz w:val="18"/>
          <w:szCs w:val="18"/>
        </w:rPr>
        <w:t xml:space="preserve">Figura 4. Panel de administración (control de roles).</w:t>
      </w:r>
      <w:r/>
    </w:p>
    <w:p>
      <w:pPr>
        <w:pStyle w:val="753"/>
        <w:keepNext w:val="true"/>
        <w:pBdr/>
        <w:spacing w:after="160" w:before="320"/>
        <w:ind/>
        <w:rPr/>
      </w:pPr>
      <w:r/>
      <w:bookmarkStart w:id="9" w:name="__RefHeading___Toc1142_773522556"/>
      <w:r/>
      <w:bookmarkEnd w:id="9"/>
      <w:r>
        <w:rPr>
          <w:b/>
          <w:bCs/>
          <w:color w:val="1a1a2e"/>
        </w:rPr>
        <w:t xml:space="preserve">1.4 Evidencia de pruebas unitarias (cobertura ≥ 80 %)</w:t>
      </w:r>
      <w:r/>
    </w:p>
    <w:p>
      <w:pPr>
        <w:pStyle w:val="751"/>
        <w:pBdr/>
        <w:spacing w:after="160" w:before="0"/>
        <w:ind/>
        <w:rPr/>
      </w:pPr>
      <w:r>
        <w:t xml:space="preserve">Ejecutado con: cd backend &amp;&amp; npm test (Jest + Supertest).</w:t>
      </w:r>
      <w:r/>
    </w:p>
    <w:tbl>
      <w:tblPr>
        <w:tblInd w:w="0" w:type="dxa"/>
        <w:tblW w:w="9360" w:type="dxa"/>
        <w:tblCellMar>
          <w:left w:w="120" w:type="dxa"/>
          <w:top w:w="100" w:type="dxa"/>
          <w:right w:w="120" w:type="dxa"/>
          <w:bottom w:w="10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119"/>
        <w:gridCol w:w="2600"/>
        <w:gridCol w:w="2001"/>
        <w:gridCol w:w="1639"/>
      </w:tblGrid>
      <w:tr>
        <w:trPr>
          <w:cantSplit/>
          <w:tblHeader/>
        </w:trPr>
        <w:tc>
          <w:tcPr>
            <w:shd w:val="clear" w:color="auto" w:fill="6c3ce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Métrica</w:t>
            </w:r>
            <w:r/>
          </w:p>
        </w:tc>
        <w:tc>
          <w:tcPr>
            <w:shd w:val="clear" w:color="auto" w:fill="6c3ce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  <w:r/>
          </w:p>
        </w:tc>
        <w:tc>
          <w:tcPr>
            <w:shd w:val="clear" w:color="auto" w:fill="6c3ce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1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Umbral</w:t>
            </w:r>
            <w:r/>
          </w:p>
        </w:tc>
        <w:tc>
          <w:tcPr>
            <w:shd w:val="clear" w:color="auto" w:fill="6c3ce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3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311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Suites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6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001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—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639" w:type="dxa"/>
            <w:vAlign w:val="center"/>
          </w:tcPr>
          <w:p>
            <w:pPr>
              <w:pStyle w:val="751"/>
              <w:pBdr/>
              <w:spacing/>
              <w:ind/>
              <w:jc w:val="center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✅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311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Tests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6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94 / 94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001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—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639" w:type="dxa"/>
            <w:vAlign w:val="center"/>
          </w:tcPr>
          <w:p>
            <w:pPr>
              <w:pStyle w:val="751"/>
              <w:pBdr/>
              <w:spacing/>
              <w:ind/>
              <w:jc w:val="center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✅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311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Statements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6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85 %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001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80 %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639" w:type="dxa"/>
            <w:vAlign w:val="center"/>
          </w:tcPr>
          <w:p>
            <w:pPr>
              <w:pStyle w:val="751"/>
              <w:pBdr/>
              <w:spacing/>
              <w:ind/>
              <w:jc w:val="center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✅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311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Lines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6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85.44 %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001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80 %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639" w:type="dxa"/>
            <w:vAlign w:val="center"/>
          </w:tcPr>
          <w:p>
            <w:pPr>
              <w:pStyle w:val="751"/>
              <w:pBdr/>
              <w:spacing/>
              <w:ind/>
              <w:jc w:val="center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✅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311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Functions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6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95.45 %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001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80 %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639" w:type="dxa"/>
            <w:vAlign w:val="center"/>
          </w:tcPr>
          <w:p>
            <w:pPr>
              <w:pStyle w:val="751"/>
              <w:pBdr/>
              <w:spacing/>
              <w:ind/>
              <w:jc w:val="center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✅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311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Branches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6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71.58 %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001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65 %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639" w:type="dxa"/>
            <w:vAlign w:val="center"/>
          </w:tcPr>
          <w:p>
            <w:pPr>
              <w:pStyle w:val="751"/>
              <w:pBdr/>
              <w:spacing/>
              <w:ind/>
              <w:jc w:val="center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✅</w:t>
            </w:r>
            <w:r/>
          </w:p>
        </w:tc>
      </w:tr>
    </w:tbl>
    <w:p>
      <w:pPr>
        <w:pStyle w:val="751"/>
        <w:pBdr/>
        <w:spacing w:after="200" w:before="0"/>
        <w:ind/>
        <w:rPr/>
      </w:pPr>
      <w:r/>
      <w:r/>
    </w:p>
    <w:p>
      <w:pPr>
        <w:pStyle w:val="751"/>
        <w:pBdr/>
        <w:spacing w:after="160" w:before="0"/>
        <w:ind/>
        <w:rPr/>
      </w:pPr>
      <w:r>
        <w:rPr>
          <w:i/>
          <w:iCs/>
          <w:color w:val="5b5b6b"/>
          <w:sz w:val="20"/>
          <w:szCs w:val="20"/>
        </w:rPr>
        <w:t xml:space="preserve">Los umbrales están en backend/jest.config.js y hacen fallar la build si no se cumplen. Cobertura medida sobre controllers/ y middlewares/ (lógica de negocio).</w:t>
      </w:r>
      <w:r/>
    </w:p>
    <w:p>
      <w:pPr>
        <w:pStyle w:val="751"/>
        <w:pBdr/>
        <w:spacing w:after="40" w:before="16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23360" cy="2414270"/>
                <wp:effectExtent l="0" t="0" r="0" b="0"/>
                <wp:docPr id="6" name="Image5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5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4023360" cy="24142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16.80pt;height:190.1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</w:p>
    <w:p>
      <w:pPr>
        <w:pStyle w:val="751"/>
        <w:pBdr/>
        <w:spacing w:after="280" w:before="80"/>
        <w:ind/>
        <w:jc w:val="center"/>
        <w:rPr/>
      </w:pPr>
      <w:r>
        <w:rPr>
          <w:i/>
          <w:iCs/>
          <w:color w:val="5b5b6b"/>
          <w:sz w:val="18"/>
          <w:szCs w:val="18"/>
        </w:rPr>
        <w:t xml:space="preserve">Figura 5. Evidencia de 94 tests pasando y cobertura del 85 %.</w:t>
      </w:r>
      <w:r/>
    </w:p>
    <w:p>
      <w:pPr>
        <w:pStyle w:val="754"/>
        <w:keepNext w:val="true"/>
        <w:pBdr/>
        <w:spacing w:after="120" w:before="240"/>
        <w:ind/>
        <w:rPr/>
      </w:pPr>
      <w:r/>
      <w:bookmarkStart w:id="10" w:name="__RefHeading___Toc1144_773522556"/>
      <w:r/>
      <w:bookmarkEnd w:id="10"/>
      <w:r>
        <w:rPr>
          <w:b/>
          <w:bCs/>
          <w:color w:val="6c3ce1"/>
        </w:rPr>
        <w:t xml:space="preserve">Cobertura funcional del módulo (test suite)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Registro de nuevo usuario, login de administrador.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Control de roles (middleware isAdmin, 401 sin permiso).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Rate limiting en endpoints de auth (429).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Validación de JWT (inválido, ausente, sin prefijo Bearer).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Envío/aceptación/rechazo de propuestas, tokens atómicos y reglas anti-fraude (duplicado 409 con reembolso).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Verificación de email y validación de tracks contra Spotify (mockeada).</w:t>
      </w:r>
      <w:r/>
    </w:p>
    <w:p>
      <w:pPr>
        <w:pStyle w:val="752"/>
        <w:keepNext w:val="true"/>
        <w:pBdr>
          <w:bottom w:val="single" w:color="6c3ce1" w:sz="12" w:space="4"/>
        </w:pBdr>
        <w:spacing w:after="240" w:before="480"/>
        <w:ind/>
        <w:rPr/>
      </w:pPr>
      <w:r/>
      <w:bookmarkStart w:id="11" w:name="__RefHeading___Toc1146_773522556"/>
      <w:r/>
      <w:bookmarkEnd w:id="11"/>
      <w:r>
        <w:rPr>
          <w:b/>
          <w:bCs/>
          <w:color w:val="6c3ce1"/>
        </w:rPr>
        <w:t xml:space="preserve">Criterio 2 · Implementación de pipeline de CI/CD (25 pts)</w:t>
      </w:r>
      <w:r/>
    </w:p>
    <w:p>
      <w:pPr>
        <w:pStyle w:val="753"/>
        <w:keepNext w:val="true"/>
        <w:pBdr/>
        <w:spacing w:after="160" w:before="320"/>
        <w:ind/>
        <w:rPr/>
      </w:pPr>
      <w:r/>
      <w:bookmarkStart w:id="12" w:name="__RefHeading___Toc1148_773522556"/>
      <w:r/>
      <w:bookmarkEnd w:id="12"/>
      <w:r>
        <w:rPr>
          <w:b/>
          <w:bCs/>
          <w:color w:val="1a1a2e"/>
        </w:rPr>
        <w:t xml:space="preserve">2.1 Configuración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Archivo: .github/workflows/ci.yml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Disparadores: push a main/develop, PR a main.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6 jobs configurados en el pipeline.</w:t>
      </w:r>
      <w:r/>
    </w:p>
    <w:p>
      <w:pPr>
        <w:pStyle w:val="751"/>
        <w:pBdr/>
        <w:spacing w:after="100" w:before="0"/>
        <w:ind/>
        <w:rPr/>
      </w:pPr>
      <w:r/>
      <w:r/>
    </w:p>
    <w:tbl>
      <w:tblPr>
        <w:tblInd w:w="0" w:type="dxa"/>
        <w:tblW w:w="9360" w:type="dxa"/>
        <w:tblCellMar>
          <w:left w:w="120" w:type="dxa"/>
          <w:top w:w="100" w:type="dxa"/>
          <w:right w:w="120" w:type="dxa"/>
          <w:bottom w:w="10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559"/>
        <w:gridCol w:w="2201"/>
        <w:gridCol w:w="4599"/>
        <w:gridCol w:w="2000"/>
      </w:tblGrid>
      <w:tr>
        <w:trPr>
          <w:cantSplit/>
          <w:tblHeader/>
        </w:trPr>
        <w:tc>
          <w:tcPr>
            <w:shd w:val="clear" w:color="auto" w:fill="6c3ce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  <w:r/>
          </w:p>
        </w:tc>
        <w:tc>
          <w:tcPr>
            <w:shd w:val="clear" w:color="auto" w:fill="6c3ce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01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Job</w:t>
            </w:r>
            <w:r/>
          </w:p>
        </w:tc>
        <w:tc>
          <w:tcPr>
            <w:shd w:val="clear" w:color="auto" w:fill="6c3ce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9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Función</w:t>
            </w:r>
            <w:r/>
          </w:p>
        </w:tc>
        <w:tc>
          <w:tcPr>
            <w:shd w:val="clear" w:color="auto" w:fill="6c3ce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Condición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55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201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backend-tests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459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Jest con cobertura ≥ 80 %, verifica sintaxis, publica coverage-report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0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Siempre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55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2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201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frontend-build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459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Compila el frontend con Vite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0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Siempre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55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201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security-scan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459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npm audit --audit-level=high en backend y frontend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0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Siempre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55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4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201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sonarqube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459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Análisis de calidad (Quality Gate)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0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Siempre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55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201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deploy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459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Levanta stack + smoke test (health + login admin)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0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Push a main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55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6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201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zap-scan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459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OWASP ZAP baseline + artifact zap-report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0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Siempre</w:t>
            </w:r>
            <w:r/>
          </w:p>
        </w:tc>
      </w:tr>
    </w:tbl>
    <w:p>
      <w:pPr>
        <w:pStyle w:val="751"/>
        <w:pBdr/>
        <w:spacing w:after="200" w:before="0"/>
        <w:ind/>
        <w:rPr/>
      </w:pPr>
      <w:r/>
      <w:r/>
    </w:p>
    <w:p>
      <w:pPr>
        <w:pStyle w:val="751"/>
        <w:pBdr/>
        <w:spacing w:after="160" w:before="0"/>
        <w:ind/>
        <w:rPr/>
      </w:pPr>
      <w:r>
        <w:t xml:space="preserve">Buenas prácticas: cache de npm, secrets para credenciales (no hay secretos en el repo, solo .env.example), reintentos en npm ci, artefactos retenidos 7 días (coverage-report, zap-report).</w:t>
      </w:r>
      <w:r/>
    </w:p>
    <w:p>
      <w:pPr>
        <w:pStyle w:val="753"/>
        <w:keepNext w:val="true"/>
        <w:pBdr/>
        <w:spacing w:after="160" w:before="320"/>
        <w:ind/>
        <w:rPr/>
      </w:pPr>
      <w:r/>
      <w:bookmarkStart w:id="13" w:name="__RefHeading___Toc1150_773522556"/>
      <w:r/>
      <w:bookmarkEnd w:id="13"/>
      <w:r>
        <w:rPr>
          <w:b/>
          <w:bCs/>
          <w:color w:val="1a1a2e"/>
        </w:rPr>
        <w:t xml:space="preserve">2.2 Flujo automático</w:t>
      </w:r>
      <w:r/>
    </w:p>
    <w:p>
      <w:pPr>
        <w:pStyle w:val="751"/>
        <w:pBdr>
          <w:top w:val="single" w:color="1e1e2e" w:sz="2" w:space="0"/>
          <w:left w:val="single" w:color="1e1e2e" w:sz="2" w:space="0"/>
          <w:bottom w:val="single" w:color="1e1e2e" w:sz="2" w:space="0"/>
          <w:right w:val="single" w:color="1e1e2e" w:sz="2" w:space="0"/>
        </w:pBdr>
        <w:shd w:val="clear" w:color="auto" w:fill="1e1e2e"/>
        <w:spacing w:after="200" w:before="120"/>
        <w:ind/>
        <w:rPr/>
      </w:pPr>
      <w:r>
        <w:rPr>
          <w:rFonts w:ascii="Consolas" w:hAnsi="Consolas" w:eastAsia="Consolas" w:cs="Consolas"/>
          <w:color w:val="d4d4e8"/>
          <w:sz w:val="18"/>
          <w:szCs w:val="18"/>
        </w:rPr>
        <w:t xml:space="preserve">git push origin main</w:t>
        <w:br/>
        <w:t xml:space="preserve">  ├─ 1. backend-tests   → 94/94 test</w:t>
      </w:r>
      <w:r>
        <w:rPr>
          <w:rFonts w:ascii="Consolas" w:hAnsi="Consolas" w:eastAsia="Consolas" w:cs="Consolas"/>
          <w:color w:val="d4d4e8"/>
          <w:sz w:val="18"/>
          <w:szCs w:val="18"/>
        </w:rPr>
        <w:t xml:space="preserve">s, cobertura 85% ✅</w:t>
        <w:br/>
        <w:t xml:space="preserve">  ├─ 2. frontend-build  → dist/ generado ✅</w:t>
        <w:br/>
        <w:t xml:space="preserve">  ├─ 3. security-scan   → npm audit sin high/critical ✅</w:t>
        <w:br/>
        <w:t xml:space="preserve">  ├─ 4. sonarqube       → Quality Gate OK ✅</w:t>
        <w:br/>
        <w:t xml:space="preserve">  ├─ 5. deploy          → smoke test (health + login JWT) ✅</w:t>
        <w:br/>
        <w:t xml:space="preserve">  └─ 6. zap-scan        → 0 FAIL ✅</w:t>
      </w:r>
      <w:r/>
    </w:p>
    <w:p>
      <w:pPr>
        <w:pStyle w:val="753"/>
        <w:keepNext w:val="true"/>
        <w:pBdr/>
        <w:spacing w:after="160" w:before="320"/>
        <w:ind/>
        <w:rPr/>
      </w:pPr>
      <w:r/>
      <w:bookmarkStart w:id="14" w:name="__RefHeading___Toc1152_773522556"/>
      <w:r/>
      <w:bookmarkEnd w:id="14"/>
      <w:r>
        <w:rPr>
          <w:b/>
          <w:bCs/>
          <w:color w:val="1a1a2e"/>
        </w:rPr>
        <w:t xml:space="preserve">2.3 Despliegue continuo (entorno de producción)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Plataforma: Railway (plan free), un solo Web Service.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Build: Dockerfile multi-stage en la raíz que compila backend + frontend y sirve el frontend desde el backend (mismo dominio → sin CORS cruzado).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BD: plugin MariaDB de Railway (variables MARIADB_* compartidas).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Inicialización: el start corre node scripts/db-init.js &amp;&amp; node server.js (schema + migraciones + admin, idempotente).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Deploy: cada push a main dispara rebuild + redeploy automático.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Salud: GET /api/health → {"status":"ok"}.</w:t>
      </w:r>
      <w:r/>
    </w:p>
    <w:p>
      <w:pPr>
        <w:pStyle w:val="751"/>
        <w:pBdr/>
        <w:spacing w:after="100" w:before="0"/>
        <w:ind/>
        <w:rPr/>
      </w:pPr>
      <w:r/>
      <w:r/>
    </w:p>
    <w:tbl>
      <w:tblPr>
        <w:tblInd w:w="0" w:type="dxa"/>
        <w:tblW w:w="9360" w:type="dxa"/>
        <w:tblCellMar>
          <w:left w:w="120" w:type="dxa"/>
          <w:top w:w="100" w:type="dxa"/>
          <w:right w:w="120" w:type="dxa"/>
          <w:bottom w:w="10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799"/>
        <w:gridCol w:w="6560"/>
      </w:tblGrid>
      <w:tr>
        <w:trPr>
          <w:cantSplit/>
          <w:tblHeader/>
        </w:trPr>
        <w:tc>
          <w:tcPr>
            <w:shd w:val="clear" w:color="auto" w:fill="6c3ce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9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Recurso</w:t>
            </w:r>
            <w:r/>
          </w:p>
        </w:tc>
        <w:tc>
          <w:tcPr>
            <w:shd w:val="clear" w:color="auto" w:fill="6c3ce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56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URL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79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Aplicación (frontend + API)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656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https://overdrive-production-1392.up.railway.app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79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Health check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656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https://overdrive-production-1392.up.railway.app/api/health</w:t>
            </w:r>
            <w:r/>
          </w:p>
        </w:tc>
      </w:tr>
    </w:tbl>
    <w:p>
      <w:pPr>
        <w:pStyle w:val="751"/>
        <w:pBdr/>
        <w:spacing w:after="40" w:before="16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14800" cy="705485"/>
                <wp:effectExtent l="0" t="0" r="0" b="0"/>
                <wp:docPr id="7" name="Image6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6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4114800" cy="7054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24.00pt;height:55.5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</w:p>
    <w:p>
      <w:pPr>
        <w:pStyle w:val="751"/>
        <w:pBdr/>
        <w:spacing w:after="280" w:before="80"/>
        <w:ind/>
        <w:jc w:val="center"/>
        <w:rPr/>
      </w:pPr>
      <w:r>
        <w:rPr>
          <w:i/>
          <w:iCs/>
          <w:color w:val="5b5b6b"/>
          <w:sz w:val="18"/>
          <w:szCs w:val="18"/>
        </w:rPr>
        <w:t xml:space="preserve">Figura 6. Respuesta del endpoint de health check en producción.</w:t>
      </w:r>
      <w:r/>
    </w:p>
    <w:p>
      <w:pPr>
        <w:pStyle w:val="751"/>
        <w:pBdr/>
        <w:spacing w:after="160" w:before="0"/>
        <w:ind/>
        <w:rPr/>
      </w:pPr>
      <w:r>
        <w:rPr>
          <w:color w:val="5b5b6b"/>
          <w:sz w:val="20"/>
          <w:szCs w:val="20"/>
        </w:rPr>
        <w:t xml:space="preserve">Variables de entorno en producción: MARIADB_USER/PASSWORD/DATABASE (shared), DB_HOST=overdrive-db.railway.internal, DB_PORT=3306, PORT=4000, JWT_SECRET, SPOTIFY_CLIENT_ID, SPOTIFY_CLIENT_SECRET, SPOTIFY_REDIRECT_URI, CORS_ORIGIN.</w:t>
      </w:r>
      <w:r/>
    </w:p>
    <w:p>
      <w:pPr>
        <w:pStyle w:val="751"/>
        <w:pBdr/>
        <w:spacing w:after="160" w:before="0"/>
        <w:ind/>
        <w:rPr/>
      </w:pPr>
      <w:r>
        <w:rPr>
          <w:i/>
          <w:iCs/>
          <w:color w:val="5b5b6b"/>
          <w:sz w:val="20"/>
          <w:szCs w:val="20"/>
        </w:rPr>
        <w:t xml:space="preserve">Nota Spotify: la app está en development mode → solo las cuentas agregadas en Users and access de Spotify for Developers pueden conectar OAuth (hasta 25 gratuitas).</w:t>
      </w:r>
      <w:r/>
    </w:p>
    <w:p>
      <w:pPr>
        <w:pStyle w:val="752"/>
        <w:keepNext w:val="true"/>
        <w:pBdr>
          <w:bottom w:val="single" w:color="6c3ce1" w:sz="12" w:space="4"/>
        </w:pBdr>
        <w:spacing w:after="240" w:before="480"/>
        <w:ind/>
        <w:rPr/>
      </w:pPr>
      <w:r/>
      <w:bookmarkStart w:id="15" w:name="__RefHeading___Toc1154_773522556"/>
      <w:r/>
      <w:bookmarkEnd w:id="15"/>
      <w:r>
        <w:rPr>
          <w:b/>
          <w:bCs/>
          <w:color w:val="6c3ce1"/>
        </w:rPr>
        <w:t xml:space="preserve">Criterio 3 · Pruebas de seguridad y análisis de calidad de código (25 pts)</w:t>
      </w:r>
      <w:r/>
    </w:p>
    <w:p>
      <w:pPr>
        <w:pStyle w:val="753"/>
        <w:keepNext w:val="true"/>
        <w:pBdr/>
        <w:spacing w:after="160" w:before="320"/>
        <w:ind/>
        <w:rPr/>
      </w:pPr>
      <w:r/>
      <w:bookmarkStart w:id="16" w:name="__RefHeading___Toc1156_773522556"/>
      <w:r/>
      <w:bookmarkEnd w:id="16"/>
      <w:r>
        <w:rPr>
          <w:b/>
          <w:bCs/>
          <w:color w:val="1a1a2e"/>
        </w:rPr>
        <w:t xml:space="preserve">3.1 OWASP ZAP (seguridad web)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Comando: zap-baseline.py sobre http://localhost:4000/api/health, contenedor ghcr.io/zaproxy/zaproxy:stable, ejecutado en el job zap-scan.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Reportes: zap-report.html y zap-report.json (artifact).</w:t>
      </w:r>
      <w:r/>
    </w:p>
    <w:p>
      <w:pPr>
        <w:pStyle w:val="751"/>
        <w:pBdr/>
        <w:spacing w:after="100" w:before="0"/>
        <w:ind/>
        <w:rPr/>
      </w:pPr>
      <w:r/>
      <w:r/>
    </w:p>
    <w:tbl>
      <w:tblPr>
        <w:tblInd w:w="0" w:type="dxa"/>
        <w:tblW w:w="9360" w:type="dxa"/>
        <w:tblCellMar>
          <w:left w:w="120" w:type="dxa"/>
          <w:top w:w="100" w:type="dxa"/>
          <w:right w:w="120" w:type="dxa"/>
          <w:bottom w:w="10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680"/>
        <w:gridCol w:w="4679"/>
      </w:tblGrid>
      <w:tr>
        <w:trPr>
          <w:cantSplit/>
          <w:tblHeader/>
        </w:trPr>
        <w:tc>
          <w:tcPr>
            <w:shd w:val="clear" w:color="auto" w:fill="6c3ce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8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  <w:r/>
          </w:p>
        </w:tc>
        <w:tc>
          <w:tcPr>
            <w:shd w:val="clear" w:color="auto" w:fill="6c3ce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Cantidad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468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FAIL (riesgo alto)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467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1e8e3e"/>
                <w:sz w:val="20"/>
                <w:szCs w:val="20"/>
              </w:rPr>
              <w:t xml:space="preserve">0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468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WARN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467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1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468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PASS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467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1e8e3e"/>
                <w:sz w:val="20"/>
                <w:szCs w:val="20"/>
              </w:rPr>
              <w:t xml:space="preserve">66</w:t>
            </w:r>
            <w:r/>
          </w:p>
        </w:tc>
      </w:tr>
    </w:tbl>
    <w:p>
      <w:pPr>
        <w:pStyle w:val="751"/>
        <w:pBdr/>
        <w:spacing w:after="40" w:before="16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2857500"/>
                <wp:effectExtent l="0" t="0" r="0" b="0"/>
                <wp:docPr id="8" name="Image7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7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4572000" cy="2857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60.00pt;height:225.0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</w:p>
    <w:p>
      <w:pPr>
        <w:pStyle w:val="751"/>
        <w:pBdr/>
        <w:spacing w:after="280" w:before="80"/>
        <w:ind/>
        <w:jc w:val="center"/>
        <w:rPr/>
      </w:pPr>
      <w:r>
        <w:rPr>
          <w:i/>
          <w:iCs/>
          <w:color w:val="5b5b6b"/>
          <w:sz w:val="18"/>
          <w:szCs w:val="18"/>
        </w:rPr>
        <w:t xml:space="preserve">Figura 7. Reporte OWASP ZAP — 0 fallos de riesgo alto.</w:t>
      </w:r>
      <w:r/>
    </w:p>
    <w:p>
      <w:pPr>
        <w:pStyle w:val="754"/>
        <w:keepNext w:val="true"/>
        <w:pBdr/>
        <w:spacing w:after="120" w:before="240"/>
        <w:ind/>
        <w:rPr/>
      </w:pPr>
      <w:r/>
      <w:bookmarkStart w:id="17" w:name="__RefHeading___Toc1158_773522556"/>
      <w:r/>
      <w:bookmarkEnd w:id="17"/>
      <w:r>
        <w:rPr>
          <w:b/>
          <w:bCs/>
          <w:color w:val="6c3ce1"/>
        </w:rPr>
        <w:t xml:space="preserve">Vulnerabilidad detectada y corregida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Storable and Cacheable Content (10049) → se añadió Cache-Control: no-store a todas las respuestas de la API.</w:t>
      </w:r>
      <w:r/>
    </w:p>
    <w:p>
      <w:pPr>
        <w:pStyle w:val="754"/>
        <w:keepNext w:val="true"/>
        <w:pBdr/>
        <w:spacing w:after="120" w:before="240"/>
        <w:ind/>
        <w:rPr/>
      </w:pPr>
      <w:r/>
      <w:bookmarkStart w:id="18" w:name="__RefHeading___Toc1160_773522556"/>
      <w:r/>
      <w:bookmarkEnd w:id="18"/>
      <w:r>
        <w:rPr>
          <w:b/>
          <w:bCs/>
          <w:color w:val="6c3ce1"/>
        </w:rPr>
        <w:t xml:space="preserve">Controles verificados por ZAP</w:t>
      </w:r>
      <w:r/>
    </w:p>
    <w:p>
      <w:pPr>
        <w:pStyle w:val="751"/>
        <w:pBdr/>
        <w:spacing w:after="160" w:before="0"/>
        <w:ind/>
        <w:rPr/>
      </w:pPr>
      <w:r>
        <w:t xml:space="preserve">helmet (X-Content-Type-Options, X-Frame-Options, HSTS, CSP), CORS por origen, rate-limit, body ≤ 10 kb, errores sin stack traces.</w:t>
      </w:r>
      <w:r/>
    </w:p>
    <w:p>
      <w:pPr>
        <w:pStyle w:val="753"/>
        <w:keepNext w:val="true"/>
        <w:pBdr/>
        <w:spacing w:after="160" w:before="320"/>
        <w:ind/>
        <w:rPr/>
      </w:pPr>
      <w:r/>
      <w:bookmarkStart w:id="19" w:name="__RefHeading___Toc1162_773522556"/>
      <w:r/>
      <w:bookmarkEnd w:id="19"/>
      <w:r>
        <w:rPr>
          <w:b/>
          <w:bCs/>
          <w:color w:val="1a1a2e"/>
        </w:rPr>
        <w:t xml:space="preserve">3.2 SonarQube (calidad de código)</w:t>
      </w:r>
      <w:r/>
    </w:p>
    <w:p>
      <w:pPr>
        <w:pStyle w:val="751"/>
        <w:pBdr/>
        <w:spacing w:after="160" w:before="0"/>
        <w:ind/>
        <w:rPr/>
      </w:pPr>
      <w:r>
        <w:t xml:space="preserve">Dashboard: http://localhost:9000/dashboard?id=overdrive · Reproducible: ./scripts/analisis-calidad.sh</w:t>
      </w:r>
      <w:r/>
    </w:p>
    <w:tbl>
      <w:tblPr>
        <w:tblInd w:w="0" w:type="dxa"/>
        <w:tblW w:w="9360" w:type="dxa"/>
        <w:tblCellMar>
          <w:left w:w="120" w:type="dxa"/>
          <w:top w:w="100" w:type="dxa"/>
          <w:right w:w="120" w:type="dxa"/>
          <w:bottom w:w="10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680"/>
        <w:gridCol w:w="4679"/>
      </w:tblGrid>
      <w:tr>
        <w:trPr>
          <w:cantSplit/>
          <w:tblHeader/>
        </w:trPr>
        <w:tc>
          <w:tcPr>
            <w:shd w:val="clear" w:color="auto" w:fill="6c3ce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8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Métrica</w:t>
            </w:r>
            <w:r/>
          </w:p>
        </w:tc>
        <w:tc>
          <w:tcPr>
            <w:shd w:val="clear" w:color="auto" w:fill="6c3ce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468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Quality Gate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467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1e8e3e"/>
                <w:sz w:val="20"/>
                <w:szCs w:val="20"/>
              </w:rPr>
              <w:t xml:space="preserve">OK (aprobado)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468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Bugs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467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0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468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Vulnerabilidades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467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1e8e3e"/>
                <w:sz w:val="20"/>
                <w:szCs w:val="20"/>
              </w:rPr>
              <w:t xml:space="preserve">0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468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Security Hotspots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467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0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468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Code Smells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467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43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468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Duplicación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467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1.9 %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468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Cobertura (global)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467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58.6 %*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468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Reliability / Security / Maintainability Rating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467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1e8e3e"/>
                <w:sz w:val="20"/>
                <w:szCs w:val="20"/>
              </w:rPr>
              <w:t xml:space="preserve">A / A / A</w:t>
            </w:r>
            <w:r/>
          </w:p>
        </w:tc>
      </w:tr>
    </w:tbl>
    <w:p>
      <w:pPr>
        <w:pStyle w:val="751"/>
        <w:pBdr/>
        <w:spacing w:after="200" w:before="0"/>
        <w:ind/>
        <w:rPr/>
      </w:pPr>
      <w:r/>
      <w:r/>
    </w:p>
    <w:p>
      <w:pPr>
        <w:pStyle w:val="751"/>
        <w:pBdr/>
        <w:spacing w:after="160" w:before="0"/>
        <w:ind/>
        <w:rPr/>
      </w:pPr>
      <w:r>
        <w:rPr>
          <w:i/>
          <w:iCs/>
          <w:color w:val="5b5b6b"/>
          <w:sz w:val="20"/>
          <w:szCs w:val="20"/>
        </w:rPr>
        <w:t xml:space="preserve">* SonarQube mide cobertura global del repositorio; la cobertura de la lógica de negocio (controllers/middlewares) es ≥ 80 %, validada por Jest. El frontend no tiene pruebas unitarias y se excluye del cálculo.</w:t>
      </w:r>
      <w:r/>
    </w:p>
    <w:p>
      <w:pPr>
        <w:pStyle w:val="754"/>
        <w:keepNext w:val="true"/>
        <w:pBdr/>
        <w:spacing w:after="120" w:before="240"/>
        <w:ind/>
        <w:rPr/>
      </w:pPr>
      <w:r/>
      <w:bookmarkStart w:id="20" w:name="__RefHeading___Toc1164_773522556"/>
      <w:r/>
      <w:bookmarkEnd w:id="20"/>
      <w:r>
        <w:rPr>
          <w:b/>
          <w:bCs/>
          <w:color w:val="6c3ce1"/>
        </w:rPr>
        <w:t xml:space="preserve">Vulnerabilidades detectadas y corregidas en el Dockerfile</w:t>
      </w:r>
      <w:r/>
    </w:p>
    <w:tbl>
      <w:tblPr>
        <w:tblInd w:w="0" w:type="dxa"/>
        <w:tblW w:w="9360" w:type="dxa"/>
        <w:tblCellMar>
          <w:left w:w="120" w:type="dxa"/>
          <w:top w:w="100" w:type="dxa"/>
          <w:right w:w="120" w:type="dxa"/>
          <w:bottom w:w="10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599"/>
        <w:gridCol w:w="1400"/>
        <w:gridCol w:w="3201"/>
        <w:gridCol w:w="3159"/>
      </w:tblGrid>
      <w:tr>
        <w:trPr>
          <w:cantSplit/>
          <w:tblHeader/>
        </w:trPr>
        <w:tc>
          <w:tcPr>
            <w:shd w:val="clear" w:color="auto" w:fill="6c3ce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9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Regla</w:t>
            </w:r>
            <w:r/>
          </w:p>
        </w:tc>
        <w:tc>
          <w:tcPr>
            <w:shd w:val="clear" w:color="auto" w:fill="6c3ce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Severidad</w:t>
            </w:r>
            <w:r/>
          </w:p>
        </w:tc>
        <w:tc>
          <w:tcPr>
            <w:shd w:val="clear" w:color="auto" w:fill="6c3ce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1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Hallazgo</w:t>
            </w:r>
            <w:r/>
          </w:p>
        </w:tc>
        <w:tc>
          <w:tcPr>
            <w:shd w:val="clear" w:color="auto" w:fill="6c3ce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5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Corrección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59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docker:S6471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4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Minor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3201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Contenedor corre como root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315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USER node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59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docker:S6470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4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Critical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3201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COPY . . podía copiar datos sensibles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315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Copia selectiva del código</w:t>
            </w:r>
            <w:r/>
          </w:p>
        </w:tc>
      </w:tr>
    </w:tbl>
    <w:p>
      <w:pPr>
        <w:pStyle w:val="751"/>
        <w:pBdr/>
        <w:spacing w:after="200" w:before="0"/>
        <w:ind/>
        <w:rPr/>
      </w:pPr>
      <w:r/>
      <w:r/>
    </w:p>
    <w:p>
      <w:pPr>
        <w:pStyle w:val="751"/>
        <w:pBdr/>
        <w:spacing w:after="160" w:before="0"/>
        <w:ind/>
        <w:rPr/>
      </w:pPr>
      <w:r>
        <w:t xml:space="preserve">Impacto: Security Rating subió de E (4.0) a A (1.0), vulnerabilidades de 2 → 0.</w:t>
      </w:r>
      <w:r/>
    </w:p>
    <w:p>
      <w:pPr>
        <w:pStyle w:val="753"/>
        <w:keepNext w:val="true"/>
        <w:pBdr/>
        <w:spacing w:after="160" w:before="320"/>
        <w:ind/>
        <w:rPr/>
      </w:pPr>
      <w:r/>
      <w:bookmarkStart w:id="21" w:name="__RefHeading___Toc1166_773522556"/>
      <w:r/>
      <w:bookmarkEnd w:id="21"/>
      <w:r>
        <w:rPr>
          <w:b/>
          <w:bCs/>
          <w:color w:val="1a1a2e"/>
        </w:rPr>
        <w:t xml:space="preserve">3.3 Pruebas automatizadas (evidencia de calidad)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94/94 tests pasando, cobertura statements 85 % (umbral 80 %).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Lógica de negocio (controladores y middlewares) cubierta ≥ 80 %.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npm audit --audit-level=high sin hallazgos críticos en dependencias.</w:t>
      </w:r>
      <w:r/>
    </w:p>
    <w:p>
      <w:pPr>
        <w:pStyle w:val="752"/>
        <w:keepNext w:val="true"/>
        <w:pBdr>
          <w:bottom w:val="single" w:color="6c3ce1" w:sz="12" w:space="4"/>
        </w:pBdr>
        <w:spacing w:after="240" w:before="480"/>
        <w:ind/>
        <w:rPr/>
      </w:pPr>
      <w:r/>
      <w:bookmarkStart w:id="22" w:name="__RefHeading___Toc1168_773522556"/>
      <w:r/>
      <w:bookmarkEnd w:id="22"/>
      <w:r>
        <w:rPr>
          <w:b/>
          <w:bCs/>
          <w:color w:val="6c3ce1"/>
        </w:rPr>
        <w:t xml:space="preserve">Criterio 4 · Cierre del proyecto y análisis (15 pts)</w:t>
      </w:r>
      <w:r/>
    </w:p>
    <w:p>
      <w:pPr>
        <w:pStyle w:val="753"/>
        <w:keepNext w:val="true"/>
        <w:pBdr/>
        <w:spacing w:after="160" w:before="320"/>
        <w:ind/>
        <w:rPr/>
      </w:pPr>
      <w:r/>
      <w:bookmarkStart w:id="23" w:name="__RefHeading___Toc1170_773522556"/>
      <w:r/>
      <w:bookmarkEnd w:id="23"/>
      <w:r>
        <w:rPr>
          <w:b/>
          <w:bCs/>
          <w:color w:val="1a1a2e"/>
        </w:rPr>
        <w:t xml:space="preserve">4.1 Objetivo SMART</w:t>
      </w:r>
      <w:r/>
    </w:p>
    <w:p>
      <w:pPr>
        <w:pStyle w:val="751"/>
        <w:pBdr/>
        <w:spacing w:after="160" w:before="0"/>
        <w:ind/>
        <w:rPr/>
      </w:pPr>
      <w:r>
        <w:rPr>
          <w:i/>
          <w:iCs/>
        </w:rPr>
        <w:t xml:space="preserve">Desarrollar y desplegar </w:t>
      </w:r>
      <w:r>
        <w:rPr>
          <w:b/>
          <w:bCs/>
          <w:i/>
          <w:iCs/>
        </w:rPr>
        <w:t xml:space="preserve">OverDrive</w:t>
      </w:r>
      <w:r>
        <w:rPr>
          <w:i/>
          <w:iCs/>
        </w:rPr>
        <w:t xml:space="preserve"> —plataforma que conecta artistas con curadores mediante tokens, con a</w:t>
      </w:r>
      <w:r>
        <w:rPr>
          <w:i/>
          <w:iCs/>
        </w:rPr>
        <w:t xml:space="preserve">utenticación JWT y control de roles, OAuth 2.0 con Spotify e intercambio de propuestas— alcanzando una cobertura de pruebas ≥ 80 % y un pipeline CI/CD automatizado (pruebas, construcción y despliegue) en GitHub Actions + Railway, dentro del plazo del reto.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Específico: plataforma de curaduría musical con tokens.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Medible: cobertura ≥ 80 %, 94 tests, pipeline en verde.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Alcanzable: stack conocido (React + Express + MariaDB).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Relevante: resuelve la falta de visibilidad de artistas nuevos.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Temporal: entregado en el cronograma del reto.</w:t>
      </w:r>
      <w:r/>
    </w:p>
    <w:p>
      <w:pPr>
        <w:pStyle w:val="753"/>
        <w:keepNext w:val="true"/>
        <w:pBdr/>
        <w:spacing w:after="160" w:before="320"/>
        <w:ind/>
        <w:rPr/>
      </w:pPr>
      <w:r/>
      <w:bookmarkStart w:id="24" w:name="__RefHeading___Toc1172_773522556"/>
      <w:r/>
      <w:bookmarkEnd w:id="24"/>
      <w:r>
        <w:rPr>
          <w:b/>
          <w:bCs/>
          <w:color w:val="1a1a2e"/>
        </w:rPr>
        <w:t xml:space="preserve">4.2 Comparación planificado vs. ejecutado</w:t>
      </w:r>
      <w:r/>
    </w:p>
    <w:tbl>
      <w:tblPr>
        <w:tblInd w:w="0" w:type="dxa"/>
        <w:tblW w:w="9360" w:type="dxa"/>
        <w:tblCellMar>
          <w:left w:w="120" w:type="dxa"/>
          <w:top w:w="100" w:type="dxa"/>
          <w:right w:w="120" w:type="dxa"/>
          <w:bottom w:w="10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99"/>
        <w:gridCol w:w="2701"/>
        <w:gridCol w:w="4900"/>
        <w:gridCol w:w="1259"/>
      </w:tblGrid>
      <w:tr>
        <w:trPr>
          <w:cantSplit/>
          <w:tblHeader/>
        </w:trPr>
        <w:tc>
          <w:tcPr>
            <w:shd w:val="clear" w:color="auto" w:fill="6c3ce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  <w:r/>
          </w:p>
        </w:tc>
        <w:tc>
          <w:tcPr>
            <w:shd w:val="clear" w:color="auto" w:fill="6c3ce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01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Entregable planificado</w:t>
            </w:r>
            <w:r/>
          </w:p>
        </w:tc>
        <w:tc>
          <w:tcPr>
            <w:shd w:val="clear" w:color="auto" w:fill="6c3ce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 ejecutado</w:t>
            </w:r>
            <w:r/>
          </w:p>
        </w:tc>
        <w:tc>
          <w:tcPr>
            <w:shd w:val="clear" w:color="auto" w:fill="6c3ce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5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49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701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Registro de usuarios + login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49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Registro/login con bcrypt y validación fuerte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25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✅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49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2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701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JWT + roles (admin/usuario)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49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JWT firmado + middleware requireAuth/isAdmin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25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✅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49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701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CRUD de playlists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49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Crear manual + importar de Spotify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25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✅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49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4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701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Propuestas con tokens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49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Envío (-1), aceptación (+1 curador), rechazo (reembolso), descuento atómico, anti-fraude (409)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25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✅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49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701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Pruebas ≥ 80 %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49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94 tests, 85 % statements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25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✅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49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6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701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Pipeline CI/CD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49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6 jobs (tests, build, audit, Sonar, deploy, ZAP)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25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✅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49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7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701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Integración Spotify (OAuth)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49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Conexión, import, sync real al aceptar, reproductor embebido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25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✅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49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8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701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Verificación de email / login social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49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Código 6 dígitos implementado; login social descartado (alcance)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25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✅</w:t>
            </w: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/⚠️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49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9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701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Validación de track contra Spotify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49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100 % de envíos validados con Client Credentials Flow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25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✅</w:t>
            </w:r>
            <w:r/>
          </w:p>
        </w:tc>
      </w:tr>
    </w:tbl>
    <w:p>
      <w:pPr>
        <w:pStyle w:val="751"/>
        <w:pBdr/>
        <w:spacing w:after="200" w:before="0"/>
        <w:ind/>
        <w:rPr/>
      </w:pPr>
      <w:r/>
      <w:r/>
    </w:p>
    <w:p>
      <w:pPr>
        <w:pStyle w:val="751"/>
        <w:pBdr/>
        <w:spacing w:after="160" w:before="0"/>
        <w:ind/>
        <w:rPr/>
      </w:pPr>
      <w:r>
        <w:t xml:space="preserve">Línea de tiempo (días efectivos): 11 planificados vs. 16.5 reales (+5.5). Causas de desviación: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Spotify prohíbe localhost (exige HTTPS/127.0.0.1) → ~1 día.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Pool de conexiones MariaDB colgado → endurecido con keep-alive → ~0.5 día.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Node 26 rompía mysql2/iconv-lite → Node 22 LTS → ~0.5 día.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Pipeline: etapas de seguridad/Sonar/deploy no previstas → ~2 días.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Docker y orquestación de credenciales → ~1 día.</w:t>
      </w:r>
      <w:r/>
    </w:p>
    <w:p>
      <w:pPr>
        <w:pStyle w:val="753"/>
        <w:keepNext w:val="true"/>
        <w:pBdr/>
        <w:spacing w:after="160" w:before="320"/>
        <w:ind/>
        <w:rPr/>
      </w:pPr>
      <w:r/>
      <w:bookmarkStart w:id="25" w:name="__RefHeading___Toc1174_773522556"/>
      <w:r/>
      <w:bookmarkEnd w:id="25"/>
      <w:r>
        <w:rPr>
          <w:b/>
          <w:bCs/>
          <w:color w:val="1a1a2e"/>
        </w:rPr>
        <w:t xml:space="preserve">4.3 Lecciones aprendidas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Documentar la configuración externa (Redirect URI de Spotify) evita retrabajo.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Fijar versiones LTS de Node es clave.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Configurar pools de BD con keep-alive/idleTimeout previene bloqueos.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Docker desde el inicio elimina el «funciona en mi máquina».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SonarQube rinde fruto: encontró 2 vulnerabilidades en el Dockerfile (rating de seguridad E → A).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Validar contra la API real (Client Credentials) cierra huecos de calidad.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Acotar el alcance priorizando calidad/seguridad/despliegue.</w:t>
      </w:r>
      <w:r/>
    </w:p>
    <w:p>
      <w:pPr>
        <w:pStyle w:val="752"/>
        <w:keepNext w:val="true"/>
        <w:pBdr>
          <w:bottom w:val="single" w:color="6c3ce1" w:sz="12" w:space="4"/>
        </w:pBdr>
        <w:spacing w:after="240" w:before="480"/>
        <w:ind/>
        <w:rPr/>
      </w:pPr>
      <w:r/>
      <w:bookmarkStart w:id="26" w:name="__RefHeading___Toc1176_773522556"/>
      <w:r/>
      <w:bookmarkEnd w:id="26"/>
      <w:r>
        <w:rPr>
          <w:b/>
          <w:bCs/>
          <w:color w:val="6c3ce1"/>
        </w:rPr>
        <w:t xml:space="preserve">Criterio 5 · Plan de mejora continua (15 pts)</w:t>
      </w:r>
      <w:r/>
    </w:p>
    <w:p>
      <w:pPr>
        <w:pStyle w:val="753"/>
        <w:keepNext w:val="true"/>
        <w:pBdr/>
        <w:spacing w:after="160" w:before="320"/>
        <w:ind/>
        <w:rPr/>
      </w:pPr>
      <w:r/>
      <w:bookmarkStart w:id="27" w:name="__RefHeading___Toc1178_773522556"/>
      <w:r/>
      <w:bookmarkEnd w:id="27"/>
      <w:r>
        <w:rPr>
          <w:b/>
          <w:bCs/>
          <w:color w:val="1a1a2e"/>
        </w:rPr>
        <w:t xml:space="preserve">5.1 Acciones medibles</w:t>
      </w:r>
      <w:r/>
    </w:p>
    <w:tbl>
      <w:tblPr>
        <w:tblInd w:w="0" w:type="dxa"/>
        <w:tblW w:w="9360" w:type="dxa"/>
        <w:tblCellMar>
          <w:left w:w="120" w:type="dxa"/>
          <w:top w:w="100" w:type="dxa"/>
          <w:right w:w="120" w:type="dxa"/>
          <w:bottom w:w="10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300"/>
        <w:gridCol w:w="2900"/>
        <w:gridCol w:w="1360"/>
        <w:gridCol w:w="1799"/>
      </w:tblGrid>
      <w:tr>
        <w:trPr>
          <w:cantSplit/>
          <w:tblHeader/>
        </w:trPr>
        <w:tc>
          <w:tcPr>
            <w:shd w:val="clear" w:color="auto" w:fill="6c3ce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  <w:r/>
          </w:p>
        </w:tc>
        <w:tc>
          <w:tcPr>
            <w:shd w:val="clear" w:color="auto" w:fill="6c3ce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Objetivo medible</w:t>
            </w:r>
            <w:r/>
          </w:p>
        </w:tc>
        <w:tc>
          <w:tcPr>
            <w:shd w:val="clear" w:color="auto" w:fill="6c3ce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6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Plazo</w:t>
            </w:r>
            <w:r/>
          </w:p>
        </w:tc>
        <w:tc>
          <w:tcPr>
            <w:shd w:val="clear" w:color="auto" w:fill="6c3ce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9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33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Validar tracks vía Spotify Web API (Client Credentials)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9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100 % de envíos validados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36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Sprint 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79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1e8e3e"/>
                <w:sz w:val="20"/>
                <w:szCs w:val="20"/>
              </w:rPr>
              <w:t xml:space="preserve">Implementado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33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Verificación de email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9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Código de 6 dígitos en registro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36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Sprint 3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79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1e8e3e"/>
                <w:sz w:val="20"/>
                <w:szCs w:val="20"/>
              </w:rPr>
              <w:t xml:space="preserve">Implementado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33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Cobertura global ≥ 80 % en SonarQube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9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Cobertura Sonar ≥ 80 %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36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Sprint 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79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b8860b"/>
                <w:sz w:val="20"/>
                <w:szCs w:val="20"/>
              </w:rPr>
              <w:t xml:space="preserve">Pendiente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33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Pruebas de integración de flujos OAuth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9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≥ </w:t>
            </w: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5 tests E2E de Spotify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36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Sprint 3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79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b8860b"/>
                <w:sz w:val="20"/>
                <w:szCs w:val="20"/>
              </w:rPr>
              <w:t xml:space="preserve">Pendiente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33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Deploy automático + smoke tests en Railway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9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URL verde en cada push a main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36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Sprint 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79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1e8e3e"/>
                <w:sz w:val="20"/>
                <w:szCs w:val="20"/>
              </w:rPr>
              <w:t xml:space="preserve">Activado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33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Cola de eventos (RabbitMQ) para notificaciones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9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0 notificaciones perdidas; latencia &lt; 2 s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36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Sprint 4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79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b8860b"/>
                <w:sz w:val="20"/>
                <w:szCs w:val="20"/>
              </w:rPr>
              <w:t xml:space="preserve">Pendiente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33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Redis para caché de seguidores y rate limiting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9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P95 API &lt; 200 ms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36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Sprint 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79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b8860b"/>
                <w:sz w:val="20"/>
                <w:szCs w:val="20"/>
              </w:rPr>
              <w:t xml:space="preserve">Pendiente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33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OWASP ZAP full scan en el pipeline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9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0 alertas altas/medias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36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Sprint 5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79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b8860b"/>
                <w:sz w:val="20"/>
                <w:szCs w:val="20"/>
              </w:rPr>
              <w:t xml:space="preserve">Pendiente</w:t>
            </w:r>
            <w:r/>
          </w:p>
        </w:tc>
      </w:tr>
    </w:tbl>
    <w:p>
      <w:pPr>
        <w:pStyle w:val="751"/>
        <w:pBdr/>
        <w:spacing w:after="200" w:before="0"/>
        <w:ind/>
        <w:rPr/>
      </w:pPr>
      <w:r/>
      <w:r/>
    </w:p>
    <w:p>
      <w:pPr>
        <w:pStyle w:val="751"/>
        <w:pBdr/>
        <w:spacing w:after="160" w:before="0"/>
        <w:ind/>
        <w:rPr/>
      </w:pPr>
      <w:r>
        <w:rPr>
          <w:i/>
          <w:iCs/>
          <w:color w:val="5b5b6b"/>
          <w:sz w:val="20"/>
          <w:szCs w:val="20"/>
        </w:rPr>
        <w:t xml:space="preserve">KPIs: cobertura ≥ 80 % · vulnerabilidades Sonar/ZAP = 0 altas/medias · tiempo de pipeline &lt; 10 min · reducir los 43 code smells (prioridad MAJOR).</w:t>
      </w:r>
      <w:r/>
    </w:p>
    <w:p>
      <w:pPr>
        <w:pStyle w:val="753"/>
        <w:keepNext w:val="true"/>
        <w:pBdr/>
        <w:spacing w:after="160" w:before="320"/>
        <w:ind/>
        <w:rPr/>
      </w:pPr>
      <w:r/>
      <w:bookmarkStart w:id="28" w:name="__RefHeading___Toc1180_773522556"/>
      <w:r/>
      <w:bookmarkEnd w:id="28"/>
      <w:r>
        <w:rPr>
          <w:b/>
          <w:bCs/>
          <w:color w:val="1a1a2e"/>
        </w:rPr>
        <w:t xml:space="preserve">5.2 Innovación tecnológica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IA para emparejar canciones y curadores por similitud de audio/género y predicción de aceptación.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Puntuación de curadores por aceptación y tiempo de respuesta.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Predicción de demanda de playlists y mejores horarios de envío.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Microservicios sobre Kubernetes (Auth, Submissions, UI) + BD gestionada.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Analítica de conversión (envíos → aceptaciones) con dashboards.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Auditoría formal de acciones (quién propuso/aceptó qué y cuándo).</w:t>
      </w:r>
      <w:r/>
    </w:p>
    <w:p>
      <w:pPr>
        <w:pStyle w:val="753"/>
        <w:keepNext w:val="true"/>
        <w:pBdr/>
        <w:spacing w:after="160" w:before="320"/>
        <w:ind/>
        <w:rPr/>
      </w:pPr>
      <w:r/>
      <w:bookmarkStart w:id="29" w:name="__RefHeading___Toc1182_773522556"/>
      <w:r/>
      <w:bookmarkEnd w:id="29"/>
      <w:r>
        <w:rPr>
          <w:b/>
          <w:bCs/>
          <w:color w:val="1a1a2e"/>
        </w:rPr>
        <w:t xml:space="preserve">5.3 Cierre de la presentación (resumen ejecutivo)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Módulo completo: registro + autenticación JWT con roles admin/user.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Calidad: 94/94 tests, cobertura 85 % (≥ 80 % requerido).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Seguridad: OWASP ZAP 0 fallos; SonarQube Quality Gate OK, ratings A/A/A.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CI/CD: pipeline automatizado GitHub Actions (6 jobs) + deploy Railway.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Despliegue: producción viva en https://overdrive-production-1392.up.railway.app.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Documentación: README, presente reporte, guías y credenciales de prueba.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Innovación: IA de emparejamiento, puntuación de curadores, microservicios.</w:t>
      </w:r>
      <w:r/>
    </w:p>
    <w:p>
      <w:pPr>
        <w:pStyle w:val="751"/>
        <w:pBdr/>
        <w:spacing/>
        <w:ind/>
        <w:rPr/>
      </w:pPr>
      <w:r/>
      <w:r>
        <w:br w:type="page" w:clear="all"/>
      </w:r>
      <w:r/>
    </w:p>
    <w:p>
      <w:pPr>
        <w:pStyle w:val="752"/>
        <w:keepNext w:val="true"/>
        <w:pBdr>
          <w:bottom w:val="single" w:color="6c3ce1" w:sz="12" w:space="4"/>
        </w:pBdr>
        <w:spacing w:after="240" w:before="0"/>
        <w:ind/>
        <w:rPr/>
      </w:pPr>
      <w:r/>
      <w:bookmarkStart w:id="30" w:name="__RefHeading___Toc1184_773522556"/>
      <w:r/>
      <w:bookmarkEnd w:id="30"/>
      <w:r>
        <w:rPr>
          <w:b/>
          <w:bCs/>
          <w:color w:val="6c3ce1"/>
        </w:rPr>
        <w:t xml:space="preserve">Anexos</w:t>
      </w:r>
      <w:r/>
    </w:p>
    <w:p>
      <w:pPr>
        <w:pStyle w:val="753"/>
        <w:keepNext w:val="true"/>
        <w:pBdr/>
        <w:spacing w:after="160" w:before="320"/>
        <w:ind/>
        <w:rPr/>
      </w:pPr>
      <w:r/>
      <w:bookmarkStart w:id="31" w:name="__RefHeading___Toc1186_773522556"/>
      <w:r/>
      <w:bookmarkEnd w:id="31"/>
      <w:r>
        <w:rPr>
          <w:b/>
          <w:bCs/>
          <w:color w:val="1a1a2e"/>
        </w:rPr>
        <w:t xml:space="preserve">Anexo A · Credenciales de prueba (entorno de producción)</w:t>
      </w:r>
      <w:r/>
    </w:p>
    <w:tbl>
      <w:tblPr>
        <w:tblInd w:w="0" w:type="dxa"/>
        <w:tblW w:w="9360" w:type="dxa"/>
        <w:tblCellMar>
          <w:left w:w="120" w:type="dxa"/>
          <w:top w:w="100" w:type="dxa"/>
          <w:right w:w="120" w:type="dxa"/>
          <w:bottom w:w="10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399"/>
        <w:gridCol w:w="3600"/>
        <w:gridCol w:w="3361"/>
      </w:tblGrid>
      <w:tr>
        <w:trPr>
          <w:cantSplit/>
          <w:tblHeader/>
        </w:trPr>
        <w:tc>
          <w:tcPr>
            <w:shd w:val="clear" w:color="auto" w:fill="6c3ce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9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  <w:r/>
          </w:p>
        </w:tc>
        <w:tc>
          <w:tcPr>
            <w:shd w:val="clear" w:color="auto" w:fill="6c3ce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Usuario</w:t>
            </w:r>
            <w:r/>
          </w:p>
        </w:tc>
        <w:tc>
          <w:tcPr>
            <w:shd w:val="clear" w:color="auto" w:fill="6c3ce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61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Contraseña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39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Administrador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36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admin@overdrive.app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3361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8H8LrSK8qUhvuY7i6Ghs</w:t>
            </w:r>
            <w:r/>
          </w:p>
        </w:tc>
      </w:tr>
    </w:tbl>
    <w:p>
      <w:pPr>
        <w:pStyle w:val="751"/>
        <w:pBdr/>
        <w:spacing w:after="200" w:before="0"/>
        <w:ind/>
        <w:rPr/>
      </w:pPr>
      <w:r/>
      <w:r/>
    </w:p>
    <w:p>
      <w:pPr>
        <w:pStyle w:val="751"/>
        <w:pBdr/>
        <w:spacing w:after="160" w:before="0"/>
        <w:ind/>
        <w:rPr/>
      </w:pPr>
      <w:r>
        <w:t xml:space="preserve">Cuentas Spotify de prueba (deben estar en Users and access del dashboard de Spotify for Developers para conectar OAuth):</w:t>
      </w:r>
      <w:r/>
    </w:p>
    <w:tbl>
      <w:tblPr>
        <w:tblInd w:w="0" w:type="dxa"/>
        <w:tblW w:w="9360" w:type="dxa"/>
        <w:tblCellMar>
          <w:left w:w="120" w:type="dxa"/>
          <w:top w:w="100" w:type="dxa"/>
          <w:right w:w="120" w:type="dxa"/>
          <w:bottom w:w="10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799"/>
        <w:gridCol w:w="4200"/>
        <w:gridCol w:w="3361"/>
      </w:tblGrid>
      <w:tr>
        <w:trPr>
          <w:cantSplit/>
          <w:tblHeader/>
        </w:trPr>
        <w:tc>
          <w:tcPr>
            <w:shd w:val="clear" w:color="auto" w:fill="6c3ce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9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Cuenta</w:t>
            </w:r>
            <w:r/>
          </w:p>
        </w:tc>
        <w:tc>
          <w:tcPr>
            <w:shd w:val="clear" w:color="auto" w:fill="6c3ce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Email</w:t>
            </w:r>
            <w:r/>
          </w:p>
        </w:tc>
        <w:tc>
          <w:tcPr>
            <w:shd w:val="clear" w:color="auto" w:fill="6c3ce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61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Contraseña Spotify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79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Cuenta 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42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overdrivespotify@gmail.com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3361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Admin1234#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799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Cuenta 2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42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overdrivespotify2@yahoo.com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3361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Admin1234#</w:t>
            </w:r>
            <w:r/>
          </w:p>
        </w:tc>
      </w:tr>
    </w:tbl>
    <w:p>
      <w:pPr>
        <w:pStyle w:val="751"/>
        <w:pBdr/>
        <w:spacing w:after="200" w:before="0"/>
        <w:ind/>
        <w:rPr/>
      </w:pPr>
      <w:r/>
      <w:r/>
    </w:p>
    <w:p>
      <w:pPr>
        <w:pStyle w:val="751"/>
        <w:pBdr/>
        <w:spacing w:after="160" w:before="0"/>
        <w:ind/>
        <w:rPr/>
      </w:pPr>
      <w:r>
        <w:rPr>
          <w:i/>
          <w:iCs/>
          <w:color w:val="5b5b6b"/>
          <w:sz w:val="20"/>
          <w:szCs w:val="20"/>
        </w:rPr>
        <w:t xml:space="preserve">Nota: usar dos cuentas distintas evita el auto-envío (regla anti-fraude).</w:t>
      </w:r>
      <w:r/>
    </w:p>
    <w:p>
      <w:pPr>
        <w:pStyle w:val="753"/>
        <w:keepNext w:val="true"/>
        <w:pBdr/>
        <w:spacing w:after="160" w:before="320"/>
        <w:ind/>
        <w:rPr/>
      </w:pPr>
      <w:r/>
      <w:bookmarkStart w:id="32" w:name="__RefHeading___Toc1188_773522556"/>
      <w:r/>
      <w:bookmarkEnd w:id="32"/>
      <w:r>
        <w:rPr>
          <w:b/>
          <w:bCs/>
          <w:color w:val="1a1a2e"/>
        </w:rPr>
        <w:t xml:space="preserve">Anexo B · Cómo reproducir las métricas</w:t>
      </w:r>
      <w:r/>
    </w:p>
    <w:p>
      <w:pPr>
        <w:pStyle w:val="751"/>
        <w:pBdr>
          <w:top w:val="single" w:color="1e1e2e" w:sz="2" w:space="0"/>
          <w:left w:val="single" w:color="1e1e2e" w:sz="2" w:space="0"/>
          <w:bottom w:val="single" w:color="1e1e2e" w:sz="2" w:space="0"/>
          <w:right w:val="single" w:color="1e1e2e" w:sz="2" w:space="0"/>
        </w:pBdr>
        <w:shd w:val="clear" w:color="auto" w:fill="1e1e2e"/>
        <w:spacing w:after="200" w:before="120"/>
        <w:ind/>
        <w:rPr/>
      </w:pPr>
      <w:r>
        <w:rPr>
          <w:rFonts w:ascii="Consolas" w:hAnsi="Consolas" w:eastAsia="Consolas" w:cs="Consolas"/>
          <w:color w:val="d4d4e8"/>
          <w:sz w:val="18"/>
          <w:szCs w:val="18"/>
        </w:rPr>
        <w:t xml:space="preserve"># 1) Pruebas + cobertura</w:t>
        <w:br/>
        <w:t xml:space="preserve">cd backend &amp;&amp; npm test</w:t>
        <w:br/>
        <w:br/>
        <w:t xml:space="preserve"># 2) Análisis de calidad (levanta SonarQube, corre tests y escanea)</w:t>
        <w:br/>
        <w:t xml:space="preserve">./scripts/analisis-calidad.sh</w:t>
        <w:br/>
        <w:br/>
        <w:t xml:space="preserve"># 3) ZAP manual (con el backend corri</w:t>
      </w:r>
      <w:r>
        <w:rPr>
          <w:rFonts w:ascii="Consolas" w:hAnsi="Consolas" w:eastAsia="Consolas" w:cs="Consolas"/>
          <w:color w:val="d4d4e8"/>
          <w:sz w:val="18"/>
          <w:szCs w:val="18"/>
        </w:rPr>
        <w:t xml:space="preserve">endo en :4000)</w:t>
        <w:br/>
        <w:t xml:space="preserve">docker run --rm --network host -v "$PWD/zap-reports:/zap/wrk:rw" \</w:t>
        <w:br/>
        <w:t xml:space="preserve">  ghcr.io/zaproxy/zaproxy:stable zap-baseline.py \</w:t>
        <w:br/>
        <w:t xml:space="preserve">  -t http://localhost:4000/api/health -r zap-report.html -I</w:t>
        <w:br/>
        <w:br/>
        <w:t xml:space="preserve"># 4) Levantar todo el stack local</w:t>
        <w:br/>
        <w:t xml:space="preserve">docker compose up -d --build</w:t>
      </w:r>
      <w:r/>
    </w:p>
    <w:p>
      <w:pPr>
        <w:pStyle w:val="753"/>
        <w:keepNext w:val="true"/>
        <w:pBdr/>
        <w:spacing w:after="160" w:before="320"/>
        <w:ind/>
        <w:rPr/>
      </w:pPr>
      <w:r/>
      <w:bookmarkStart w:id="33" w:name="__RefHeading___Toc1190_773522556"/>
      <w:r/>
      <w:bookmarkEnd w:id="33"/>
      <w:r>
        <w:rPr>
          <w:b/>
          <w:bCs/>
          <w:color w:val="1a1a2e"/>
        </w:rPr>
        <w:t xml:space="preserve">Anexo C · Repositorio</w:t>
      </w:r>
      <w:r/>
    </w:p>
    <w:p>
      <w:pPr>
        <w:pStyle w:val="751"/>
        <w:pBdr/>
        <w:spacing w:after="160" w:before="0"/>
        <w:ind/>
        <w:rPr/>
      </w:pPr>
      <w:r>
        <w:rPr>
          <w:b/>
          <w:bCs/>
        </w:rPr>
        <w:t xml:space="preserve">Repositorio público: </w:t>
      </w:r>
      <w:hyperlink r:id="rId25" w:tooltip="https://github.com/Hugoatpxndx/OverDrive" w:history="1">
        <w:r>
          <w:rPr>
            <w:rStyle w:val="758"/>
            <w:color w:val="1bb6e0"/>
            <w:u w:val="single"/>
          </w:rPr>
          <w:t xml:space="preserve">https://github.com/Hugoatpxndx/OverDrive</w:t>
        </w:r>
      </w:hyperlink>
      <w:r/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Repositorio Git con código, pipeline CI/CD y esta documentación.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Workflow: .github/workflows/ci.yml.</w:t>
      </w:r>
      <w:r/>
    </w:p>
    <w:p>
      <w:pPr>
        <w:pStyle w:val="773"/>
        <w:numPr>
          <w:ilvl w:val="0"/>
          <w:numId w:val="1"/>
        </w:numPr>
        <w:pBdr/>
        <w:spacing w:after="80" w:before="0"/>
        <w:ind/>
        <w:rPr/>
      </w:pPr>
      <w:r>
        <w:t xml:space="preserve">Dockerfile multi-stage en la raíz; compose.yaml para uso local.</w:t>
      </w:r>
      <w:r/>
    </w:p>
    <w:p>
      <w:pPr>
        <w:pStyle w:val="753"/>
        <w:keepNext w:val="true"/>
        <w:pBdr/>
        <w:spacing w:after="160" w:before="320"/>
        <w:ind/>
        <w:rPr/>
      </w:pPr>
      <w:r/>
      <w:bookmarkStart w:id="34" w:name="__RefHeading___Toc1192_773522556"/>
      <w:r/>
      <w:bookmarkEnd w:id="34"/>
      <w:r>
        <w:rPr>
          <w:b/>
          <w:bCs/>
          <w:color w:val="1a1a2e"/>
        </w:rPr>
        <w:t xml:space="preserve">Anexo D · Índice completo de capturas</w:t>
      </w:r>
      <w:r/>
    </w:p>
    <w:p>
      <w:pPr>
        <w:pStyle w:val="751"/>
        <w:pBdr/>
        <w:spacing w:after="160" w:before="0"/>
        <w:ind/>
        <w:rPr/>
      </w:pPr>
      <w:r>
        <w:t xml:space="preserve">Carpeta: Docs/capturas/ (versionada en el repositorio).</w:t>
      </w:r>
      <w:r/>
    </w:p>
    <w:tbl>
      <w:tblPr>
        <w:tblInd w:w="0" w:type="dxa"/>
        <w:tblW w:w="9320" w:type="dxa"/>
        <w:tblCellMar>
          <w:left w:w="120" w:type="dxa"/>
          <w:top w:w="100" w:type="dxa"/>
          <w:right w:w="120" w:type="dxa"/>
          <w:bottom w:w="10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560"/>
        <w:gridCol w:w="2660"/>
        <w:gridCol w:w="3300"/>
        <w:gridCol w:w="1300"/>
        <w:gridCol w:w="1500"/>
      </w:tblGrid>
      <w:tr>
        <w:trPr>
          <w:cantSplit/>
          <w:tblHeader/>
        </w:trPr>
        <w:tc>
          <w:tcPr>
            <w:shd w:val="clear" w:color="auto" w:fill="6c3ce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  <w:r/>
          </w:p>
        </w:tc>
        <w:tc>
          <w:tcPr>
            <w:shd w:val="clear" w:color="auto" w:fill="6c3ce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6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Archivo</w:t>
            </w:r>
            <w:r/>
          </w:p>
        </w:tc>
        <w:tc>
          <w:tcPr>
            <w:shd w:val="clear" w:color="auto" w:fill="6c3ce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  <w:r/>
          </w:p>
        </w:tc>
        <w:tc>
          <w:tcPr>
            <w:shd w:val="clear" w:color="auto" w:fill="6c3ce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Criterio</w:t>
            </w:r>
            <w:r/>
          </w:p>
        </w:tc>
        <w:tc>
          <w:tcPr>
            <w:shd w:val="clear" w:color="auto" w:fill="6c3ce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560" w:type="dxa"/>
            <w:vAlign w:val="center"/>
          </w:tcPr>
          <w:p>
            <w:pPr>
              <w:pStyle w:val="751"/>
              <w:pBdr/>
              <w:spacing/>
              <w:ind/>
              <w:jc w:val="center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66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01-login.png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33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Página de login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3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C1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5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✅ </w:t>
            </w: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generada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560" w:type="dxa"/>
            <w:vAlign w:val="center"/>
          </w:tcPr>
          <w:p>
            <w:pPr>
              <w:pStyle w:val="751"/>
              <w:pBdr/>
              <w:spacing/>
              <w:ind/>
              <w:jc w:val="center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2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66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02-registro.png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33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Página de registro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3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C1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5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✅ </w:t>
            </w: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generada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560" w:type="dxa"/>
            <w:vAlign w:val="center"/>
          </w:tcPr>
          <w:p>
            <w:pPr>
              <w:pStyle w:val="751"/>
              <w:pBdr/>
              <w:spacing/>
              <w:ind/>
              <w:jc w:val="center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66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03-login-llenado.png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33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Login con admin escrito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3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C1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5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✅ </w:t>
            </w: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generada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560" w:type="dxa"/>
            <w:vAlign w:val="center"/>
          </w:tcPr>
          <w:p>
            <w:pPr>
              <w:pStyle w:val="751"/>
              <w:pBdr/>
              <w:spacing/>
              <w:ind/>
              <w:jc w:val="center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4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66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04-npm-test.png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33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94 tests / cobertura 85 %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3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C1, C3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5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✅ </w:t>
            </w: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generada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560" w:type="dxa"/>
            <w:vAlign w:val="center"/>
          </w:tcPr>
          <w:p>
            <w:pPr>
              <w:pStyle w:val="751"/>
              <w:pBdr/>
              <w:spacing/>
              <w:ind/>
              <w:jc w:val="center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66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05-dashboard-admin.png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33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Panel admin / roles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3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C1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5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✅ </w:t>
            </w: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generada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560" w:type="dxa"/>
            <w:vAlign w:val="center"/>
          </w:tcPr>
          <w:p>
            <w:pPr>
              <w:pStyle w:val="751"/>
              <w:pBdr/>
              <w:spacing/>
              <w:ind/>
              <w:jc w:val="center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6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66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06-dashboard-artista.png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33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Dashboard modo artista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3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(opcional)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5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✅ </w:t>
            </w: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generada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560" w:type="dxa"/>
            <w:vAlign w:val="center"/>
          </w:tcPr>
          <w:p>
            <w:pPr>
              <w:pStyle w:val="751"/>
              <w:pBdr/>
              <w:spacing/>
              <w:ind/>
              <w:jc w:val="center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7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66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07-conectar-spotify.png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33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Conectar cuenta Spotify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3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(opcional)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5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✅ </w:t>
            </w: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generada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560" w:type="dxa"/>
            <w:vAlign w:val="center"/>
          </w:tcPr>
          <w:p>
            <w:pPr>
              <w:pStyle w:val="751"/>
              <w:pBdr/>
              <w:spacing/>
              <w:ind/>
              <w:jc w:val="center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8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66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08-health-check.png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33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Health check {status:ok}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3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C2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5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✅ </w:t>
            </w: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generada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560" w:type="dxa"/>
            <w:vAlign w:val="center"/>
          </w:tcPr>
          <w:p>
            <w:pPr>
              <w:pStyle w:val="751"/>
              <w:pBdr/>
              <w:spacing/>
              <w:ind/>
              <w:jc w:val="center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9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66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09-zap-report.png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33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Reporte OWASP ZAP (0 FAIL)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3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C3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5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✅ </w:t>
            </w: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generada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560" w:type="dxa"/>
            <w:vAlign w:val="center"/>
          </w:tcPr>
          <w:p>
            <w:pPr>
              <w:pStyle w:val="751"/>
              <w:pBdr/>
              <w:spacing/>
              <w:ind/>
              <w:jc w:val="center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10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66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10-github-actions.png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33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Pipeline GHA con 6 jobs en verde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3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C2</w:t>
            </w:r>
            <w:r/>
          </w:p>
        </w:tc>
        <w:tc>
          <w:tcPr>
            <w:shd w:val="clear" w:color="auto" w:fill="fafaf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5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⏳ </w:t>
            </w: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manual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560" w:type="dxa"/>
            <w:vAlign w:val="center"/>
          </w:tcPr>
          <w:p>
            <w:pPr>
              <w:pStyle w:val="751"/>
              <w:pBdr/>
              <w:spacing/>
              <w:ind/>
              <w:jc w:val="center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11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266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11-sonarqube.png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33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SonarQube Quality Gate OK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3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C3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bottom w:w="90" w:type="dxa"/>
            </w:tcMar>
            <w:tcW w:w="1500" w:type="dxa"/>
            <w:vAlign w:val="center"/>
          </w:tcPr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⏳ </w:t>
            </w:r>
            <w:r>
              <w:rPr>
                <w:b w:val="0"/>
                <w:bCs w:val="0"/>
                <w:color w:val="1a1a2e"/>
                <w:sz w:val="20"/>
                <w:szCs w:val="20"/>
              </w:rPr>
              <w:t xml:space="preserve">manual</w:t>
            </w:r>
            <w:r/>
          </w:p>
        </w:tc>
      </w:tr>
    </w:tbl>
    <w:p>
      <w:pPr>
        <w:pStyle w:val="751"/>
        <w:pBdr/>
        <w:spacing w:after="200" w:before="0"/>
        <w:ind/>
        <w:rPr/>
      </w:pPr>
      <w:r/>
      <w:r/>
    </w:p>
    <w:p>
      <w:pPr>
        <w:pStyle w:val="753"/>
        <w:keepNext w:val="true"/>
        <w:pBdr/>
        <w:spacing w:after="160" w:before="320"/>
        <w:ind/>
        <w:rPr/>
      </w:pPr>
      <w:r/>
      <w:bookmarkStart w:id="35" w:name="__RefHeading___Toc1194_773522556"/>
      <w:r/>
      <w:bookmarkEnd w:id="35"/>
      <w:r>
        <w:rPr>
          <w:b/>
          <w:bCs/>
          <w:color w:val="1a1a2e"/>
        </w:rPr>
        <w:t xml:space="preserve">Anexo E · Capturas adicionales de la plataforma</w:t>
      </w:r>
      <w:r/>
    </w:p>
    <w:p>
      <w:pPr>
        <w:pStyle w:val="751"/>
        <w:pBdr/>
        <w:spacing w:after="40" w:before="16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06240" cy="2628900"/>
                <wp:effectExtent l="0" t="0" r="0" b="0"/>
                <wp:docPr id="9" name="Image8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8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4206240" cy="262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31.20pt;height:207.0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/>
    </w:p>
    <w:p>
      <w:pPr>
        <w:pStyle w:val="751"/>
        <w:pBdr/>
        <w:spacing w:after="280" w:before="80"/>
        <w:ind/>
        <w:jc w:val="center"/>
        <w:rPr/>
      </w:pPr>
      <w:r>
        <w:rPr>
          <w:i/>
          <w:iCs/>
          <w:color w:val="5b5b6b"/>
          <w:sz w:val="18"/>
          <w:szCs w:val="18"/>
        </w:rPr>
        <w:t xml:space="preserve">Figura 8. Dashboard en modo artista.</w:t>
      </w:r>
      <w:r/>
    </w:p>
    <w:p>
      <w:pPr>
        <w:pStyle w:val="751"/>
        <w:pBdr/>
        <w:spacing w:after="40" w:before="16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06240" cy="2628900"/>
                <wp:effectExtent l="0" t="0" r="0" b="0"/>
                <wp:docPr id="10" name="Image9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9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4206240" cy="262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31.20pt;height:207.00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/>
    </w:p>
    <w:p>
      <w:pPr>
        <w:pStyle w:val="751"/>
        <w:pBdr/>
        <w:spacing w:after="280" w:before="80"/>
        <w:ind/>
        <w:jc w:val="center"/>
        <w:rPr/>
      </w:pPr>
      <w:r>
        <w:rPr>
          <w:i/>
          <w:iCs/>
          <w:color w:val="5b5b6b"/>
          <w:sz w:val="18"/>
          <w:szCs w:val="18"/>
        </w:rPr>
        <w:t xml:space="preserve">Figura 9. Pantalla de conexión con cuenta de Spotify.</w:t>
      </w:r>
      <w:r/>
    </w:p>
    <w:p>
      <w:pPr>
        <w:pStyle w:val="751"/>
        <w:pBdr>
          <w:top w:val="single" w:color="cccccc" w:sz="6" w:space="8"/>
        </w:pBdr>
        <w:spacing w:after="0" w:before="600"/>
        <w:ind/>
        <w:jc w:val="center"/>
        <w:rPr/>
      </w:pPr>
      <w:r>
        <w:rPr>
          <w:i/>
          <w:iCs/>
          <w:color w:val="5b5b6b"/>
          <w:sz w:val="20"/>
          <w:szCs w:val="20"/>
        </w:rPr>
        <w:t xml:space="preserve">Proyecto OverDrive · Reto de Ingeniería de Software · Entrega Final</w:t>
      </w:r>
      <w:r/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OpenSymbol">
    <w:panose1 w:val="05010000000000000000"/>
  </w:font>
  <w:font w:name="Symbol">
    <w:panose1 w:val="05010000000000000000"/>
  </w:font>
  <w:font w:name="Noto Sans CJK SC">
    <w:panose1 w:val="020B0500000000000000"/>
  </w:font>
  <w:font w:name="FreeSans">
    <w:panose1 w:val="05040102010807070707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1"/>
      <w:pBdr/>
      <w:spacing/>
      <w:ind/>
      <w:jc w:val="center"/>
      <w:rPr/>
    </w:pPr>
    <w:r>
      <w:rPr>
        <w:color w:val="5b5b6b"/>
        <w:sz w:val="18"/>
        <w:szCs w:val="18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 xml:space="preserve">16</w:t>
    </w:r>
    <w:r>
      <w:fldChar w:fldCharType="end"/>
    </w:r>
    <w:r>
      <w:rPr>
        <w:color w:val="5b5b6b"/>
        <w:sz w:val="18"/>
        <w:szCs w:val="18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 xml:space="preserve">16</w:t>
    </w:r>
    <w:r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78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1"/>
      <w:pBdr/>
      <w:spacing/>
      <w:ind/>
      <w:jc w:val="center"/>
      <w:rPr/>
    </w:pPr>
    <w:r>
      <w:rPr>
        <w:color w:val="5b5b6b"/>
        <w:sz w:val="18"/>
        <w:szCs w:val="18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 xml:space="preserve">16</w:t>
    </w:r>
    <w:r>
      <w:fldChar w:fldCharType="end"/>
    </w:r>
    <w:r>
      <w:rPr>
        <w:color w:val="5b5b6b"/>
        <w:sz w:val="18"/>
        <w:szCs w:val="18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 xml:space="preserve">16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1"/>
      <w:pBdr/>
      <w:spacing/>
      <w:ind/>
      <w:jc w:val="right"/>
      <w:rPr/>
    </w:pPr>
    <w:r>
      <w:rPr>
        <w:color w:val="5b5b6b"/>
        <w:sz w:val="16"/>
        <w:szCs w:val="16"/>
      </w:rPr>
      <w:t xml:space="preserve">OverDrive · Entrega Final</w: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77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1"/>
      <w:pBdr/>
      <w:spacing/>
      <w:ind/>
      <w:jc w:val="right"/>
      <w:rPr/>
    </w:pPr>
    <w:r>
      <w:rPr>
        <w:color w:val="5b5b6b"/>
        <w:sz w:val="16"/>
        <w:szCs w:val="16"/>
      </w:rPr>
      <w:t xml:space="preserve">OverDrive · Entrega Final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60" w:left="46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0"/>
        </w:tabs>
        <w:spacing/>
        <w:ind w:hanging="260" w:left="90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color w:val="1a1a2e"/>
        <w:sz w:val="22"/>
        <w:szCs w:val="22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51"/>
    <w:next w:val="75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51"/>
    <w:next w:val="75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51"/>
    <w:next w:val="75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5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5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7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51"/>
    <w:next w:val="75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51"/>
    <w:next w:val="75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51"/>
    <w:next w:val="75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5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148"/>
    <w:link w:val="777"/>
    <w:uiPriority w:val="99"/>
    <w:pPr>
      <w:pBdr/>
      <w:spacing/>
      <w:ind/>
    </w:pPr>
  </w:style>
  <w:style w:type="character" w:styleId="179">
    <w:name w:val="Footer Char"/>
    <w:basedOn w:val="148"/>
    <w:link w:val="778"/>
    <w:uiPriority w:val="99"/>
    <w:pPr>
      <w:pBdr/>
      <w:spacing/>
      <w:ind/>
    </w:p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2">
    <w:name w:val="toc 4"/>
    <w:basedOn w:val="751"/>
    <w:next w:val="751"/>
    <w:uiPriority w:val="39"/>
    <w:unhideWhenUsed/>
    <w:pPr>
      <w:pBdr/>
      <w:spacing w:after="100"/>
      <w:ind w:left="660"/>
    </w:pPr>
  </w:style>
  <w:style w:type="paragraph" w:styleId="193">
    <w:name w:val="toc 5"/>
    <w:basedOn w:val="751"/>
    <w:next w:val="751"/>
    <w:uiPriority w:val="39"/>
    <w:unhideWhenUsed/>
    <w:pPr>
      <w:pBdr/>
      <w:spacing w:after="100"/>
      <w:ind w:left="880"/>
    </w:pPr>
  </w:style>
  <w:style w:type="paragraph" w:styleId="194">
    <w:name w:val="toc 6"/>
    <w:basedOn w:val="751"/>
    <w:next w:val="751"/>
    <w:uiPriority w:val="39"/>
    <w:unhideWhenUsed/>
    <w:pPr>
      <w:pBdr/>
      <w:spacing w:after="100"/>
      <w:ind w:left="1100"/>
    </w:pPr>
  </w:style>
  <w:style w:type="paragraph" w:styleId="195">
    <w:name w:val="toc 7"/>
    <w:basedOn w:val="751"/>
    <w:next w:val="751"/>
    <w:uiPriority w:val="39"/>
    <w:unhideWhenUsed/>
    <w:pPr>
      <w:pBdr/>
      <w:spacing w:after="100"/>
      <w:ind w:left="1320"/>
    </w:pPr>
  </w:style>
  <w:style w:type="paragraph" w:styleId="196">
    <w:name w:val="toc 8"/>
    <w:basedOn w:val="751"/>
    <w:next w:val="751"/>
    <w:uiPriority w:val="39"/>
    <w:unhideWhenUsed/>
    <w:pPr>
      <w:pBdr/>
      <w:spacing w:after="100"/>
      <w:ind w:left="1540"/>
    </w:pPr>
  </w:style>
  <w:style w:type="paragraph" w:styleId="197">
    <w:name w:val="toc 9"/>
    <w:basedOn w:val="751"/>
    <w:next w:val="75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51"/>
    <w:next w:val="751"/>
    <w:uiPriority w:val="99"/>
    <w:unhideWhenUsed/>
    <w:pPr>
      <w:pBdr/>
      <w:spacing w:after="0" w:afterAutospacing="0"/>
      <w:ind/>
    </w:pPr>
  </w:style>
  <w:style w:type="paragraph" w:styleId="751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Calibri" w:hAnsi="Calibri" w:eastAsia="Calibri" w:cs="Calibri"/>
      <w:color w:val="1a1a2e"/>
      <w:sz w:val="22"/>
      <w:szCs w:val="22"/>
      <w:lang w:val="en-US" w:eastAsia="zh-CN" w:bidi="hi-IN"/>
    </w:rPr>
  </w:style>
  <w:style w:type="paragraph" w:styleId="752">
    <w:name w:val="Heading 1"/>
    <w:basedOn w:val="766"/>
    <w:qFormat/>
    <w:pPr>
      <w:pBdr/>
      <w:spacing/>
      <w:ind/>
      <w:outlineLvl w:val="0"/>
    </w:pPr>
    <w:rPr>
      <w:rFonts w:ascii="Calibri" w:hAnsi="Calibri" w:eastAsia="Calibri" w:cs="Calibri"/>
      <w:b/>
      <w:bCs/>
      <w:color w:val="6c3ce1"/>
      <w:sz w:val="32"/>
      <w:szCs w:val="32"/>
    </w:rPr>
  </w:style>
  <w:style w:type="paragraph" w:styleId="753">
    <w:name w:val="Heading 2"/>
    <w:basedOn w:val="766"/>
    <w:qFormat/>
    <w:pPr>
      <w:pBdr/>
      <w:spacing/>
      <w:ind/>
      <w:outlineLvl w:val="1"/>
    </w:pPr>
    <w:rPr>
      <w:rFonts w:ascii="Calibri" w:hAnsi="Calibri" w:eastAsia="Calibri" w:cs="Calibri"/>
      <w:b/>
      <w:bCs/>
      <w:color w:val="1a1a2e"/>
      <w:sz w:val="26"/>
      <w:szCs w:val="26"/>
    </w:rPr>
  </w:style>
  <w:style w:type="paragraph" w:styleId="754">
    <w:name w:val="Heading 3"/>
    <w:basedOn w:val="766"/>
    <w:qFormat/>
    <w:pPr>
      <w:pBdr/>
      <w:spacing/>
      <w:ind/>
      <w:outlineLvl w:val="2"/>
    </w:pPr>
    <w:rPr>
      <w:rFonts w:ascii="Calibri" w:hAnsi="Calibri" w:eastAsia="Calibri" w:cs="Calibri"/>
      <w:b/>
      <w:bCs/>
      <w:color w:val="6c3ce1"/>
      <w:sz w:val="23"/>
      <w:szCs w:val="23"/>
    </w:rPr>
  </w:style>
  <w:style w:type="paragraph" w:styleId="755">
    <w:name w:val="Heading 4"/>
    <w:basedOn w:val="766"/>
    <w:qFormat/>
    <w:pPr>
      <w:pBdr/>
      <w:spacing/>
      <w:ind/>
    </w:pPr>
    <w:rPr>
      <w:i/>
      <w:iCs/>
      <w:color w:val="2e74b5"/>
    </w:rPr>
  </w:style>
  <w:style w:type="paragraph" w:styleId="756">
    <w:name w:val="Heading 5"/>
    <w:basedOn w:val="766"/>
    <w:qFormat/>
    <w:pPr>
      <w:pBdr/>
      <w:spacing/>
      <w:ind/>
    </w:pPr>
    <w:rPr>
      <w:color w:val="2e74b5"/>
    </w:rPr>
  </w:style>
  <w:style w:type="paragraph" w:styleId="757">
    <w:name w:val="Heading 6"/>
    <w:basedOn w:val="766"/>
    <w:qFormat/>
    <w:pPr>
      <w:pBdr/>
      <w:spacing/>
      <w:ind/>
    </w:pPr>
    <w:rPr>
      <w:color w:val="1f4d78"/>
    </w:rPr>
  </w:style>
  <w:style w:type="character" w:styleId="758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59">
    <w:name w:val="Foot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60">
    <w:name w:val="footnote reference"/>
    <w:pPr>
      <w:pBdr/>
      <w:spacing/>
      <w:ind/>
    </w:pPr>
    <w:rPr>
      <w:vertAlign w:val="superscript"/>
    </w:rPr>
  </w:style>
  <w:style w:type="character" w:styleId="761">
    <w:name w:val="Footnote Text Char"/>
    <w:link w:val="774"/>
    <w:uiPriority w:val="99"/>
    <w:semiHidden/>
    <w:unhideWhenUsed/>
    <w:qFormat/>
    <w:pPr>
      <w:pBdr/>
      <w:spacing/>
      <w:ind/>
    </w:pPr>
    <w:rPr>
      <w:sz w:val="20"/>
      <w:szCs w:val="20"/>
    </w:rPr>
  </w:style>
  <w:style w:type="character" w:styleId="762">
    <w:name w:val="End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63">
    <w:name w:val="endnote reference"/>
    <w:pPr>
      <w:pBdr/>
      <w:spacing/>
      <w:ind/>
    </w:pPr>
    <w:rPr>
      <w:vertAlign w:val="superscript"/>
    </w:rPr>
  </w:style>
  <w:style w:type="character" w:styleId="764">
    <w:name w:val="Endnote Text Char"/>
    <w:link w:val="775"/>
    <w:uiPriority w:val="99"/>
    <w:semiHidden/>
    <w:unhideWhenUsed/>
    <w:qFormat/>
    <w:pPr>
      <w:pBdr/>
      <w:spacing/>
      <w:ind/>
    </w:pPr>
    <w:rPr>
      <w:sz w:val="20"/>
      <w:szCs w:val="20"/>
    </w:rPr>
  </w:style>
  <w:style w:type="character" w:styleId="765">
    <w:name w:val="Index Link"/>
    <w:qFormat/>
    <w:pPr>
      <w:pBdr/>
      <w:spacing/>
      <w:ind/>
    </w:pPr>
  </w:style>
  <w:style w:type="paragraph" w:styleId="766">
    <w:name w:val="Heading"/>
    <w:basedOn w:val="751"/>
    <w:next w:val="767"/>
    <w:qFormat/>
    <w:pPr>
      <w:keepNext w:val="true"/>
      <w:pBdr/>
      <w:spacing w:after="120" w:before="240"/>
      <w:ind/>
    </w:pPr>
    <w:rPr>
      <w:rFonts w:ascii="Liberation Sans" w:hAnsi="Liberation Sans" w:eastAsia="Noto Sans CJK SC" w:cs="FreeSans"/>
      <w:sz w:val="28"/>
      <w:szCs w:val="28"/>
    </w:rPr>
  </w:style>
  <w:style w:type="paragraph" w:styleId="767">
    <w:name w:val="Body Text"/>
    <w:basedOn w:val="751"/>
    <w:pPr>
      <w:pBdr/>
      <w:spacing w:after="140" w:before="0" w:line="276" w:lineRule="auto"/>
      <w:ind/>
    </w:pPr>
  </w:style>
  <w:style w:type="paragraph" w:styleId="768">
    <w:name w:val="List"/>
    <w:basedOn w:val="767"/>
    <w:pPr>
      <w:pBdr/>
      <w:spacing/>
      <w:ind/>
    </w:pPr>
    <w:rPr>
      <w:rFonts w:cs="FreeSans"/>
    </w:rPr>
  </w:style>
  <w:style w:type="paragraph" w:styleId="769">
    <w:name w:val="Caption"/>
    <w:basedOn w:val="751"/>
    <w:qFormat/>
    <w:pPr>
      <w:suppressLineNumbers w:val="true"/>
      <w:pBdr/>
      <w:spacing w:after="120" w:before="120"/>
      <w:ind/>
    </w:pPr>
    <w:rPr>
      <w:rFonts w:cs="FreeSans"/>
      <w:i/>
      <w:iCs/>
      <w:sz w:val="24"/>
      <w:szCs w:val="24"/>
    </w:rPr>
  </w:style>
  <w:style w:type="paragraph" w:styleId="770">
    <w:name w:val="Index"/>
    <w:basedOn w:val="751"/>
    <w:qFormat/>
    <w:pPr>
      <w:suppressLineNumbers w:val="true"/>
      <w:pBdr/>
      <w:spacing/>
      <w:ind/>
    </w:pPr>
    <w:rPr>
      <w:rFonts w:cs="FreeSans"/>
    </w:rPr>
  </w:style>
  <w:style w:type="paragraph" w:styleId="771">
    <w:name w:val="Title"/>
    <w:basedOn w:val="766"/>
    <w:qFormat/>
    <w:pPr>
      <w:pBdr/>
      <w:spacing/>
      <w:ind/>
    </w:pPr>
    <w:rPr>
      <w:sz w:val="56"/>
      <w:szCs w:val="56"/>
    </w:rPr>
  </w:style>
  <w:style w:type="paragraph" w:styleId="772">
    <w:name w:val="Strong Emphasis"/>
    <w:qFormat/>
    <w:pPr>
      <w:widowControl w:val="true"/>
      <w:pBdr/>
      <w:bidi w:val="false"/>
      <w:spacing w:after="0" w:before="0"/>
      <w:ind/>
      <w:jc w:val="left"/>
    </w:pPr>
    <w:rPr>
      <w:rFonts w:ascii="Calibri" w:hAnsi="Calibri" w:eastAsia="Calibri" w:cs="Calibri"/>
      <w:b/>
      <w:bCs/>
      <w:color w:val="1a1a2e"/>
      <w:sz w:val="22"/>
      <w:szCs w:val="22"/>
      <w:lang w:val="en-US" w:eastAsia="zh-CN" w:bidi="hi-IN"/>
    </w:rPr>
  </w:style>
  <w:style w:type="paragraph" w:styleId="773">
    <w:name w:val="List Paragraph"/>
    <w:qFormat/>
    <w:pPr>
      <w:widowControl w:val="true"/>
      <w:pBdr/>
      <w:bidi w:val="false"/>
      <w:spacing w:after="0" w:before="0"/>
      <w:ind/>
      <w:jc w:val="left"/>
    </w:pPr>
    <w:rPr>
      <w:rFonts w:ascii="Calibri" w:hAnsi="Calibri" w:eastAsia="Calibri" w:cs="Calibri"/>
      <w:color w:val="1a1a2e"/>
      <w:sz w:val="22"/>
      <w:szCs w:val="22"/>
      <w:lang w:val="en-US" w:eastAsia="zh-CN" w:bidi="hi-IN"/>
    </w:rPr>
  </w:style>
  <w:style w:type="paragraph" w:styleId="774">
    <w:name w:val="footnote text"/>
    <w:basedOn w:val="751"/>
    <w:link w:val="761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5">
    <w:name w:val="endnote text"/>
    <w:basedOn w:val="751"/>
    <w:link w:val="764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6">
    <w:name w:val="Header and Footer"/>
    <w:basedOn w:val="751"/>
    <w:qFormat/>
    <w:pPr>
      <w:pBdr/>
      <w:spacing/>
      <w:ind/>
    </w:pPr>
  </w:style>
  <w:style w:type="paragraph" w:styleId="777">
    <w:name w:val="Header"/>
    <w:basedOn w:val="776"/>
    <w:pPr>
      <w:pBdr/>
      <w:spacing/>
      <w:ind/>
    </w:pPr>
  </w:style>
  <w:style w:type="paragraph" w:styleId="778">
    <w:name w:val="Footer"/>
    <w:basedOn w:val="776"/>
    <w:pPr>
      <w:pBdr/>
      <w:spacing/>
      <w:ind/>
    </w:pPr>
  </w:style>
  <w:style w:type="paragraph" w:styleId="779">
    <w:name w:val="toc 1"/>
    <w:basedOn w:val="770"/>
    <w:pPr>
      <w:pBdr/>
      <w:tabs>
        <w:tab w:val="clear" w:leader="none" w:pos="720"/>
        <w:tab w:val="right" w:leader="dot" w:pos="9360"/>
      </w:tabs>
      <w:spacing/>
      <w:ind w:firstLine="0" w:left="0"/>
    </w:pPr>
  </w:style>
  <w:style w:type="paragraph" w:styleId="780">
    <w:name w:val="toc 2"/>
    <w:basedOn w:val="770"/>
    <w:pPr>
      <w:pBdr/>
      <w:tabs>
        <w:tab w:val="clear" w:leader="none" w:pos="720"/>
        <w:tab w:val="right" w:leader="dot" w:pos="9077"/>
      </w:tabs>
      <w:spacing/>
      <w:ind w:firstLine="0" w:left="283"/>
    </w:pPr>
  </w:style>
  <w:style w:type="paragraph" w:styleId="781">
    <w:name w:val="toc 3"/>
    <w:basedOn w:val="770"/>
    <w:pPr>
      <w:pBdr/>
      <w:tabs>
        <w:tab w:val="clear" w:leader="none" w:pos="720"/>
        <w:tab w:val="right" w:leader="dot" w:pos="8793"/>
      </w:tabs>
      <w:spacing/>
      <w:ind w:firstLine="0" w:left="567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image" Target="media/image1.png"/><Relationship Id="rId16" Type="http://schemas.openxmlformats.org/officeDocument/2006/relationships/hyperlink" Target="https://overdrive-production-1392.up.railway.app/" TargetMode="External"/><Relationship Id="rId17" Type="http://schemas.openxmlformats.org/officeDocument/2006/relationships/hyperlink" Target="https://github.com/Hugoatpxndx/OverDrive" TargetMode="External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hyperlink" Target="https://github.com/Hugoatpxndx/OverDrive" TargetMode="External"/><Relationship Id="rId26" Type="http://schemas.openxmlformats.org/officeDocument/2006/relationships/image" Target="media/image9.png"/><Relationship Id="rId27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OverDrive · Reporte de Entrega Final</dc:title>
  <dc:subject/>
  <dc:creator>OverDrive</dc:creator>
  <dc:description/>
  <dc:language>en-US</dc:language>
  <cp:revision>3</cp:revision>
  <dcterms:created xsi:type="dcterms:W3CDTF">2026-09-24T04:53:58Z</dcterms:created>
  <dcterms:modified xsi:type="dcterms:W3CDTF">2026-09-24T05:02:39Z</dcterms:modified>
</cp:coreProperties>
</file>